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B5" w:rsidRDefault="00470BB5">
      <w:pPr>
        <w:widowControl w:val="0"/>
        <w:pBdr>
          <w:top w:val="nil"/>
          <w:left w:val="nil"/>
          <w:bottom w:val="nil"/>
          <w:right w:val="nil"/>
          <w:between w:val="nil"/>
        </w:pBdr>
        <w:spacing w:line="276" w:lineRule="auto"/>
      </w:pPr>
    </w:p>
    <w:p w:rsidR="00470BB5" w:rsidRDefault="007649AE">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tres (03) de octubre de dos mil veinticuatro.</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 xml:space="preserve">00963/INFOEM/IP/RR/2024 y 00964/INFOEM/IP/RR/2024, </w:t>
      </w:r>
      <w:r>
        <w:rPr>
          <w:rFonts w:ascii="Palatino Linotype" w:eastAsia="Palatino Linotype" w:hAnsi="Palatino Linotype" w:cs="Palatino Linotype"/>
        </w:rPr>
        <w:t xml:space="preserve">promovidos por </w:t>
      </w:r>
      <w:r>
        <w:rPr>
          <w:rFonts w:ascii="Palatino Linotype" w:eastAsia="Palatino Linotype" w:hAnsi="Palatino Linotype" w:cs="Palatino Linotype"/>
          <w:b/>
        </w:rPr>
        <w:t>un usuario del Sistema de Acceso a la Información Mexiquense (SAIMEX),</w:t>
      </w:r>
      <w:r>
        <w:rPr>
          <w:rFonts w:ascii="Palatino Linotype" w:eastAsia="Palatino Linotype" w:hAnsi="Palatino Linotype" w:cs="Palatino Linotype"/>
        </w:rPr>
        <w:t xml:space="preserve"> quien no registró nombre alguno,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Huehuetoca,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A N T E C E D E N T E S </w:t>
      </w:r>
    </w:p>
    <w:p w:rsidR="00470BB5" w:rsidRDefault="00470BB5">
      <w:pPr>
        <w:spacing w:line="360" w:lineRule="auto"/>
        <w:ind w:right="-876"/>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El diecinueve (19) de enero de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las solicitudes de información registradas con los números </w:t>
      </w:r>
      <w:r>
        <w:rPr>
          <w:rFonts w:ascii="Palatino Linotype" w:eastAsia="Palatino Linotype" w:hAnsi="Palatino Linotype" w:cs="Palatino Linotype"/>
          <w:b/>
        </w:rPr>
        <w:t>00115/HUEHUETO/IP/2024 y</w:t>
      </w:r>
      <w:r>
        <w:rPr>
          <w:rFonts w:ascii="Arial" w:eastAsia="Arial" w:hAnsi="Arial" w:cs="Arial"/>
          <w:b/>
        </w:rPr>
        <w:t xml:space="preserve"> </w:t>
      </w:r>
      <w:hyperlink r:id="rId8">
        <w:r>
          <w:rPr>
            <w:rFonts w:ascii="Palatino Linotype" w:eastAsia="Palatino Linotype" w:hAnsi="Palatino Linotype" w:cs="Palatino Linotype"/>
            <w:b/>
          </w:rPr>
          <w:t>00101/HUEHUETO/IP/2024</w:t>
        </w:r>
      </w:hyperlink>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las que se solicitó lo siguiente:</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spacing w:line="360" w:lineRule="auto"/>
        <w:ind w:right="-25"/>
        <w:jc w:val="both"/>
        <w:rPr>
          <w:rFonts w:ascii="Palatino Linotype" w:eastAsia="Palatino Linotype" w:hAnsi="Palatino Linotype" w:cs="Palatino Linotype"/>
        </w:rPr>
      </w:pPr>
      <w:r>
        <w:rPr>
          <w:rFonts w:ascii="Palatino Linotype" w:eastAsia="Palatino Linotype" w:hAnsi="Palatino Linotype" w:cs="Palatino Linotype"/>
          <w:b/>
        </w:rPr>
        <w:t>00115/HUEHUETO/IP/2024:</w:t>
      </w:r>
    </w:p>
    <w:p w:rsidR="00470BB5" w:rsidRDefault="007649AE">
      <w:pPr>
        <w:spacing w:line="360" w:lineRule="auto"/>
        <w:ind w:left="1069" w:right="-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“Nombre completo, imagen de gafete de identificación por ambos lados, comprobantes de capacitación legal y administrativa, documento que acredite experiencia en el servicio público, </w:t>
      </w:r>
      <w:proofErr w:type="spellStart"/>
      <w:r>
        <w:rPr>
          <w:rFonts w:ascii="Palatino Linotype" w:eastAsia="Palatino Linotype" w:hAnsi="Palatino Linotype" w:cs="Palatino Linotype"/>
          <w:i/>
          <w:color w:val="000000"/>
        </w:rPr>
        <w:t>curriculum</w:t>
      </w:r>
      <w:proofErr w:type="spellEnd"/>
      <w:r>
        <w:rPr>
          <w:rFonts w:ascii="Palatino Linotype" w:eastAsia="Palatino Linotype" w:hAnsi="Palatino Linotype" w:cs="Palatino Linotype"/>
          <w:i/>
          <w:color w:val="000000"/>
        </w:rPr>
        <w:t xml:space="preserve"> vitae, documento que acredite el grado </w:t>
      </w:r>
      <w:r>
        <w:rPr>
          <w:rFonts w:ascii="Palatino Linotype" w:eastAsia="Palatino Linotype" w:hAnsi="Palatino Linotype" w:cs="Palatino Linotype"/>
          <w:i/>
          <w:color w:val="000000"/>
        </w:rPr>
        <w:lastRenderedPageBreak/>
        <w:t xml:space="preserve">máximo de estudios de todas las personas que laboran en la oficialía de partes ubicada </w:t>
      </w:r>
      <w:bookmarkStart w:id="1" w:name="_GoBack"/>
      <w:bookmarkEnd w:id="1"/>
      <w:r>
        <w:rPr>
          <w:rFonts w:ascii="Palatino Linotype" w:eastAsia="Palatino Linotype" w:hAnsi="Palatino Linotype" w:cs="Palatino Linotype"/>
          <w:i/>
          <w:color w:val="000000"/>
        </w:rPr>
        <w:t xml:space="preserve">en la planta baja del palacio de gobierno municipal.”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rsidR="00470BB5" w:rsidRDefault="00470BB5">
      <w:pPr>
        <w:spacing w:line="360" w:lineRule="auto"/>
        <w:ind w:left="1069" w:right="-25"/>
        <w:jc w:val="both"/>
        <w:rPr>
          <w:rFonts w:ascii="Palatino Linotype" w:eastAsia="Palatino Linotype" w:hAnsi="Palatino Linotype" w:cs="Palatino Linotype"/>
          <w:i/>
          <w:color w:val="000000"/>
        </w:rPr>
      </w:pPr>
    </w:p>
    <w:p w:rsidR="00470BB5" w:rsidRDefault="003B6259">
      <w:pPr>
        <w:spacing w:line="360" w:lineRule="auto"/>
        <w:ind w:right="-25"/>
        <w:jc w:val="both"/>
        <w:rPr>
          <w:rFonts w:ascii="Palatino Linotype" w:eastAsia="Palatino Linotype" w:hAnsi="Palatino Linotype" w:cs="Palatino Linotype"/>
        </w:rPr>
      </w:pPr>
      <w:hyperlink r:id="rId9">
        <w:r w:rsidR="007649AE">
          <w:rPr>
            <w:rFonts w:ascii="Palatino Linotype" w:eastAsia="Palatino Linotype" w:hAnsi="Palatino Linotype" w:cs="Palatino Linotype"/>
            <w:b/>
          </w:rPr>
          <w:t>00101/HUEHUETO/IP/2024</w:t>
        </w:r>
      </w:hyperlink>
      <w:r w:rsidR="007649AE">
        <w:rPr>
          <w:rFonts w:ascii="Palatino Linotype" w:eastAsia="Palatino Linotype" w:hAnsi="Palatino Linotype" w:cs="Palatino Linotype"/>
          <w:b/>
        </w:rPr>
        <w:t>:</w:t>
      </w:r>
    </w:p>
    <w:p w:rsidR="00470BB5" w:rsidRDefault="007649AE">
      <w:pPr>
        <w:tabs>
          <w:tab w:val="left" w:pos="3828"/>
        </w:tabs>
        <w:spacing w:line="360" w:lineRule="auto"/>
        <w:ind w:left="1069" w:right="-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“El nombre completo, imagen del gafete oficial con fotografía por ambos lados, funciones administrativas atribuciones y facultades legales, percepciones económicas, de todo el personal adscrito a la Coordinación Jurídica”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rsidR="00470BB5" w:rsidRDefault="00470BB5">
      <w:pPr>
        <w:spacing w:line="360" w:lineRule="auto"/>
        <w:ind w:right="-876"/>
        <w:jc w:val="both"/>
        <w:rPr>
          <w:rFonts w:ascii="Palatino Linotype" w:eastAsia="Palatino Linotype" w:hAnsi="Palatino Linotype" w:cs="Palatino Linotype"/>
          <w:i/>
          <w:color w:val="000000"/>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Se eligió como modalidad de entrega a través de la plataforma digital Sistema de Acceso a la Información Mexiquense (SAIMEX).</w:t>
      </w:r>
    </w:p>
    <w:p w:rsidR="00470BB5" w:rsidRDefault="00470BB5">
      <w:pPr>
        <w:ind w:right="-876"/>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El treinta y uno (31) y treinta (30) de enero de dos mil veinticuatro respectivamente,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 de información en los siguientes términos:</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00115/HUEHUETO/IP/2024 - 00963/INFOEM/IP/RR/2024</w:t>
      </w:r>
    </w:p>
    <w:p w:rsidR="00470BB5" w:rsidRDefault="00470BB5">
      <w:pPr>
        <w:spacing w:line="360" w:lineRule="auto"/>
        <w:ind w:right="-25"/>
        <w:jc w:val="both"/>
        <w:rPr>
          <w:rFonts w:ascii="Palatino Linotype" w:eastAsia="Palatino Linotype" w:hAnsi="Palatino Linotype" w:cs="Palatino Linotype"/>
          <w:sz w:val="22"/>
          <w:szCs w:val="22"/>
        </w:rPr>
      </w:pPr>
    </w:p>
    <w:p w:rsidR="00470BB5" w:rsidRDefault="007649AE">
      <w:pPr>
        <w:spacing w:line="360" w:lineRule="auto"/>
        <w:ind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Huehuetoca, México a 31 de Enero de 2024</w:t>
      </w:r>
    </w:p>
    <w:p w:rsidR="00470BB5" w:rsidRDefault="007649AE">
      <w:pPr>
        <w:spacing w:line="360" w:lineRule="auto"/>
        <w:ind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p w:rsidR="00470BB5" w:rsidRDefault="007649AE">
      <w:pPr>
        <w:spacing w:line="360" w:lineRule="auto"/>
        <w:ind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00115/HUEHUETO/IP/2024</w:t>
      </w:r>
    </w:p>
    <w:p w:rsidR="00470BB5" w:rsidRDefault="00470BB5">
      <w:pPr>
        <w:spacing w:line="360" w:lineRule="auto"/>
        <w:ind w:right="-25"/>
        <w:jc w:val="right"/>
        <w:rPr>
          <w:rFonts w:ascii="Palatino Linotype" w:eastAsia="Palatino Linotype" w:hAnsi="Palatino Linotype" w:cs="Palatino Linotype"/>
          <w:i/>
          <w:sz w:val="22"/>
          <w:szCs w:val="22"/>
        </w:rPr>
      </w:pPr>
    </w:p>
    <w:p w:rsidR="00470BB5" w:rsidRDefault="007649AE">
      <w:pPr>
        <w:spacing w:line="360" w:lineRule="auto"/>
        <w:ind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470BB5" w:rsidRDefault="007649AE">
      <w:pPr>
        <w:spacing w:line="360" w:lineRule="auto"/>
        <w:ind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rsidR="00470BB5" w:rsidRDefault="00470BB5">
      <w:pPr>
        <w:spacing w:line="360" w:lineRule="auto"/>
        <w:ind w:right="-25"/>
        <w:jc w:val="both"/>
        <w:rPr>
          <w:rFonts w:ascii="Palatino Linotype" w:eastAsia="Palatino Linotype" w:hAnsi="Palatino Linotype" w:cs="Palatino Linotype"/>
          <w:i/>
          <w:sz w:val="22"/>
          <w:szCs w:val="22"/>
        </w:rPr>
      </w:pPr>
    </w:p>
    <w:p w:rsidR="00470BB5" w:rsidRDefault="007649AE">
      <w:pPr>
        <w:spacing w:line="360" w:lineRule="auto"/>
        <w:ind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rsidR="00470BB5" w:rsidRDefault="007649AE">
      <w:pPr>
        <w:spacing w:line="360" w:lineRule="auto"/>
        <w:ind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CARLOS ALBERTO BRITO ESPINOSA</w:t>
      </w:r>
    </w:p>
    <w:p w:rsidR="00470BB5" w:rsidRDefault="00470BB5">
      <w:pPr>
        <w:spacing w:line="360" w:lineRule="auto"/>
        <w:ind w:right="-25"/>
        <w:jc w:val="both"/>
        <w:rPr>
          <w:rFonts w:ascii="Palatino Linotype" w:eastAsia="Palatino Linotype" w:hAnsi="Palatino Linotype" w:cs="Palatino Linotype"/>
          <w:b/>
          <w:sz w:val="22"/>
          <w:szCs w:val="22"/>
        </w:rPr>
      </w:pPr>
    </w:p>
    <w:p w:rsidR="00470BB5" w:rsidRDefault="007649AE">
      <w:p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adjuntó el archivo que se describe enseguida:</w:t>
      </w:r>
    </w:p>
    <w:p w:rsidR="00470BB5" w:rsidRDefault="00470BB5">
      <w:pPr>
        <w:spacing w:line="360" w:lineRule="auto"/>
        <w:ind w:right="-25"/>
        <w:jc w:val="both"/>
        <w:rPr>
          <w:rFonts w:ascii="Palatino Linotype" w:eastAsia="Palatino Linotype" w:hAnsi="Palatino Linotype" w:cs="Palatino Linotype"/>
          <w:b/>
          <w:sz w:val="22"/>
          <w:szCs w:val="22"/>
        </w:rPr>
      </w:pPr>
    </w:p>
    <w:p w:rsidR="00470BB5" w:rsidRDefault="007649AE">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b/>
          <w:color w:val="0070C0"/>
          <w:sz w:val="22"/>
          <w:szCs w:val="22"/>
        </w:rPr>
      </w:pPr>
      <w:r>
        <w:rPr>
          <w:rFonts w:ascii="Palatino Linotype" w:eastAsia="Palatino Linotype" w:hAnsi="Palatino Linotype" w:cs="Palatino Linotype"/>
          <w:b/>
          <w:color w:val="0070C0"/>
          <w:sz w:val="22"/>
          <w:szCs w:val="22"/>
          <w:u w:val="single"/>
        </w:rPr>
        <w:t>00115HUEHUETOIP2024.pdf</w:t>
      </w:r>
      <w:r>
        <w:rPr>
          <w:rFonts w:ascii="Palatino Linotype" w:eastAsia="Palatino Linotype" w:hAnsi="Palatino Linotype" w:cs="Palatino Linotype"/>
          <w:b/>
          <w:color w:val="000000"/>
          <w:sz w:val="22"/>
          <w:szCs w:val="22"/>
          <w:u w:val="single"/>
        </w:rPr>
        <w:t>:</w:t>
      </w:r>
      <w:r>
        <w:rPr>
          <w:rFonts w:ascii="Palatino Linotype" w:eastAsia="Palatino Linotype" w:hAnsi="Palatino Linotype" w:cs="Palatino Linotype"/>
          <w:color w:val="000000"/>
          <w:sz w:val="22"/>
          <w:szCs w:val="22"/>
        </w:rPr>
        <w:t xml:space="preserve"> Oficio PMH/</w:t>
      </w:r>
      <w:proofErr w:type="spellStart"/>
      <w:r>
        <w:rPr>
          <w:rFonts w:ascii="Palatino Linotype" w:eastAsia="Palatino Linotype" w:hAnsi="Palatino Linotype" w:cs="Palatino Linotype"/>
          <w:color w:val="000000"/>
          <w:sz w:val="22"/>
          <w:szCs w:val="22"/>
        </w:rPr>
        <w:t>DARHySG</w:t>
      </w:r>
      <w:proofErr w:type="spellEnd"/>
      <w:r>
        <w:rPr>
          <w:rFonts w:ascii="Palatino Linotype" w:eastAsia="Palatino Linotype" w:hAnsi="Palatino Linotype" w:cs="Palatino Linotype"/>
          <w:color w:val="000000"/>
          <w:sz w:val="22"/>
          <w:szCs w:val="22"/>
        </w:rPr>
        <w:t xml:space="preserve">/063/01/2024 de fecha treinta de enero de dos mil veinticuatro firmado por la Directora de Administración de Recursos Humanos y Servicios Generales, dirigido al Titular de la Unidad de Transparencia y Acceso a la Información Pública, en el que remite la información y anexos relativos a dos servidores públicos, haciendo mención también sobre la razón que motiva la clasificación de información confidencial.  </w:t>
      </w:r>
    </w:p>
    <w:p w:rsidR="00470BB5" w:rsidRDefault="00470BB5">
      <w:pPr>
        <w:spacing w:line="360" w:lineRule="auto"/>
        <w:ind w:right="-25"/>
        <w:jc w:val="both"/>
        <w:rPr>
          <w:rFonts w:ascii="Palatino Linotype" w:eastAsia="Palatino Linotype" w:hAnsi="Palatino Linotype" w:cs="Palatino Linotype"/>
          <w:b/>
          <w:sz w:val="22"/>
          <w:szCs w:val="22"/>
        </w:rPr>
      </w:pPr>
    </w:p>
    <w:p w:rsidR="00470BB5" w:rsidRDefault="007649AE">
      <w:p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00101/HUEHUETO/IP/2024 - 00964/INFOEM/IP/RR/2024</w:t>
      </w:r>
    </w:p>
    <w:p w:rsidR="00470BB5" w:rsidRDefault="007649AE">
      <w:pPr>
        <w:spacing w:line="360" w:lineRule="auto"/>
        <w:ind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Huehuetoca, México a 30 de Enero de 2024</w:t>
      </w:r>
    </w:p>
    <w:p w:rsidR="00470BB5" w:rsidRDefault="007649AE">
      <w:pPr>
        <w:spacing w:line="360" w:lineRule="auto"/>
        <w:ind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p w:rsidR="00470BB5" w:rsidRDefault="007649AE">
      <w:pPr>
        <w:spacing w:line="360" w:lineRule="auto"/>
        <w:ind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00101/HUEHUETO/IP/2024</w:t>
      </w:r>
    </w:p>
    <w:p w:rsidR="00470BB5" w:rsidRDefault="00470BB5">
      <w:pPr>
        <w:spacing w:line="360" w:lineRule="auto"/>
        <w:ind w:right="-25"/>
        <w:jc w:val="right"/>
        <w:rPr>
          <w:rFonts w:ascii="Palatino Linotype" w:eastAsia="Palatino Linotype" w:hAnsi="Palatino Linotype" w:cs="Palatino Linotype"/>
          <w:i/>
          <w:sz w:val="22"/>
          <w:szCs w:val="22"/>
        </w:rPr>
      </w:pPr>
    </w:p>
    <w:p w:rsidR="00470BB5" w:rsidRDefault="007649AE">
      <w:pPr>
        <w:spacing w:line="360" w:lineRule="auto"/>
        <w:ind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rsidR="00470BB5" w:rsidRDefault="007649AE">
      <w:pPr>
        <w:spacing w:line="360" w:lineRule="auto"/>
        <w:ind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rsidR="00470BB5" w:rsidRDefault="00470BB5">
      <w:pPr>
        <w:spacing w:line="360" w:lineRule="auto"/>
        <w:ind w:right="-25"/>
        <w:jc w:val="both"/>
        <w:rPr>
          <w:rFonts w:ascii="Palatino Linotype" w:eastAsia="Palatino Linotype" w:hAnsi="Palatino Linotype" w:cs="Palatino Linotype"/>
          <w:i/>
          <w:sz w:val="22"/>
          <w:szCs w:val="22"/>
        </w:rPr>
      </w:pPr>
    </w:p>
    <w:p w:rsidR="00470BB5" w:rsidRDefault="007649AE">
      <w:pPr>
        <w:spacing w:line="360" w:lineRule="auto"/>
        <w:ind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rsidR="00470BB5" w:rsidRDefault="007649AE">
      <w:pPr>
        <w:spacing w:line="360" w:lineRule="auto"/>
        <w:ind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CARLOS ALBERTO BRITO ESPINOSA</w:t>
      </w:r>
    </w:p>
    <w:p w:rsidR="00470BB5" w:rsidRDefault="00470BB5">
      <w:pPr>
        <w:spacing w:line="360" w:lineRule="auto"/>
        <w:ind w:right="-25"/>
        <w:jc w:val="both"/>
        <w:rPr>
          <w:rFonts w:ascii="Palatino Linotype" w:eastAsia="Palatino Linotype" w:hAnsi="Palatino Linotype" w:cs="Palatino Linotype"/>
          <w:i/>
          <w:sz w:val="22"/>
          <w:szCs w:val="22"/>
        </w:rPr>
      </w:pPr>
    </w:p>
    <w:p w:rsidR="00470BB5" w:rsidRDefault="007649AE">
      <w:p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adjuntó el archivo que se describe enseguida:</w:t>
      </w:r>
    </w:p>
    <w:p w:rsidR="00470BB5" w:rsidRDefault="00470BB5">
      <w:pPr>
        <w:spacing w:line="360" w:lineRule="auto"/>
        <w:ind w:right="-25"/>
        <w:jc w:val="both"/>
        <w:rPr>
          <w:rFonts w:ascii="Palatino Linotype" w:eastAsia="Palatino Linotype" w:hAnsi="Palatino Linotype" w:cs="Palatino Linotype"/>
          <w:b/>
          <w:sz w:val="22"/>
          <w:szCs w:val="22"/>
        </w:rPr>
      </w:pPr>
    </w:p>
    <w:p w:rsidR="00470BB5" w:rsidRDefault="007649AE">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70C0"/>
          <w:sz w:val="22"/>
          <w:szCs w:val="22"/>
          <w:u w:val="single"/>
        </w:rPr>
        <w:t>00101HUEHUETOIP2024.pdf</w:t>
      </w:r>
      <w:r>
        <w:rPr>
          <w:rFonts w:ascii="Palatino Linotype" w:eastAsia="Palatino Linotype" w:hAnsi="Palatino Linotype" w:cs="Palatino Linotype"/>
          <w:b/>
          <w:color w:val="000000"/>
          <w:sz w:val="22"/>
          <w:szCs w:val="22"/>
          <w:u w:val="single"/>
        </w:rPr>
        <w:t>:</w:t>
      </w:r>
      <w:r>
        <w:rPr>
          <w:rFonts w:ascii="Palatino Linotype" w:eastAsia="Palatino Linotype" w:hAnsi="Palatino Linotype" w:cs="Palatino Linotype"/>
          <w:color w:val="000000"/>
          <w:sz w:val="22"/>
          <w:szCs w:val="22"/>
        </w:rPr>
        <w:t xml:space="preserve"> Oficio PMH/</w:t>
      </w:r>
      <w:proofErr w:type="spellStart"/>
      <w:r>
        <w:rPr>
          <w:rFonts w:ascii="Palatino Linotype" w:eastAsia="Palatino Linotype" w:hAnsi="Palatino Linotype" w:cs="Palatino Linotype"/>
          <w:color w:val="000000"/>
          <w:sz w:val="22"/>
          <w:szCs w:val="22"/>
        </w:rPr>
        <w:t>DARHySG</w:t>
      </w:r>
      <w:proofErr w:type="spellEnd"/>
      <w:r>
        <w:rPr>
          <w:rFonts w:ascii="Palatino Linotype" w:eastAsia="Palatino Linotype" w:hAnsi="Palatino Linotype" w:cs="Palatino Linotype"/>
          <w:color w:val="000000"/>
          <w:sz w:val="22"/>
          <w:szCs w:val="22"/>
        </w:rPr>
        <w:t xml:space="preserve">/064/01/2024 de fecha treinta de enero de dos mil veinticuatro firmado por la Directora de Administración de Recursos Humanos y Servicios Generales, dirigido al Titular de la Unidad de Transparencia y Acceso a la Información Pública, en el que indica: </w:t>
      </w:r>
    </w:p>
    <w:p w:rsidR="00470BB5" w:rsidRDefault="00470BB5">
      <w:pPr>
        <w:spacing w:line="360" w:lineRule="auto"/>
        <w:ind w:right="-25"/>
        <w:jc w:val="both"/>
        <w:rPr>
          <w:rFonts w:ascii="Palatino Linotype" w:eastAsia="Palatino Linotype" w:hAnsi="Palatino Linotype" w:cs="Palatino Linotype"/>
          <w:i/>
          <w:sz w:val="22"/>
          <w:szCs w:val="22"/>
        </w:rPr>
      </w:pPr>
    </w:p>
    <w:p w:rsidR="00470BB5" w:rsidRDefault="007649AE">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remito a usted la información con la que cuenta esta dirección; nombre completo y gafete de servidor público. Las funciones administrativas, atribuciones y facultades las puede consultar en el Artículo 160 del Bando Municipal Vigente, mismo que se mismo que se adjunta en este oficio.</w:t>
      </w:r>
    </w:p>
    <w:p w:rsidR="00470BB5" w:rsidRDefault="00470BB5">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p>
    <w:p w:rsidR="00470BB5" w:rsidRDefault="007649AE">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Se adjuntan 1 foja de gafete y 1 foja de funciones, atribuciones y facultades.</w:t>
      </w:r>
    </w:p>
    <w:p w:rsidR="00470BB5" w:rsidRDefault="00470BB5">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p>
    <w:p w:rsidR="00470BB5" w:rsidRDefault="007649AE">
      <w:pPr>
        <w:pBdr>
          <w:top w:val="nil"/>
          <w:left w:val="nil"/>
          <w:bottom w:val="nil"/>
          <w:right w:val="nil"/>
          <w:between w:val="nil"/>
        </w:pBdr>
        <w:spacing w:line="360" w:lineRule="auto"/>
        <w:ind w:left="720"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Asimismo, he de mencionar que esta área no cuenta con información acerca de sueldos de los servidores públicos, el área facultada es la Tesorería Municipal.” </w:t>
      </w:r>
      <w:r>
        <w:rPr>
          <w:rFonts w:ascii="Palatino Linotype" w:eastAsia="Palatino Linotype" w:hAnsi="Palatino Linotype" w:cs="Palatino Linotype"/>
          <w:color w:val="000000"/>
          <w:sz w:val="22"/>
          <w:szCs w:val="22"/>
        </w:rPr>
        <w:t xml:space="preserve"> (Sic)</w:t>
      </w:r>
    </w:p>
    <w:p w:rsidR="00470BB5" w:rsidRDefault="00470BB5">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p>
    <w:p w:rsidR="00470BB5" w:rsidRDefault="007649AE">
      <w:pPr>
        <w:numPr>
          <w:ilvl w:val="0"/>
          <w:numId w:val="6"/>
        </w:numPr>
        <w:pBdr>
          <w:top w:val="nil"/>
          <w:left w:val="nil"/>
          <w:bottom w:val="nil"/>
          <w:right w:val="nil"/>
          <w:between w:val="nil"/>
        </w:pBdr>
        <w:spacing w:line="360" w:lineRule="auto"/>
        <w:ind w:left="851" w:right="-25"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Se anexa al oficio la copia de una identificación institucional por ambos lados y las páginas 42 y 43 del Bando Municipal 2023. Asimismo hace mención sobre la razón que motiva la clasificación de información confidencial.  </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bookmarkStart w:id="2" w:name="_heading=h.30j0zll" w:colFirst="0" w:colLast="0"/>
      <w:bookmarkEnd w:id="2"/>
      <w:r>
        <w:rPr>
          <w:rFonts w:ascii="Palatino Linotype" w:eastAsia="Palatino Linotype" w:hAnsi="Palatino Linotype" w:cs="Palatino Linotype"/>
        </w:rPr>
        <w:t xml:space="preserve">El veinte (20) y veintiuno (21) de febrero de dos mil veinticuatro respectivamente,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rsidR="00470BB5" w:rsidRDefault="007649AE">
      <w:pPr>
        <w:spacing w:line="360" w:lineRule="auto"/>
        <w:ind w:right="-8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00963/INFOEM/IP/RR/2024:</w:t>
      </w:r>
    </w:p>
    <w:p w:rsidR="00470BB5" w:rsidRDefault="007649AE">
      <w:pPr>
        <w:numPr>
          <w:ilvl w:val="0"/>
          <w:numId w:val="11"/>
        </w:numPr>
        <w:spacing w:line="360" w:lineRule="auto"/>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“La respuesta emitida por el sujeto obligado, pues niegan la información solicitada, además, fabrican la información proporcionada ex profeso para realizar una contestación misma que resulta incongruente, pues en la parte del </w:t>
      </w:r>
      <w:proofErr w:type="spellStart"/>
      <w:r>
        <w:rPr>
          <w:rFonts w:ascii="Palatino Linotype" w:eastAsia="Palatino Linotype" w:hAnsi="Palatino Linotype" w:cs="Palatino Linotype"/>
          <w:i/>
          <w:color w:val="000000"/>
          <w:sz w:val="22"/>
          <w:szCs w:val="22"/>
        </w:rPr>
        <w:t>curriculum</w:t>
      </w:r>
      <w:proofErr w:type="spellEnd"/>
      <w:r>
        <w:rPr>
          <w:rFonts w:ascii="Palatino Linotype" w:eastAsia="Palatino Linotype" w:hAnsi="Palatino Linotype" w:cs="Palatino Linotype"/>
          <w:i/>
          <w:color w:val="000000"/>
          <w:sz w:val="22"/>
          <w:szCs w:val="22"/>
        </w:rPr>
        <w:t xml:space="preserve"> vitae de Ciro Abel Castillo Trejo, apartado EDUCACIÓN, refieren que es Licenciado en Derecho en tanto que en la parte de documentos con los que pretenden acreditar el grado máximo de estudios exhiben una carta de pasante, de manera que se pone en evidencia lo ilógico de la respuesta emitida a la solicitud formulada.” </w:t>
      </w:r>
      <w:r>
        <w:rPr>
          <w:rFonts w:ascii="Palatino Linotype" w:eastAsia="Palatino Linotype" w:hAnsi="Palatino Linotype" w:cs="Palatino Linotype"/>
          <w:color w:val="000000"/>
          <w:sz w:val="22"/>
          <w:szCs w:val="22"/>
        </w:rPr>
        <w:t>(Sic)</w:t>
      </w:r>
    </w:p>
    <w:p w:rsidR="00470BB5" w:rsidRDefault="007649AE">
      <w:pPr>
        <w:numPr>
          <w:ilvl w:val="0"/>
          <w:numId w:val="11"/>
        </w:numPr>
        <w:spacing w:line="360" w:lineRule="auto"/>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Niegan la información solicitada, además, fabrican la información proporcionada ex profeso para realizar una contestación misma que resulta incongruente, pues en la parte del </w:t>
      </w:r>
      <w:proofErr w:type="spellStart"/>
      <w:r>
        <w:rPr>
          <w:rFonts w:ascii="Palatino Linotype" w:eastAsia="Palatino Linotype" w:hAnsi="Palatino Linotype" w:cs="Palatino Linotype"/>
          <w:i/>
          <w:color w:val="000000"/>
          <w:sz w:val="22"/>
          <w:szCs w:val="22"/>
        </w:rPr>
        <w:t>curriculum</w:t>
      </w:r>
      <w:proofErr w:type="spellEnd"/>
      <w:r>
        <w:rPr>
          <w:rFonts w:ascii="Palatino Linotype" w:eastAsia="Palatino Linotype" w:hAnsi="Palatino Linotype" w:cs="Palatino Linotype"/>
          <w:i/>
          <w:color w:val="000000"/>
          <w:sz w:val="22"/>
          <w:szCs w:val="22"/>
        </w:rPr>
        <w:t xml:space="preserve"> vitae de Ciro Abel Castillo Trejo, apartado EDUCACIÓN, refieren que es Licenciado en Derecho en tanto que en la parte de documentos con los que pretenden acreditar el grado máximo de estudios exhiben una carta de pasante, de manera que se pone en evidencia lo ilógico de la respuesta emitida a la solicitud formulada.” </w:t>
      </w:r>
      <w:r>
        <w:rPr>
          <w:rFonts w:ascii="Palatino Linotype" w:eastAsia="Palatino Linotype" w:hAnsi="Palatino Linotype" w:cs="Palatino Linotype"/>
          <w:color w:val="000000"/>
          <w:sz w:val="22"/>
          <w:szCs w:val="22"/>
        </w:rPr>
        <w:t>(Sic)</w:t>
      </w:r>
    </w:p>
    <w:p w:rsidR="00470BB5" w:rsidRDefault="00470BB5">
      <w:pPr>
        <w:tabs>
          <w:tab w:val="left" w:pos="6197"/>
        </w:tabs>
        <w:spacing w:line="360" w:lineRule="auto"/>
        <w:ind w:right="-876"/>
        <w:jc w:val="both"/>
        <w:rPr>
          <w:rFonts w:ascii="Palatino Linotype" w:eastAsia="Palatino Linotype" w:hAnsi="Palatino Linotype" w:cs="Palatino Linotype"/>
          <w:sz w:val="22"/>
          <w:szCs w:val="22"/>
        </w:rPr>
      </w:pPr>
    </w:p>
    <w:p w:rsidR="00470BB5" w:rsidRDefault="007649AE">
      <w:pPr>
        <w:spacing w:line="360" w:lineRule="auto"/>
        <w:ind w:right="-8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00964/INFOEM/IP/RR/2024:</w:t>
      </w:r>
    </w:p>
    <w:p w:rsidR="00470BB5" w:rsidRDefault="007649AE">
      <w:pPr>
        <w:numPr>
          <w:ilvl w:val="0"/>
          <w:numId w:val="2"/>
        </w:numPr>
        <w:spacing w:line="360" w:lineRule="auto"/>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“La respuesta con información incompleta, bajo el pretexto que la coordinación jurídica no cuenta con los recibos de nómina solicitados, en un hecho por demás sorprendente, utilizan dicho argumento creando un artificio para negarme la información, pues que, el titular de la unidad de información correspondiente debió girar la solicitud de información al ente que cuente con la información solicitada, en cambio, la turna a una coordinación que obviamente no tendrá la información con la finalidad de no otorgarla y con ello violenta mi derecho de acceso a la información, motivo por el cual, debe dársele vista a la Contraloría Interna Municipal para que investigue esta transgresión a la Constitución y a la Ley de Transparencia y Acceso a la información aplicable.” </w:t>
      </w:r>
      <w:r>
        <w:rPr>
          <w:rFonts w:ascii="Palatino Linotype" w:eastAsia="Palatino Linotype" w:hAnsi="Palatino Linotype" w:cs="Palatino Linotype"/>
          <w:color w:val="000000"/>
          <w:sz w:val="22"/>
          <w:szCs w:val="22"/>
        </w:rPr>
        <w:t>(Sic)</w:t>
      </w:r>
    </w:p>
    <w:p w:rsidR="00470BB5" w:rsidRDefault="007649AE">
      <w:pPr>
        <w:numPr>
          <w:ilvl w:val="0"/>
          <w:numId w:val="2"/>
        </w:numPr>
        <w:spacing w:line="360" w:lineRule="auto"/>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La respuesta con información incompleta, bajo el pretexto que la coordinación jurídica no cuenta con los recibos de nómina solicitados, en un hecho por demás sorprendente, utilizan dicho argumento creando un artificio para negarme la información, pues que a decir del responsable, el titular de la unidad de información correspondiente debió girar la solicitud de información al ente que cuente con la información solicitada, que es quien tenga los recibos de nómina solicitados, en cambio, la turna a una coordinación que obviamente no tendrá la información con la finalidad de no otorgarla y con ello violenta mi derecho de acceso a la información, motivo por el cual, debe dársele vista a la Contraloría Interna Municipal para que investigue esta transgresión a la Constitución y a la Ley de Transparencia y Acceso a la información aplicable.” </w:t>
      </w:r>
      <w:r>
        <w:rPr>
          <w:rFonts w:ascii="Palatino Linotype" w:eastAsia="Palatino Linotype" w:hAnsi="Palatino Linotype" w:cs="Palatino Linotype"/>
          <w:color w:val="000000"/>
          <w:sz w:val="22"/>
          <w:szCs w:val="22"/>
        </w:rPr>
        <w:t>(Sic)</w:t>
      </w:r>
    </w:p>
    <w:p w:rsidR="00470BB5" w:rsidRDefault="007649AE">
      <w:pPr>
        <w:tabs>
          <w:tab w:val="left" w:pos="6197"/>
        </w:tabs>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ab/>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rsidR="00470BB5" w:rsidRDefault="007649AE">
      <w:pPr>
        <w:numPr>
          <w:ilvl w:val="0"/>
          <w:numId w:val="10"/>
        </w:numPr>
        <w:spacing w:line="360" w:lineRule="auto"/>
        <w:ind w:left="0" w:right="-876" w:hanging="76"/>
        <w:jc w:val="both"/>
        <w:rPr>
          <w:color w:val="000000"/>
        </w:rPr>
      </w:pPr>
      <w:r>
        <w:rPr>
          <w:rFonts w:ascii="Palatino Linotype" w:eastAsia="Palatino Linotype" w:hAnsi="Palatino Linotype" w:cs="Palatino Linotype"/>
        </w:rPr>
        <w:lastRenderedPageBreak/>
        <w:t xml:space="preserve">La Comisionada ponente con fundamento en lo dispuesto por el artículo 185 fracción II de la ley de la materia, a través del acuerdo de admisión del veintidós (22) de febrero de dos mil veinticuatro para el recurso de revisión con número de folio </w:t>
      </w:r>
      <w:r>
        <w:t>00963/INFOEM/IP/RR/2024</w:t>
      </w:r>
      <w:r>
        <w:rPr>
          <w:rFonts w:ascii="Palatino Linotype" w:eastAsia="Palatino Linotype" w:hAnsi="Palatino Linotype" w:cs="Palatino Linotype"/>
        </w:rPr>
        <w:t xml:space="preserve">, así como el acuerdo de admisión del veintiséis (26) de febrero de dos mil veinticuatro para el recurso de revisión con número de folio </w:t>
      </w:r>
      <w:r>
        <w:t>00964/INFOEM/IP/RR/2024</w:t>
      </w:r>
      <w:r>
        <w:rPr>
          <w:rFonts w:ascii="Palatino Linotype" w:eastAsia="Palatino Linotype" w:hAnsi="Palatino Linotype" w:cs="Palatino Linotype"/>
        </w:rPr>
        <w:t xml:space="preserve">,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rsidR="00470BB5" w:rsidRDefault="00470BB5">
      <w:pPr>
        <w:spacing w:line="360" w:lineRule="auto"/>
        <w:ind w:right="-876"/>
        <w:jc w:val="both"/>
        <w:rPr>
          <w:rFonts w:ascii="Palatino Linotype" w:eastAsia="Palatino Linotype" w:hAnsi="Palatino Linotype" w:cs="Palatino Linotype"/>
          <w:i/>
          <w:color w:val="000000"/>
        </w:rPr>
      </w:pPr>
    </w:p>
    <w:p w:rsidR="00470BB5" w:rsidRDefault="007649AE">
      <w:pPr>
        <w:numPr>
          <w:ilvl w:val="0"/>
          <w:numId w:val="10"/>
        </w:numPr>
        <w:spacing w:line="360" w:lineRule="auto"/>
        <w:ind w:left="0" w:right="-876" w:firstLine="0"/>
        <w:jc w:val="both"/>
        <w:rPr>
          <w:color w:val="000000"/>
        </w:rPr>
      </w:pPr>
      <w:r>
        <w:rPr>
          <w:rFonts w:ascii="Palatino Linotype" w:eastAsia="Palatino Linotype" w:hAnsi="Palatino Linotype" w:cs="Palatino Linotype"/>
        </w:rPr>
        <w:t xml:space="preserve">De las constancias en el expediente electrónico SAIMEX, se advierte que el particular no realizó manifestaciones; por su parte, el Sujeto Obligado en fecha seis (06) y doce (12) de marzo de dos mil veinticuatro respectivamente, </w:t>
      </w:r>
      <w:r>
        <w:rPr>
          <w:rFonts w:ascii="Palatino Linotype" w:eastAsia="Palatino Linotype" w:hAnsi="Palatino Linotype" w:cs="Palatino Linotype"/>
          <w:color w:val="000000"/>
        </w:rPr>
        <w:t>realizó manifestaciones mediante archivos adjuntos en formato PDF, de los cuales</w:t>
      </w:r>
      <w:r>
        <w:rPr>
          <w:rFonts w:ascii="Palatino Linotype" w:eastAsia="Palatino Linotype" w:hAnsi="Palatino Linotype" w:cs="Palatino Linotype"/>
        </w:rPr>
        <w:t xml:space="preserve"> solo fueron puestos a la vista del particular los referentes al recurso de revisión 00964/INFOEM/IP/RR/2024, el veinticuatro (24) de septiembre de dos mil veinticuatro, y que se describen enseguida: </w:t>
      </w:r>
    </w:p>
    <w:p w:rsidR="00470BB5" w:rsidRDefault="007649AE">
      <w:pPr>
        <w:spacing w:line="360" w:lineRule="auto"/>
        <w:ind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00963/INFOEM/IP/RR/2024</w:t>
      </w:r>
      <w:r>
        <w:rPr>
          <w:rFonts w:ascii="Palatino Linotype" w:eastAsia="Palatino Linotype" w:hAnsi="Palatino Linotype" w:cs="Palatino Linotype"/>
          <w:sz w:val="22"/>
          <w:szCs w:val="22"/>
        </w:rPr>
        <w:t>:</w:t>
      </w:r>
    </w:p>
    <w:p w:rsidR="00470BB5" w:rsidRDefault="007649AE">
      <w:pPr>
        <w:numPr>
          <w:ilvl w:val="0"/>
          <w:numId w:val="1"/>
        </w:numPr>
        <w:pBdr>
          <w:top w:val="nil"/>
          <w:left w:val="nil"/>
          <w:bottom w:val="nil"/>
          <w:right w:val="nil"/>
          <w:between w:val="nil"/>
        </w:pBdr>
        <w:spacing w:line="360" w:lineRule="auto"/>
        <w:ind w:right="-1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563C1"/>
          <w:sz w:val="22"/>
          <w:szCs w:val="22"/>
          <w:u w:val="single"/>
        </w:rPr>
        <w:t>00963INFOEMIPRR2024.pdf</w:t>
      </w:r>
      <w:r>
        <w:rPr>
          <w:rFonts w:ascii="Palatino Linotype" w:eastAsia="Palatino Linotype" w:hAnsi="Palatino Linotype" w:cs="Palatino Linotype"/>
          <w:color w:val="000000"/>
          <w:sz w:val="22"/>
          <w:szCs w:val="22"/>
        </w:rPr>
        <w:t xml:space="preserve">: Oficio firmado por la Directora de Administración de Recursos Humanos y Servicios Generales, dirigido  al Instituto de Transparencia, Acceso a la Información Pública y Protección de Datos Personales del Estado de México y Municipios, manifestando que la información proporcionada es tal cual obra en los archivos de esa Dirección, misma que satisface la solicitud de información realizada, y </w:t>
      </w:r>
      <w:r>
        <w:rPr>
          <w:rFonts w:ascii="Palatino Linotype" w:eastAsia="Palatino Linotype" w:hAnsi="Palatino Linotype" w:cs="Palatino Linotype"/>
          <w:color w:val="000000"/>
          <w:sz w:val="22"/>
          <w:szCs w:val="22"/>
        </w:rPr>
        <w:lastRenderedPageBreak/>
        <w:t>adjunta nuevamente en formato PDF copias de identificaciones institucionales por ambos lados,  fichas curriculares y comprobantes de estudios de dos servidores públicos.</w:t>
      </w:r>
    </w:p>
    <w:p w:rsidR="00470BB5" w:rsidRDefault="00470BB5">
      <w:pPr>
        <w:spacing w:line="360" w:lineRule="auto"/>
        <w:ind w:right="-167"/>
        <w:jc w:val="both"/>
        <w:rPr>
          <w:rFonts w:ascii="Palatino Linotype" w:eastAsia="Palatino Linotype" w:hAnsi="Palatino Linotype" w:cs="Palatino Linotype"/>
          <w:sz w:val="22"/>
          <w:szCs w:val="22"/>
        </w:rPr>
      </w:pPr>
    </w:p>
    <w:p w:rsidR="00470BB5" w:rsidRDefault="007649AE">
      <w:pPr>
        <w:spacing w:line="360" w:lineRule="auto"/>
        <w:ind w:right="-1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00964/INFOEM/IP/RR/2024:</w:t>
      </w:r>
    </w:p>
    <w:p w:rsidR="00470BB5" w:rsidRDefault="007649AE">
      <w:pPr>
        <w:numPr>
          <w:ilvl w:val="0"/>
          <w:numId w:val="1"/>
        </w:numPr>
        <w:pBdr>
          <w:top w:val="nil"/>
          <w:left w:val="nil"/>
          <w:bottom w:val="nil"/>
          <w:right w:val="nil"/>
          <w:between w:val="nil"/>
        </w:pBdr>
        <w:spacing w:line="360" w:lineRule="auto"/>
        <w:ind w:right="-1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563C1"/>
          <w:sz w:val="22"/>
          <w:szCs w:val="22"/>
          <w:u w:val="single"/>
        </w:rPr>
        <w:t>00964INFOEMIPRR2024.pdf</w:t>
      </w:r>
      <w:r>
        <w:rPr>
          <w:rFonts w:ascii="Palatino Linotype" w:eastAsia="Palatino Linotype" w:hAnsi="Palatino Linotype" w:cs="Palatino Linotype"/>
          <w:color w:val="000000"/>
          <w:sz w:val="22"/>
          <w:szCs w:val="22"/>
        </w:rPr>
        <w:t>: Oficio firmado por la Directora de Administración de Recursos Humanos y Servicios Generales, dirigido al Instituto de Transparencia, Acceso a la Información Pública y Protección de Datos Personales del Estado de México y Municipios, manifestando que la información proporcionada es la que obra en los archivos de esa Dirección, misma que satisface la solicitud de información realizada, y adjunta nuevamente la copia de una identificación institucional por ambos lados y las páginas 42 y 43 del Bando Municipal 2023.</w:t>
      </w:r>
    </w:p>
    <w:p w:rsidR="00470BB5" w:rsidRDefault="007649AE">
      <w:pPr>
        <w:numPr>
          <w:ilvl w:val="0"/>
          <w:numId w:val="1"/>
        </w:numPr>
        <w:pBdr>
          <w:top w:val="nil"/>
          <w:left w:val="nil"/>
          <w:bottom w:val="nil"/>
          <w:right w:val="nil"/>
          <w:between w:val="nil"/>
        </w:pBdr>
        <w:spacing w:line="360" w:lineRule="auto"/>
        <w:ind w:right="-1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563C1"/>
          <w:sz w:val="22"/>
          <w:szCs w:val="22"/>
          <w:u w:val="single"/>
        </w:rPr>
        <w:t>000964INFOEMIPRR2024-TESORERIA.pdf</w:t>
      </w:r>
      <w:r>
        <w:rPr>
          <w:rFonts w:ascii="Palatino Linotype" w:eastAsia="Palatino Linotype" w:hAnsi="Palatino Linotype" w:cs="Palatino Linotype"/>
          <w:color w:val="000000"/>
          <w:sz w:val="22"/>
          <w:szCs w:val="22"/>
        </w:rPr>
        <w:t>: Oficio firmado por la Tesorera Municipal, dirigido al Titular de la Unidad de Transparencia y Acceso a la Información Pública, manifestando que la solicitud fue atendida a través del oficio número PMH/TM01/90/2024 de fecha veinticinco de enero de dos mil veinticuatro, del cual se anexa copia, exponiendo también que el solicitante no pidió recibos de nómina, sino percepciones económicas del personal de la Dirección Jurídica, información que fue enviada mediante el oficio antes señalado, mismo que contiene en documento anexo por duplicado una tabla con la descripción de nombres de servidores públicos y percepciones de la Dirección Jurídica y Justicia Cívica.</w:t>
      </w:r>
    </w:p>
    <w:p w:rsidR="00470BB5" w:rsidRDefault="00470BB5">
      <w:pPr>
        <w:spacing w:line="360" w:lineRule="auto"/>
        <w:ind w:right="-876"/>
        <w:jc w:val="both"/>
        <w:rPr>
          <w:rFonts w:ascii="Palatino Linotype" w:eastAsia="Palatino Linotype" w:hAnsi="Palatino Linotype" w:cs="Palatino Linotype"/>
          <w:i/>
          <w:color w:val="000000"/>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el recurso de revisión con número </w:t>
      </w:r>
      <w:r>
        <w:rPr>
          <w:rFonts w:ascii="Palatino Linotype" w:eastAsia="Palatino Linotype" w:hAnsi="Palatino Linotype" w:cs="Palatino Linotype"/>
          <w:b/>
        </w:rPr>
        <w:t xml:space="preserve">00963/INFOEM/IP/RR/2024,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lastRenderedPageBreak/>
        <w:t xml:space="preserve">María del Rosario Mejía Ayala </w:t>
      </w:r>
      <w:r>
        <w:rPr>
          <w:rFonts w:ascii="Palatino Linotype" w:eastAsia="Palatino Linotype" w:hAnsi="Palatino Linotype" w:cs="Palatino Linotype"/>
        </w:rPr>
        <w:t>con el objeto de su análisis, posteriormente el Pleno de este Órgano Autónomo, en la</w:t>
      </w:r>
      <w:r>
        <w:rPr>
          <w:rFonts w:ascii="Palatino Linotype" w:eastAsia="Palatino Linotype" w:hAnsi="Palatino Linotype" w:cs="Palatino Linotype"/>
          <w:b/>
        </w:rPr>
        <w:t xml:space="preserve"> Octava Sesión Ordinaria</w:t>
      </w:r>
      <w:r>
        <w:rPr>
          <w:rFonts w:ascii="Palatino Linotype" w:eastAsia="Palatino Linotype" w:hAnsi="Palatino Linotype" w:cs="Palatino Linotype"/>
        </w:rPr>
        <w:t xml:space="preserve"> del seis (06) de marzo de dos mil veinticuatro, ordenó la acumulación del recurso de revisión</w:t>
      </w:r>
      <w:r>
        <w:rPr>
          <w:rFonts w:ascii="Palatino Linotype" w:eastAsia="Palatino Linotype" w:hAnsi="Palatino Linotype" w:cs="Palatino Linotype"/>
          <w:b/>
        </w:rPr>
        <w:t xml:space="preserve"> 00964/INFOEM/IP/RR/2024. </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Así el veintitrés (23) de septiembre de dos mil veinticuatro, se notificó el acuerdo mediante el cual se decretó la acumulación de los recursos de revisión.</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470BB5" w:rsidRDefault="007649AE">
      <w:pPr>
        <w:spacing w:line="360" w:lineRule="auto"/>
        <w:ind w:left="709"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rsidR="00470BB5" w:rsidRDefault="00470BB5">
      <w:pPr>
        <w:spacing w:line="360" w:lineRule="auto"/>
        <w:ind w:left="709" w:right="-167"/>
        <w:jc w:val="center"/>
        <w:rPr>
          <w:rFonts w:ascii="Palatino Linotype" w:eastAsia="Palatino Linotype" w:hAnsi="Palatino Linotype" w:cs="Palatino Linotype"/>
          <w:b/>
          <w:i/>
          <w:sz w:val="22"/>
          <w:szCs w:val="22"/>
        </w:rPr>
      </w:pPr>
    </w:p>
    <w:p w:rsidR="00470BB5" w:rsidRDefault="007649AE">
      <w:pPr>
        <w:spacing w:line="360" w:lineRule="auto"/>
        <w:ind w:left="709"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470BB5" w:rsidRDefault="00470BB5">
      <w:pPr>
        <w:spacing w:line="360" w:lineRule="auto"/>
        <w:ind w:right="-167"/>
        <w:jc w:val="both"/>
        <w:rPr>
          <w:rFonts w:ascii="Palatino Linotype" w:eastAsia="Palatino Linotype" w:hAnsi="Palatino Linotype" w:cs="Palatino Linotype"/>
          <w:i/>
          <w:sz w:val="22"/>
          <w:szCs w:val="22"/>
        </w:rPr>
      </w:pPr>
    </w:p>
    <w:p w:rsidR="00470BB5" w:rsidRDefault="007649AE">
      <w:pPr>
        <w:spacing w:line="360" w:lineRule="auto"/>
        <w:ind w:left="709"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rsidR="00470BB5" w:rsidRDefault="00470BB5">
      <w:pPr>
        <w:spacing w:line="360" w:lineRule="auto"/>
        <w:ind w:left="709" w:right="-167"/>
        <w:jc w:val="center"/>
        <w:rPr>
          <w:rFonts w:ascii="Palatino Linotype" w:eastAsia="Palatino Linotype" w:hAnsi="Palatino Linotype" w:cs="Palatino Linotype"/>
          <w:b/>
          <w:i/>
          <w:sz w:val="22"/>
          <w:szCs w:val="22"/>
        </w:rPr>
      </w:pPr>
    </w:p>
    <w:p w:rsidR="00470BB5" w:rsidRDefault="007649AE">
      <w:pPr>
        <w:spacing w:line="360" w:lineRule="auto"/>
        <w:ind w:left="709"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El veintitrés (23) de septiembre de dos mil veinticuatro, se notificó el acuerdo mediante el cual se aprobó la ampliación de plazo para emitir resolución. </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470BB5" w:rsidRDefault="007649AE">
      <w:pPr>
        <w:numPr>
          <w:ilvl w:val="0"/>
          <w:numId w:val="12"/>
        </w:numPr>
        <w:pBdr>
          <w:top w:val="nil"/>
          <w:left w:val="nil"/>
          <w:bottom w:val="nil"/>
          <w:right w:val="nil"/>
          <w:between w:val="nil"/>
        </w:pBdr>
        <w:spacing w:line="360" w:lineRule="auto"/>
        <w:ind w:right="-25"/>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Complejidad del </w:t>
      </w:r>
      <w:r>
        <w:rPr>
          <w:rFonts w:ascii="Palatino Linotype" w:eastAsia="Palatino Linotype" w:hAnsi="Palatino Linotype" w:cs="Palatino Linotype"/>
        </w:rPr>
        <w:t>asunto</w:t>
      </w:r>
      <w:r>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470BB5" w:rsidRDefault="007649AE">
      <w:pPr>
        <w:numPr>
          <w:ilvl w:val="0"/>
          <w:numId w:val="12"/>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rsidR="00470BB5" w:rsidRDefault="007649AE">
      <w:pPr>
        <w:numPr>
          <w:ilvl w:val="0"/>
          <w:numId w:val="12"/>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470BB5" w:rsidRDefault="007649AE">
      <w:pPr>
        <w:numPr>
          <w:ilvl w:val="0"/>
          <w:numId w:val="12"/>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afectación generada en la situación jurídica de la persona involucrada en el proceso: Violación a sus derechos humanos.</w:t>
      </w:r>
    </w:p>
    <w:p w:rsidR="00470BB5" w:rsidRDefault="00470BB5">
      <w:pPr>
        <w:pBdr>
          <w:top w:val="nil"/>
          <w:left w:val="nil"/>
          <w:bottom w:val="nil"/>
          <w:right w:val="nil"/>
          <w:between w:val="nil"/>
        </w:pBdr>
        <w:spacing w:line="360" w:lineRule="auto"/>
        <w:ind w:left="851"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470BB5" w:rsidRDefault="007649AE">
      <w:pPr>
        <w:pBdr>
          <w:top w:val="nil"/>
          <w:left w:val="nil"/>
          <w:bottom w:val="nil"/>
          <w:right w:val="nil"/>
          <w:between w:val="nil"/>
        </w:pBdr>
        <w:spacing w:line="360" w:lineRule="auto"/>
        <w:ind w:left="851" w:right="-30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xml:space="preserve">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rsidR="00470BB5" w:rsidRDefault="00470BB5">
      <w:pPr>
        <w:pBdr>
          <w:top w:val="nil"/>
          <w:left w:val="nil"/>
          <w:bottom w:val="nil"/>
          <w:right w:val="nil"/>
          <w:between w:val="nil"/>
        </w:pBdr>
        <w:spacing w:line="360" w:lineRule="auto"/>
        <w:ind w:left="851" w:right="-309"/>
        <w:jc w:val="both"/>
        <w:rPr>
          <w:rFonts w:ascii="Palatino Linotype" w:eastAsia="Palatino Linotype" w:hAnsi="Palatino Linotype" w:cs="Palatino Linotype"/>
          <w:b/>
          <w:color w:val="000000"/>
          <w:sz w:val="22"/>
          <w:szCs w:val="22"/>
        </w:rPr>
      </w:pPr>
    </w:p>
    <w:p w:rsidR="00470BB5" w:rsidRDefault="007649AE">
      <w:pPr>
        <w:pBdr>
          <w:top w:val="nil"/>
          <w:left w:val="nil"/>
          <w:bottom w:val="nil"/>
          <w:right w:val="nil"/>
          <w:between w:val="nil"/>
        </w:pBdr>
        <w:spacing w:line="360" w:lineRule="auto"/>
        <w:ind w:left="851" w:right="-30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El veinticinco (25) y treinta (30) de septiembre de dos mil veinticuatro, se notificaron los acuerdos a través de los cuales se decretó el cierre de instrucción. </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keepNext/>
        <w:keepLines/>
        <w:spacing w:line="360" w:lineRule="auto"/>
        <w:ind w:right="-876"/>
        <w:jc w:val="center"/>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b/>
        </w:rPr>
        <w:t xml:space="preserve">C O N S I D E R A N D O </w:t>
      </w:r>
    </w:p>
    <w:p w:rsidR="00470BB5" w:rsidRDefault="00470BB5">
      <w:pPr>
        <w:spacing w:line="360" w:lineRule="auto"/>
        <w:ind w:right="-876"/>
        <w:rPr>
          <w:rFonts w:ascii="Palatino Linotype" w:eastAsia="Palatino Linotype" w:hAnsi="Palatino Linotype" w:cs="Palatino Linotype"/>
        </w:rPr>
      </w:pPr>
    </w:p>
    <w:p w:rsidR="00470BB5" w:rsidRDefault="007649AE">
      <w:pPr>
        <w:keepNext/>
        <w:keepLines/>
        <w:spacing w:line="360" w:lineRule="auto"/>
        <w:ind w:right="-876"/>
        <w:rPr>
          <w:rFonts w:ascii="Palatino Linotype" w:eastAsia="Palatino Linotype" w:hAnsi="Palatino Linotype" w:cs="Palatino Linotype"/>
          <w:b/>
        </w:rPr>
      </w:pPr>
      <w:bookmarkStart w:id="4" w:name="_heading=h.3znysh7" w:colFirst="0" w:colLast="0"/>
      <w:bookmarkEnd w:id="4"/>
      <w:r>
        <w:rPr>
          <w:rFonts w:ascii="Palatino Linotype" w:eastAsia="Palatino Linotype" w:hAnsi="Palatino Linotype" w:cs="Palatino Linotype"/>
          <w:b/>
        </w:rPr>
        <w:lastRenderedPageBreak/>
        <w:t>PRIMERO. De la competencia</w:t>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keepNext/>
        <w:keepLines/>
        <w:spacing w:line="360" w:lineRule="auto"/>
        <w:ind w:right="-876"/>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b/>
        </w:rPr>
        <w:t>SEGUNDO. De la oportunidad y procedencia.</w:t>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respuestas a las solicitudes el día treinta y treinta y uno de enero de dos mil veinticuatro, de tal forma que el plazo para interponer el recurso de revisión transcurrió del treinta y uno de enero y primero de febrero de dos mil veinticuatro respectivamente, al veintiuno (21) y veintidós (22) de febrero de dos mil veinticuatro , de acuerdo al calendario oficial del INFOEM; en consecuencia, presentó sus inconformidades el día veinte (20) y veintiuno (21) de febrero de dos mil veinticuatro, por lo que se encuentran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Por otra parte, de la revisión al expediente electrónico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w:t>
      </w:r>
      <w:r>
        <w:rPr>
          <w:rFonts w:ascii="Palatino Linotype" w:eastAsia="Palatino Linotype" w:hAnsi="Palatino Linotype" w:cs="Palatino Linotype"/>
        </w:rPr>
        <w:lastRenderedPageBreak/>
        <w:t>causa o su interés en el asunto, lo que permite la posibilidad de que inclusive, la solicitud de acceso a la información pueda ser anónima o no contener un nombre que identifique al solicitante o que permita tener certeza sobre su identidad.</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Por lo que el nombre del solicitante y recurrente no puede ser considerado un requisito indispensable de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del recurso de revisión que nos ocupa, ya que el acceso a la información no está condicionado a acreditar algún interés ya sea jurídico o legítimo, máxime que es un elemento subsanable por este Órgano </w:t>
      </w:r>
      <w:proofErr w:type="spellStart"/>
      <w:r>
        <w:rPr>
          <w:rFonts w:ascii="Palatino Linotype" w:eastAsia="Palatino Linotype" w:hAnsi="Palatino Linotype" w:cs="Palatino Linotype"/>
        </w:rPr>
        <w:t>Resolutor</w:t>
      </w:r>
      <w:proofErr w:type="spellEnd"/>
      <w:r>
        <w:rPr>
          <w:rFonts w:ascii="Palatino Linotype" w:eastAsia="Palatino Linotype" w:hAnsi="Palatino Linotype" w:cs="Palatino Linotype"/>
        </w:rPr>
        <w:t>.</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bookmarkStart w:id="6" w:name="_heading=h.tyjcwt" w:colFirst="0" w:colLast="0"/>
      <w:bookmarkEnd w:id="6"/>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70BB5" w:rsidRDefault="00470BB5">
      <w:pPr>
        <w:pBdr>
          <w:top w:val="nil"/>
          <w:left w:val="nil"/>
          <w:bottom w:val="nil"/>
          <w:right w:val="nil"/>
          <w:between w:val="nil"/>
        </w:pBdr>
        <w:ind w:left="720" w:right="-876"/>
        <w:rPr>
          <w:rFonts w:ascii="Palatino Linotype" w:eastAsia="Palatino Linotype" w:hAnsi="Palatino Linotype" w:cs="Palatino Linotype"/>
          <w:color w:val="000000"/>
        </w:rPr>
      </w:pPr>
    </w:p>
    <w:p w:rsidR="00470BB5" w:rsidRDefault="007649AE">
      <w:pPr>
        <w:spacing w:line="360" w:lineRule="auto"/>
        <w:ind w:right="-876"/>
        <w:jc w:val="both"/>
        <w:rPr>
          <w:rFonts w:ascii="Palatino Linotype" w:eastAsia="Palatino Linotype" w:hAnsi="Palatino Linotype" w:cs="Palatino Linotype"/>
          <w:b/>
        </w:rPr>
      </w:pPr>
      <w:r>
        <w:rPr>
          <w:rFonts w:ascii="Palatino Linotype" w:eastAsia="Palatino Linotype" w:hAnsi="Palatino Linotype" w:cs="Palatino Linotype"/>
          <w:b/>
        </w:rPr>
        <w:t>TERCERO. Planteamiento de la Litis.</w:t>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El particular solicitó:</w:t>
      </w:r>
    </w:p>
    <w:p w:rsidR="00470BB5" w:rsidRDefault="007649AE">
      <w:pPr>
        <w:numPr>
          <w:ilvl w:val="0"/>
          <w:numId w:val="8"/>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Del personal de Oficialía de Partes:</w:t>
      </w:r>
    </w:p>
    <w:p w:rsidR="00470BB5" w:rsidRDefault="007649AE">
      <w:pPr>
        <w:numPr>
          <w:ilvl w:val="3"/>
          <w:numId w:val="10"/>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w:t>
      </w:r>
    </w:p>
    <w:p w:rsidR="00470BB5" w:rsidRDefault="007649AE">
      <w:pPr>
        <w:numPr>
          <w:ilvl w:val="3"/>
          <w:numId w:val="10"/>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Gafete;</w:t>
      </w:r>
    </w:p>
    <w:p w:rsidR="00470BB5" w:rsidRDefault="007649AE">
      <w:pPr>
        <w:numPr>
          <w:ilvl w:val="3"/>
          <w:numId w:val="10"/>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Comprobantes de capacitación legal como administrativa;</w:t>
      </w:r>
    </w:p>
    <w:p w:rsidR="00470BB5" w:rsidRDefault="007649AE">
      <w:pPr>
        <w:numPr>
          <w:ilvl w:val="3"/>
          <w:numId w:val="10"/>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Documento que acredite experiencia en el servicio público;</w:t>
      </w:r>
    </w:p>
    <w:p w:rsidR="00470BB5" w:rsidRDefault="007649AE">
      <w:pPr>
        <w:numPr>
          <w:ilvl w:val="3"/>
          <w:numId w:val="10"/>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Currículum vitae; y</w:t>
      </w:r>
    </w:p>
    <w:p w:rsidR="00470BB5" w:rsidRDefault="007649AE">
      <w:pPr>
        <w:numPr>
          <w:ilvl w:val="3"/>
          <w:numId w:val="10"/>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que acredite el grado máximo de estudios.</w:t>
      </w:r>
    </w:p>
    <w:p w:rsidR="00470BB5" w:rsidRDefault="00470BB5">
      <w:pPr>
        <w:spacing w:line="360" w:lineRule="auto"/>
        <w:ind w:right="-876"/>
        <w:jc w:val="both"/>
        <w:rPr>
          <w:rFonts w:ascii="Palatino Linotype" w:eastAsia="Palatino Linotype" w:hAnsi="Palatino Linotype" w:cs="Palatino Linotype"/>
          <w:sz w:val="22"/>
          <w:szCs w:val="22"/>
        </w:rPr>
      </w:pPr>
    </w:p>
    <w:p w:rsidR="00470BB5" w:rsidRDefault="007649AE">
      <w:pPr>
        <w:numPr>
          <w:ilvl w:val="0"/>
          <w:numId w:val="8"/>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Del personal de Coordinación Jurídica:</w:t>
      </w:r>
    </w:p>
    <w:p w:rsidR="00470BB5" w:rsidRDefault="007649AE">
      <w:pPr>
        <w:numPr>
          <w:ilvl w:val="0"/>
          <w:numId w:val="13"/>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w:t>
      </w:r>
    </w:p>
    <w:p w:rsidR="00470BB5" w:rsidRDefault="007649AE">
      <w:pPr>
        <w:numPr>
          <w:ilvl w:val="0"/>
          <w:numId w:val="13"/>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Gafete;</w:t>
      </w:r>
    </w:p>
    <w:p w:rsidR="00470BB5" w:rsidRDefault="007649AE">
      <w:pPr>
        <w:numPr>
          <w:ilvl w:val="0"/>
          <w:numId w:val="13"/>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Funciones administrativas y facultades legales; </w:t>
      </w:r>
    </w:p>
    <w:p w:rsidR="00470BB5" w:rsidRDefault="007649AE">
      <w:pPr>
        <w:numPr>
          <w:ilvl w:val="0"/>
          <w:numId w:val="13"/>
        </w:numPr>
        <w:pBdr>
          <w:top w:val="nil"/>
          <w:left w:val="nil"/>
          <w:bottom w:val="nil"/>
          <w:right w:val="nil"/>
          <w:between w:val="nil"/>
        </w:pBdr>
        <w:spacing w:line="360" w:lineRule="auto"/>
        <w:ind w:left="1418"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Percepciones económicas.</w:t>
      </w:r>
    </w:p>
    <w:p w:rsidR="00470BB5" w:rsidRDefault="007649A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 </w:t>
      </w: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respuesta, sobre el personal de oficialía de partes, el Sujeto Obligado señaló el nombre de dos servidores públicos, entregó dos gafetes, dos currículum vitae, una carta de pasante y un certificado de estudios. Derivado de ello, el particular se </w:t>
      </w:r>
      <w:r>
        <w:rPr>
          <w:rFonts w:ascii="Palatino Linotype" w:eastAsia="Palatino Linotype" w:hAnsi="Palatino Linotype" w:cs="Palatino Linotype"/>
        </w:rPr>
        <w:t>conformó</w:t>
      </w:r>
      <w:r>
        <w:rPr>
          <w:rFonts w:ascii="Palatino Linotype" w:eastAsia="Palatino Linotype" w:hAnsi="Palatino Linotype" w:cs="Palatino Linotype"/>
          <w:color w:val="000000"/>
        </w:rPr>
        <w:t xml:space="preserve"> por la negativa de la información.</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Por otro lado, respecto al personal de la Coordinación Jurídica, el Sujeto Obligado entregó un gafete y un extracto del bando municipal en donde se advierten las atribuciones, responsabilidades y funciones de la Coordinación Jurídica. Posterior a ello, el particular se </w:t>
      </w:r>
      <w:r>
        <w:rPr>
          <w:rFonts w:ascii="Palatino Linotype" w:eastAsia="Palatino Linotype" w:hAnsi="Palatino Linotype" w:cs="Palatino Linotype"/>
        </w:rPr>
        <w:t>conformó</w:t>
      </w:r>
      <w:r>
        <w:rPr>
          <w:rFonts w:ascii="Palatino Linotype" w:eastAsia="Palatino Linotype" w:hAnsi="Palatino Linotype" w:cs="Palatino Linotype"/>
          <w:color w:val="000000"/>
        </w:rPr>
        <w:t xml:space="preserve"> por la entrega la falta de la entrega de los recibos de nómina. </w:t>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En consecuencia, la Litis a resolver en este recurso, se circunscribe a determinar si la respuesta colma con lo solicitado o si se actualiza la causal de procedencia prevista en el artículo 179, fracción I y V de la Ley de Transparencia y Acceso a la Información Pública del </w:t>
      </w:r>
      <w:r>
        <w:rPr>
          <w:rFonts w:ascii="Palatino Linotype" w:eastAsia="Palatino Linotype" w:hAnsi="Palatino Linotype" w:cs="Palatino Linotype"/>
        </w:rPr>
        <w:lastRenderedPageBreak/>
        <w:t xml:space="preserve">Estado de México y Municipios; que establece la negativa de la información y la entrega de información incompleta. </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keepNext/>
        <w:keepLines/>
        <w:spacing w:line="360" w:lineRule="auto"/>
        <w:ind w:right="-876"/>
        <w:rPr>
          <w:rFonts w:ascii="Palatino Linotype" w:eastAsia="Palatino Linotype" w:hAnsi="Palatino Linotype" w:cs="Palatino Linotype"/>
          <w:b/>
        </w:rPr>
      </w:pPr>
      <w:bookmarkStart w:id="7" w:name="_heading=h.3dy6vkm" w:colFirst="0" w:colLast="0"/>
      <w:bookmarkEnd w:id="7"/>
      <w:r>
        <w:rPr>
          <w:rFonts w:ascii="Palatino Linotype" w:eastAsia="Palatino Linotype" w:hAnsi="Palatino Linotype" w:cs="Palatino Linotype"/>
          <w:b/>
        </w:rPr>
        <w:t>CUARTO. Del estudio y resolución del recurso de revisión.</w:t>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Ahora bien, para efectos de estudio, se analizará cada recurso de revisión por separado. </w:t>
      </w:r>
    </w:p>
    <w:p w:rsidR="00470BB5" w:rsidRDefault="00470BB5">
      <w:pPr>
        <w:pBdr>
          <w:top w:val="nil"/>
          <w:left w:val="nil"/>
          <w:bottom w:val="nil"/>
          <w:right w:val="nil"/>
          <w:between w:val="nil"/>
        </w:pBdr>
        <w:ind w:left="720" w:right="-876"/>
        <w:rPr>
          <w:rFonts w:ascii="Palatino Linotype" w:eastAsia="Palatino Linotype" w:hAnsi="Palatino Linotype" w:cs="Palatino Linotype"/>
          <w:color w:val="000000"/>
        </w:rPr>
      </w:pPr>
    </w:p>
    <w:p w:rsidR="00470BB5" w:rsidRDefault="007649AE">
      <w:pPr>
        <w:numPr>
          <w:ilvl w:val="0"/>
          <w:numId w:val="14"/>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recurso de revisión 00963/INFOEM/IP/RR2024</w:t>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Se realiza el siguiente cuadro a efectos de analizar la información solicitada, la respuesta y el informe justificado:</w:t>
      </w:r>
    </w:p>
    <w:p w:rsidR="00470BB5" w:rsidRDefault="00470BB5">
      <w:pPr>
        <w:spacing w:line="360" w:lineRule="auto"/>
        <w:ind w:right="-876"/>
        <w:jc w:val="both"/>
        <w:rPr>
          <w:rFonts w:ascii="Palatino Linotype" w:eastAsia="Palatino Linotype" w:hAnsi="Palatino Linotype" w:cs="Palatino Linotype"/>
        </w:rPr>
      </w:pPr>
    </w:p>
    <w:tbl>
      <w:tblPr>
        <w:tblStyle w:val="a"/>
        <w:tblW w:w="10020"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505"/>
        <w:gridCol w:w="2505"/>
        <w:gridCol w:w="2505"/>
        <w:gridCol w:w="2505"/>
      </w:tblGrid>
      <w:tr w:rsidR="00470BB5" w:rsidTr="00470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rsidR="00470BB5" w:rsidRDefault="007649AE">
            <w:pPr>
              <w:ind w:right="-876"/>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SOLICITUD</w:t>
            </w:r>
          </w:p>
        </w:tc>
        <w:tc>
          <w:tcPr>
            <w:tcW w:w="2505" w:type="dxa"/>
          </w:tcPr>
          <w:p w:rsidR="00470BB5" w:rsidRDefault="007649AE">
            <w:pPr>
              <w:ind w:right="-87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RESPUESTA</w:t>
            </w:r>
          </w:p>
        </w:tc>
        <w:tc>
          <w:tcPr>
            <w:tcW w:w="2505" w:type="dxa"/>
          </w:tcPr>
          <w:p w:rsidR="00470BB5" w:rsidRDefault="007649AE">
            <w:pPr>
              <w:ind w:right="-87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INFORME JUSTIFICADO</w:t>
            </w:r>
          </w:p>
        </w:tc>
        <w:tc>
          <w:tcPr>
            <w:tcW w:w="2505" w:type="dxa"/>
          </w:tcPr>
          <w:p w:rsidR="00470BB5" w:rsidRDefault="007649AE">
            <w:pPr>
              <w:ind w:right="-87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OBSERVACIONES</w:t>
            </w:r>
          </w:p>
          <w:p w:rsidR="00470BB5" w:rsidRDefault="00470BB5">
            <w:pPr>
              <w:ind w:right="-87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r w:rsidR="00470BB5" w:rsidTr="00470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0" w:type="dxa"/>
            <w:gridSpan w:val="4"/>
          </w:tcPr>
          <w:p w:rsidR="00470BB5" w:rsidRDefault="007649AE">
            <w:pPr>
              <w:ind w:right="-876"/>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servidores públicos adscritos a Oficialía de Partes</w:t>
            </w:r>
          </w:p>
          <w:p w:rsidR="00470BB5" w:rsidRDefault="00470BB5">
            <w:pPr>
              <w:ind w:right="-876"/>
              <w:jc w:val="center"/>
              <w:rPr>
                <w:rFonts w:ascii="Palatino Linotype" w:eastAsia="Palatino Linotype" w:hAnsi="Palatino Linotype" w:cs="Palatino Linotype"/>
                <w:sz w:val="22"/>
                <w:szCs w:val="22"/>
              </w:rPr>
            </w:pPr>
          </w:p>
        </w:tc>
      </w:tr>
      <w:tr w:rsidR="00470BB5" w:rsidTr="00470BB5">
        <w:tc>
          <w:tcPr>
            <w:cnfStyle w:val="001000000000" w:firstRow="0" w:lastRow="0" w:firstColumn="1" w:lastColumn="0" w:oddVBand="0" w:evenVBand="0" w:oddHBand="0" w:evenHBand="0" w:firstRowFirstColumn="0" w:firstRowLastColumn="0" w:lastRowFirstColumn="0" w:lastRowLastColumn="0"/>
            <w:tcW w:w="2505" w:type="dxa"/>
          </w:tcPr>
          <w:p w:rsidR="00470BB5" w:rsidRDefault="007649AE">
            <w:pPr>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w:t>
            </w:r>
          </w:p>
          <w:p w:rsidR="00470BB5" w:rsidRDefault="00470BB5">
            <w:pPr>
              <w:ind w:right="-876"/>
              <w:jc w:val="both"/>
              <w:rPr>
                <w:rFonts w:ascii="Palatino Linotype" w:eastAsia="Palatino Linotype" w:hAnsi="Palatino Linotype" w:cs="Palatino Linotype"/>
                <w:sz w:val="22"/>
                <w:szCs w:val="22"/>
              </w:rPr>
            </w:pPr>
          </w:p>
        </w:tc>
        <w:tc>
          <w:tcPr>
            <w:tcW w:w="2505" w:type="dxa"/>
          </w:tcPr>
          <w:p w:rsidR="00470BB5" w:rsidRDefault="007649AE">
            <w:pPr>
              <w:ind w:right="-1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Ciro Abel Castillo Trejo - Coordinador</w:t>
            </w:r>
          </w:p>
          <w:p w:rsidR="00470BB5" w:rsidRDefault="00470BB5">
            <w:pPr>
              <w:ind w:right="-1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p w:rsidR="00470BB5" w:rsidRDefault="007649AE">
            <w:pPr>
              <w:ind w:right="-1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Isabel Lucio Reyna - Auxiliar Administrativo</w:t>
            </w:r>
          </w:p>
          <w:p w:rsidR="00470BB5" w:rsidRDefault="00470BB5">
            <w:pPr>
              <w:ind w:right="-1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c>
          <w:tcPr>
            <w:tcW w:w="2505" w:type="dxa"/>
          </w:tcPr>
          <w:p w:rsidR="00470BB5" w:rsidRDefault="007649AE">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Reiteró respuesta</w:t>
            </w:r>
          </w:p>
          <w:p w:rsidR="00470BB5" w:rsidRDefault="00470BB5">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p w:rsidR="00470BB5" w:rsidRDefault="007649AE">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puso a la vista del particular por contener información confidencial)</w:t>
            </w:r>
          </w:p>
        </w:tc>
        <w:tc>
          <w:tcPr>
            <w:tcW w:w="2505" w:type="dxa"/>
          </w:tcPr>
          <w:p w:rsidR="00470BB5" w:rsidRDefault="007649AE">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Colma</w:t>
            </w:r>
          </w:p>
          <w:p w:rsidR="00470BB5" w:rsidRDefault="00470BB5">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r w:rsidR="00470BB5" w:rsidTr="00470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rsidR="00470BB5" w:rsidRDefault="007649AE">
            <w:pPr>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Gafete</w:t>
            </w:r>
          </w:p>
          <w:p w:rsidR="00470BB5" w:rsidRDefault="00470BB5">
            <w:pPr>
              <w:ind w:right="-876"/>
              <w:jc w:val="both"/>
              <w:rPr>
                <w:rFonts w:ascii="Palatino Linotype" w:eastAsia="Palatino Linotype" w:hAnsi="Palatino Linotype" w:cs="Palatino Linotype"/>
                <w:sz w:val="22"/>
                <w:szCs w:val="22"/>
              </w:rPr>
            </w:pPr>
          </w:p>
        </w:tc>
        <w:tc>
          <w:tcPr>
            <w:tcW w:w="2505" w:type="dxa"/>
          </w:tcPr>
          <w:p w:rsidR="00470BB5" w:rsidRDefault="007649AE">
            <w:pPr>
              <w:ind w:right="-1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adjuntaron dos gafetes de los </w:t>
            </w:r>
            <w:r>
              <w:rPr>
                <w:rFonts w:ascii="Palatino Linotype" w:eastAsia="Palatino Linotype" w:hAnsi="Palatino Linotype" w:cs="Palatino Linotype"/>
                <w:sz w:val="22"/>
                <w:szCs w:val="22"/>
              </w:rPr>
              <w:lastRenderedPageBreak/>
              <w:t>servidores públicos señalados.</w:t>
            </w:r>
          </w:p>
        </w:tc>
        <w:tc>
          <w:tcPr>
            <w:tcW w:w="2505" w:type="dxa"/>
          </w:tcPr>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Se reiteró la respuesta</w:t>
            </w:r>
          </w:p>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(no se puso a la vista del particular por contener información confidencial)</w:t>
            </w:r>
          </w:p>
        </w:tc>
        <w:tc>
          <w:tcPr>
            <w:tcW w:w="2505" w:type="dxa"/>
          </w:tcPr>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Colma</w:t>
            </w:r>
          </w:p>
        </w:tc>
      </w:tr>
      <w:tr w:rsidR="00470BB5" w:rsidTr="00470BB5">
        <w:tc>
          <w:tcPr>
            <w:cnfStyle w:val="001000000000" w:firstRow="0" w:lastRow="0" w:firstColumn="1" w:lastColumn="0" w:oddVBand="0" w:evenVBand="0" w:oddHBand="0" w:evenHBand="0" w:firstRowFirstColumn="0" w:firstRowLastColumn="0" w:lastRowFirstColumn="0" w:lastRowLastColumn="0"/>
            <w:tcW w:w="2505" w:type="dxa"/>
          </w:tcPr>
          <w:p w:rsidR="00470BB5" w:rsidRDefault="007649AE">
            <w:pPr>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Comprobantes de capacitación legar y administrativa</w:t>
            </w:r>
          </w:p>
          <w:p w:rsidR="00470BB5" w:rsidRDefault="00470BB5">
            <w:pPr>
              <w:ind w:right="-876"/>
              <w:jc w:val="both"/>
              <w:rPr>
                <w:rFonts w:ascii="Palatino Linotype" w:eastAsia="Palatino Linotype" w:hAnsi="Palatino Linotype" w:cs="Palatino Linotype"/>
                <w:sz w:val="22"/>
                <w:szCs w:val="22"/>
              </w:rPr>
            </w:pPr>
          </w:p>
        </w:tc>
        <w:tc>
          <w:tcPr>
            <w:tcW w:w="2505" w:type="dxa"/>
          </w:tcPr>
          <w:p w:rsidR="00470BB5" w:rsidRDefault="007649AE">
            <w:pPr>
              <w:ind w:right="-1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se pronunció </w:t>
            </w:r>
          </w:p>
        </w:tc>
        <w:tc>
          <w:tcPr>
            <w:tcW w:w="2505" w:type="dxa"/>
          </w:tcPr>
          <w:p w:rsidR="00470BB5" w:rsidRDefault="007649AE">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se pronunció </w:t>
            </w:r>
          </w:p>
        </w:tc>
        <w:tc>
          <w:tcPr>
            <w:tcW w:w="2505" w:type="dxa"/>
          </w:tcPr>
          <w:p w:rsidR="00470BB5" w:rsidRDefault="007649AE">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colma</w:t>
            </w:r>
          </w:p>
        </w:tc>
      </w:tr>
      <w:tr w:rsidR="00470BB5" w:rsidTr="00470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rsidR="00470BB5" w:rsidRDefault="007649AE">
            <w:pPr>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Documentos que acrediten su experiencia en el servicio público</w:t>
            </w:r>
          </w:p>
          <w:p w:rsidR="00470BB5" w:rsidRDefault="00470BB5">
            <w:pPr>
              <w:ind w:right="-876"/>
              <w:jc w:val="both"/>
              <w:rPr>
                <w:rFonts w:ascii="Palatino Linotype" w:eastAsia="Palatino Linotype" w:hAnsi="Palatino Linotype" w:cs="Palatino Linotype"/>
                <w:sz w:val="22"/>
                <w:szCs w:val="22"/>
              </w:rPr>
            </w:pPr>
          </w:p>
        </w:tc>
        <w:tc>
          <w:tcPr>
            <w:tcW w:w="2505" w:type="dxa"/>
          </w:tcPr>
          <w:p w:rsidR="00470BB5" w:rsidRDefault="007649AE">
            <w:pPr>
              <w:ind w:right="-1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adjuntó el currículum de los dos servidores públicos en donde se advierte su experiencia laboral. </w:t>
            </w:r>
          </w:p>
        </w:tc>
        <w:tc>
          <w:tcPr>
            <w:tcW w:w="2505" w:type="dxa"/>
          </w:tcPr>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reiteró respuesta</w:t>
            </w:r>
          </w:p>
          <w:p w:rsidR="00470BB5" w:rsidRDefault="00470BB5">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puso a la vista del particular por contener información confidencial)</w:t>
            </w:r>
          </w:p>
        </w:tc>
        <w:tc>
          <w:tcPr>
            <w:tcW w:w="2505" w:type="dxa"/>
          </w:tcPr>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Colma</w:t>
            </w:r>
          </w:p>
          <w:p w:rsidR="00470BB5" w:rsidRDefault="00470BB5">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existe precepto legal que constriña  a los servidores públicos de esa área a contar con experiencia en el servicio público)</w:t>
            </w:r>
          </w:p>
        </w:tc>
      </w:tr>
      <w:tr w:rsidR="00470BB5" w:rsidTr="00470BB5">
        <w:tc>
          <w:tcPr>
            <w:cnfStyle w:val="001000000000" w:firstRow="0" w:lastRow="0" w:firstColumn="1" w:lastColumn="0" w:oddVBand="0" w:evenVBand="0" w:oddHBand="0" w:evenHBand="0" w:firstRowFirstColumn="0" w:firstRowLastColumn="0" w:lastRowFirstColumn="0" w:lastRowLastColumn="0"/>
            <w:tcW w:w="2505" w:type="dxa"/>
          </w:tcPr>
          <w:p w:rsidR="00470BB5" w:rsidRDefault="007649AE">
            <w:pPr>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Currículum vitae</w:t>
            </w:r>
          </w:p>
          <w:p w:rsidR="00470BB5" w:rsidRDefault="00470BB5">
            <w:pPr>
              <w:ind w:right="-876"/>
              <w:jc w:val="both"/>
              <w:rPr>
                <w:rFonts w:ascii="Palatino Linotype" w:eastAsia="Palatino Linotype" w:hAnsi="Palatino Linotype" w:cs="Palatino Linotype"/>
                <w:sz w:val="22"/>
                <w:szCs w:val="22"/>
              </w:rPr>
            </w:pPr>
          </w:p>
        </w:tc>
        <w:tc>
          <w:tcPr>
            <w:tcW w:w="2505" w:type="dxa"/>
          </w:tcPr>
          <w:p w:rsidR="00470BB5" w:rsidRDefault="007649AE">
            <w:pPr>
              <w:ind w:right="-18"/>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adjuntó el currículum de los dos servidores públicos. </w:t>
            </w:r>
          </w:p>
        </w:tc>
        <w:tc>
          <w:tcPr>
            <w:tcW w:w="2505" w:type="dxa"/>
          </w:tcPr>
          <w:p w:rsidR="00470BB5" w:rsidRDefault="007649AE">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reiteró respuesta</w:t>
            </w:r>
          </w:p>
          <w:p w:rsidR="00470BB5" w:rsidRDefault="00470BB5">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p w:rsidR="00470BB5" w:rsidRDefault="007649AE">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puso a la vista del particular por contener información confidencial)</w:t>
            </w:r>
          </w:p>
        </w:tc>
        <w:tc>
          <w:tcPr>
            <w:tcW w:w="2505" w:type="dxa"/>
          </w:tcPr>
          <w:p w:rsidR="00470BB5" w:rsidRDefault="007649AE">
            <w:pPr>
              <w:ind w:right="2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Colma</w:t>
            </w:r>
          </w:p>
        </w:tc>
      </w:tr>
      <w:tr w:rsidR="00470BB5" w:rsidTr="00470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rsidR="00470BB5" w:rsidRDefault="007649AE">
            <w:pPr>
              <w:ind w:right="-8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 que acredite el grado de estudios</w:t>
            </w:r>
          </w:p>
          <w:p w:rsidR="00470BB5" w:rsidRDefault="00470BB5">
            <w:pPr>
              <w:ind w:right="-876"/>
              <w:jc w:val="both"/>
              <w:rPr>
                <w:rFonts w:ascii="Palatino Linotype" w:eastAsia="Palatino Linotype" w:hAnsi="Palatino Linotype" w:cs="Palatino Linotype"/>
                <w:sz w:val="22"/>
                <w:szCs w:val="22"/>
              </w:rPr>
            </w:pPr>
          </w:p>
        </w:tc>
        <w:tc>
          <w:tcPr>
            <w:tcW w:w="2505" w:type="dxa"/>
          </w:tcPr>
          <w:p w:rsidR="00470BB5" w:rsidRDefault="007649AE">
            <w:pPr>
              <w:ind w:right="-1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adjuntó del servidor público la carta de pasante de la Licenciatura de Derecho.</w:t>
            </w:r>
          </w:p>
          <w:p w:rsidR="00470BB5" w:rsidRDefault="00470BB5">
            <w:pPr>
              <w:ind w:right="-1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p w:rsidR="00470BB5" w:rsidRDefault="007649AE">
            <w:pPr>
              <w:ind w:right="-18"/>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servidora pública se adjuntó un certificado de estudios. </w:t>
            </w:r>
          </w:p>
        </w:tc>
        <w:tc>
          <w:tcPr>
            <w:tcW w:w="2505" w:type="dxa"/>
          </w:tcPr>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reiteró respuesta y señaló que es la información tal cual obra en los archivos del Sujeto Obligado, además de que no hay una ley complementaria que exija al servidor público contar con una profesión. </w:t>
            </w:r>
          </w:p>
          <w:p w:rsidR="00470BB5" w:rsidRDefault="00470BB5">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puso a la vista del particular por contener información confidencial)</w:t>
            </w:r>
          </w:p>
        </w:tc>
        <w:tc>
          <w:tcPr>
            <w:tcW w:w="2505" w:type="dxa"/>
          </w:tcPr>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Colma</w:t>
            </w:r>
          </w:p>
          <w:p w:rsidR="00470BB5" w:rsidRDefault="00470BB5">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p w:rsidR="00470BB5" w:rsidRDefault="007649AE">
            <w:pPr>
              <w:ind w:right="2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entregó la información en términos del artículo 12 de la Ley de Transparencia y Acceso a la Información Pública del Estado de México y Municipios. </w:t>
            </w:r>
          </w:p>
        </w:tc>
      </w:tr>
    </w:tbl>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No debemos perder de vista que, el derecho de acceso a la información es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 ”</w:t>
      </w: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El acceso a la información es un derecho humano constitucional y convencionalmente reconocido y para tal efecto el párrafo tercero del artículo primero de la Constitución Política de los Estados Unidos Mexicanos establece el deber de todas las autoridades, </w:t>
      </w:r>
      <w:r>
        <w:rPr>
          <w:rFonts w:ascii="Palatino Linotype" w:eastAsia="Palatino Linotype" w:hAnsi="Palatino Linotype" w:cs="Palatino Linotype"/>
          <w:i/>
          <w:color w:val="000000"/>
        </w:rPr>
        <w:t xml:space="preserve">en el ámbito de sus </w:t>
      </w:r>
      <w:r>
        <w:rPr>
          <w:rFonts w:ascii="Palatino Linotype" w:eastAsia="Palatino Linotype" w:hAnsi="Palatino Linotype" w:cs="Palatino Linotype"/>
          <w:i/>
          <w:color w:val="000000"/>
        </w:rPr>
        <w:lastRenderedPageBreak/>
        <w:t xml:space="preserve">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color w:val="000000"/>
        </w:rPr>
        <w:t>En cuanto al derecho de acceso a la información, la Ley de Transparencia y Acceso a la Información Pública del Estado de México y Municipios prevé establece que</w:t>
      </w:r>
      <w:r>
        <w:rPr>
          <w:rFonts w:ascii="Palatino Linotype" w:eastAsia="Palatino Linotype" w:hAnsi="Palatino Linotype" w:cs="Palatino Linotype"/>
          <w:b/>
          <w:i/>
          <w:color w:val="000000"/>
        </w:rPr>
        <w:t xml:space="preserv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vertAlign w:val="superscript"/>
        </w:rPr>
        <w:footnoteReference w:id="6"/>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asimismo 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tabs>
          <w:tab w:val="left" w:pos="426"/>
        </w:tabs>
        <w:spacing w:line="360" w:lineRule="auto"/>
        <w:ind w:left="0" w:right="-876" w:firstLine="0"/>
        <w:jc w:val="both"/>
        <w:rPr>
          <w:color w:val="000000"/>
        </w:rPr>
      </w:pPr>
      <w:r>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rPr>
        <w:t>los Sujetos Obligados deberán documentar todo acto que se derive del ejercicio de sus facultades, competencias o funciones,</w:t>
      </w:r>
      <w:r>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rsidR="00470BB5" w:rsidRDefault="007649AE">
      <w:pPr>
        <w:spacing w:line="360" w:lineRule="auto"/>
        <w:ind w:left="851"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470BB5" w:rsidRDefault="00470BB5">
      <w:pPr>
        <w:spacing w:line="360" w:lineRule="auto"/>
        <w:ind w:left="851" w:right="-876"/>
        <w:jc w:val="both"/>
        <w:rPr>
          <w:rFonts w:ascii="Palatino Linotype" w:eastAsia="Palatino Linotype" w:hAnsi="Palatino Linotype" w:cs="Palatino Linotype"/>
          <w:i/>
          <w:sz w:val="22"/>
          <w:szCs w:val="22"/>
        </w:rPr>
      </w:pPr>
    </w:p>
    <w:p w:rsidR="00470BB5" w:rsidRDefault="007649AE">
      <w:pPr>
        <w:spacing w:line="360" w:lineRule="auto"/>
        <w:ind w:left="851"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470BB5" w:rsidRDefault="00470BB5">
      <w:pPr>
        <w:spacing w:line="360" w:lineRule="auto"/>
        <w:ind w:left="851" w:right="-876"/>
        <w:jc w:val="both"/>
        <w:rPr>
          <w:rFonts w:ascii="Palatino Linotype" w:eastAsia="Palatino Linotype" w:hAnsi="Palatino Linotype" w:cs="Palatino Linotype"/>
          <w:i/>
          <w:sz w:val="22"/>
          <w:szCs w:val="22"/>
        </w:rPr>
      </w:pPr>
    </w:p>
    <w:p w:rsidR="00470BB5" w:rsidRDefault="007649AE">
      <w:pPr>
        <w:spacing w:line="360" w:lineRule="auto"/>
        <w:ind w:left="851"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470BB5" w:rsidRDefault="00470BB5">
      <w:pPr>
        <w:spacing w:line="360" w:lineRule="auto"/>
        <w:ind w:left="851" w:right="-876"/>
        <w:jc w:val="both"/>
        <w:rPr>
          <w:rFonts w:ascii="Palatino Linotype" w:eastAsia="Palatino Linotype" w:hAnsi="Palatino Linotype" w:cs="Palatino Linotype"/>
          <w:i/>
          <w:color w:val="000000"/>
          <w:sz w:val="22"/>
          <w:szCs w:val="22"/>
        </w:rPr>
      </w:pPr>
    </w:p>
    <w:p w:rsidR="00470BB5" w:rsidRDefault="007649AE">
      <w:pPr>
        <w:spacing w:line="360" w:lineRule="auto"/>
        <w:ind w:left="851"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rsidR="00470BB5" w:rsidRDefault="00470BB5">
      <w:pPr>
        <w:spacing w:line="360" w:lineRule="auto"/>
        <w:ind w:left="851" w:right="-876"/>
        <w:jc w:val="both"/>
        <w:rPr>
          <w:rFonts w:ascii="Palatino Linotype" w:eastAsia="Palatino Linotype" w:hAnsi="Palatino Linotype" w:cs="Palatino Linotype"/>
          <w:i/>
          <w:sz w:val="22"/>
          <w:szCs w:val="22"/>
        </w:rPr>
      </w:pPr>
    </w:p>
    <w:p w:rsidR="00470BB5" w:rsidRDefault="007649AE">
      <w:pPr>
        <w:spacing w:line="360" w:lineRule="auto"/>
        <w:ind w:left="851"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u w:val="single"/>
        </w:rPr>
        <w:t>La obligación de proporcionar información no comprende el procesamiento de la misma, ni el presentarla conforme al interés del solicitante; no estarán obligados a generarla, resumirla, efectuar cálculos o practicar investigaciones.</w:t>
      </w:r>
    </w:p>
    <w:p w:rsidR="00470BB5" w:rsidRDefault="00470BB5">
      <w:pPr>
        <w:spacing w:line="360" w:lineRule="auto"/>
        <w:ind w:left="567" w:right="-876"/>
        <w:jc w:val="both"/>
        <w:rPr>
          <w:rFonts w:ascii="Palatino Linotype" w:eastAsia="Palatino Linotype" w:hAnsi="Palatino Linotype" w:cs="Palatino Linotype"/>
          <w:i/>
          <w:color w:val="000000"/>
        </w:rPr>
      </w:pPr>
    </w:p>
    <w:p w:rsidR="00470BB5" w:rsidRDefault="007649AE">
      <w:pPr>
        <w:numPr>
          <w:ilvl w:val="0"/>
          <w:numId w:val="10"/>
        </w:numPr>
        <w:pBdr>
          <w:top w:val="nil"/>
          <w:left w:val="nil"/>
          <w:bottom w:val="nil"/>
          <w:right w:val="nil"/>
          <w:between w:val="nil"/>
        </w:pBdr>
        <w:tabs>
          <w:tab w:val="left" w:pos="851"/>
        </w:tabs>
        <w:spacing w:line="360" w:lineRule="auto"/>
        <w:ind w:left="0" w:right="-876" w:firstLine="0"/>
        <w:jc w:val="both"/>
        <w:rPr>
          <w:color w:val="000000"/>
        </w:rPr>
      </w:pPr>
      <w:r>
        <w:rPr>
          <w:rFonts w:ascii="Palatino Linotype" w:eastAsia="Palatino Linotype" w:hAnsi="Palatino Linotype" w:cs="Palatino Linotype"/>
          <w:color w:val="000000"/>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470BB5" w:rsidRDefault="00470BB5">
      <w:pPr>
        <w:pBdr>
          <w:top w:val="nil"/>
          <w:left w:val="nil"/>
          <w:bottom w:val="nil"/>
          <w:right w:val="nil"/>
          <w:between w:val="nil"/>
        </w:pBdr>
        <w:tabs>
          <w:tab w:val="left" w:pos="851"/>
        </w:tabs>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tabs>
          <w:tab w:val="left" w:pos="851"/>
        </w:tabs>
        <w:spacing w:line="360" w:lineRule="auto"/>
        <w:ind w:left="0" w:right="-876" w:firstLine="0"/>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470BB5" w:rsidRDefault="007649AE">
      <w:pPr>
        <w:pBdr>
          <w:top w:val="nil"/>
          <w:left w:val="nil"/>
          <w:bottom w:val="nil"/>
          <w:right w:val="nil"/>
          <w:between w:val="nil"/>
        </w:pBdr>
        <w:tabs>
          <w:tab w:val="left" w:pos="851"/>
        </w:tabs>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w:t>
      </w:r>
      <w:r>
        <w:rPr>
          <w:rFonts w:ascii="Palatino Linotype" w:eastAsia="Palatino Linotype" w:hAnsi="Palatino Linotype" w:cs="Palatino Linotype"/>
          <w:i/>
          <w:color w:val="000000"/>
          <w:sz w:val="22"/>
          <w:szCs w:val="22"/>
        </w:rPr>
        <w:lastRenderedPageBreak/>
        <w:t xml:space="preserve">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470BB5" w:rsidRDefault="00470BB5">
      <w:pPr>
        <w:pBdr>
          <w:top w:val="nil"/>
          <w:left w:val="nil"/>
          <w:bottom w:val="nil"/>
          <w:right w:val="nil"/>
          <w:between w:val="nil"/>
        </w:pBdr>
        <w:tabs>
          <w:tab w:val="left" w:pos="851"/>
        </w:tabs>
        <w:spacing w:line="360" w:lineRule="auto"/>
        <w:ind w:left="851" w:right="-876"/>
        <w:jc w:val="both"/>
        <w:rPr>
          <w:rFonts w:ascii="Palatino Linotype" w:eastAsia="Palatino Linotype" w:hAnsi="Palatino Linotype" w:cs="Palatino Linotype"/>
          <w:i/>
          <w:color w:val="000000"/>
          <w:sz w:val="22"/>
          <w:szCs w:val="22"/>
        </w:rPr>
      </w:pPr>
    </w:p>
    <w:p w:rsidR="00470BB5" w:rsidRDefault="007649AE">
      <w:pPr>
        <w:pBdr>
          <w:top w:val="nil"/>
          <w:left w:val="nil"/>
          <w:bottom w:val="nil"/>
          <w:right w:val="nil"/>
          <w:between w:val="nil"/>
        </w:pBdr>
        <w:tabs>
          <w:tab w:val="left" w:pos="851"/>
        </w:tabs>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rsidR="00470BB5" w:rsidRDefault="00470BB5">
      <w:pPr>
        <w:pBdr>
          <w:top w:val="nil"/>
          <w:left w:val="nil"/>
          <w:bottom w:val="nil"/>
          <w:right w:val="nil"/>
          <w:between w:val="nil"/>
        </w:pBdr>
        <w:tabs>
          <w:tab w:val="left" w:pos="851"/>
        </w:tabs>
        <w:spacing w:line="360" w:lineRule="auto"/>
        <w:ind w:left="851" w:right="-876"/>
        <w:jc w:val="both"/>
        <w:rPr>
          <w:rFonts w:ascii="Palatino Linotype" w:eastAsia="Palatino Linotype" w:hAnsi="Palatino Linotype" w:cs="Palatino Linotype"/>
          <w:i/>
          <w:color w:val="000000"/>
          <w:sz w:val="22"/>
          <w:szCs w:val="22"/>
        </w:rPr>
      </w:pPr>
    </w:p>
    <w:p w:rsidR="00470BB5" w:rsidRDefault="007649AE">
      <w:pPr>
        <w:pBdr>
          <w:top w:val="nil"/>
          <w:left w:val="nil"/>
          <w:bottom w:val="nil"/>
          <w:right w:val="nil"/>
          <w:between w:val="nil"/>
        </w:pBdr>
        <w:tabs>
          <w:tab w:val="left" w:pos="851"/>
        </w:tabs>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Amparo en revisión 257/2012. Ruth Corona Muñoz. 6 de diciembre de 2012. Unanimidad de votos. Ponente: Jean Claude </w:t>
      </w:r>
      <w:proofErr w:type="spellStart"/>
      <w:r>
        <w:rPr>
          <w:rFonts w:ascii="Palatino Linotype" w:eastAsia="Palatino Linotype" w:hAnsi="Palatino Linotype" w:cs="Palatino Linotype"/>
          <w:i/>
          <w:color w:val="000000"/>
          <w:sz w:val="22"/>
          <w:szCs w:val="22"/>
        </w:rPr>
        <w:t>Tron</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Petit</w:t>
      </w:r>
      <w:proofErr w:type="spellEnd"/>
      <w:r>
        <w:rPr>
          <w:rFonts w:ascii="Palatino Linotype" w:eastAsia="Palatino Linotype" w:hAnsi="Palatino Linotype" w:cs="Palatino Linotype"/>
          <w:i/>
          <w:color w:val="000000"/>
          <w:sz w:val="22"/>
          <w:szCs w:val="22"/>
        </w:rPr>
        <w:t>. Secretaria: Mayra Susana Martínez López.</w:t>
      </w:r>
    </w:p>
    <w:p w:rsidR="00470BB5" w:rsidRDefault="00470BB5">
      <w:pPr>
        <w:pBdr>
          <w:top w:val="nil"/>
          <w:left w:val="nil"/>
          <w:bottom w:val="nil"/>
          <w:right w:val="nil"/>
          <w:between w:val="nil"/>
        </w:pBdr>
        <w:spacing w:line="360" w:lineRule="auto"/>
        <w:ind w:left="720" w:right="-876"/>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tabs>
          <w:tab w:val="left" w:pos="851"/>
        </w:tabs>
        <w:spacing w:after="240" w:line="360" w:lineRule="auto"/>
        <w:ind w:left="0" w:right="-876" w:firstLine="0"/>
        <w:jc w:val="both"/>
        <w:rPr>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rsidR="00470BB5" w:rsidRDefault="007649AE">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w:t>
      </w:r>
      <w:r>
        <w:rPr>
          <w:rFonts w:ascii="Palatino Linotype" w:eastAsia="Palatino Linotype" w:hAnsi="Palatino Linotype" w:cs="Palatino Linotype"/>
          <w:i/>
          <w:sz w:val="22"/>
          <w:szCs w:val="22"/>
        </w:rPr>
        <w:lastRenderedPageBreak/>
        <w:t>públicos e integrantes, sin importar su fuente o fecha de elaboración. Los documentos podrán estar en cualquier medio, sea escrito, impreso,  sonoro, visual, electrónico, informático u holográfico;</w:t>
      </w:r>
    </w:p>
    <w:p w:rsidR="00470BB5" w:rsidRDefault="00470BB5">
      <w:pPr>
        <w:pBdr>
          <w:top w:val="nil"/>
          <w:left w:val="nil"/>
          <w:bottom w:val="nil"/>
          <w:right w:val="nil"/>
          <w:between w:val="nil"/>
        </w:pBdr>
        <w:tabs>
          <w:tab w:val="left" w:pos="851"/>
        </w:tabs>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tabs>
          <w:tab w:val="left" w:pos="851"/>
        </w:tabs>
        <w:spacing w:line="360" w:lineRule="auto"/>
        <w:ind w:left="0" w:right="-876" w:firstLine="0"/>
        <w:jc w:val="both"/>
        <w:rPr>
          <w:color w:val="000000"/>
        </w:rPr>
      </w:pPr>
      <w:r>
        <w:rPr>
          <w:rFonts w:ascii="Palatino Linotype" w:eastAsia="Palatino Linotype" w:hAnsi="Palatino Linotype" w:cs="Palatino Linotype"/>
          <w:color w:val="000000"/>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ese contexto,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rPr>
        <w:t xml:space="preserve">en el ámbito de sus 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rFonts w:ascii="Century Gothic" w:eastAsia="Century Gothic" w:hAnsi="Century Gothic" w:cs="Century Gothic"/>
          <w:i/>
          <w:color w:val="000000"/>
          <w:vertAlign w:val="superscript"/>
        </w:rPr>
        <w:footnoteReference w:id="8"/>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asimismo 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lastRenderedPageBreak/>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Pr>
          <w:rFonts w:ascii="Palatino Linotype" w:eastAsia="Palatino Linotype" w:hAnsi="Palatino Linotype" w:cs="Palatino Linotype"/>
        </w:rPr>
        <w:t>administran</w:t>
      </w:r>
      <w:r>
        <w:rPr>
          <w:rFonts w:ascii="Palatino Linotype" w:eastAsia="Palatino Linotype" w:hAnsi="Palatino Linotype" w:cs="Palatino Linotype"/>
          <w:color w:val="000000"/>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Es así que, su obligación es </w:t>
      </w:r>
      <w:r>
        <w:rPr>
          <w:rFonts w:ascii="Palatino Linotype" w:eastAsia="Palatino Linotype" w:hAnsi="Palatino Linotype" w:cs="Palatino Linotype"/>
          <w:i/>
          <w:color w:val="000000"/>
        </w:rPr>
        <w:t>realizar, con efectividad, los trámites internos necesarios para la atención de las solicitudes de información</w:t>
      </w:r>
      <w:r>
        <w:rPr>
          <w:rFonts w:ascii="Century Gothic" w:eastAsia="Century Gothic" w:hAnsi="Century Gothic" w:cs="Century Gothic"/>
          <w:color w:val="000000"/>
          <w:vertAlign w:val="superscript"/>
        </w:rPr>
        <w:footnoteReference w:id="9"/>
      </w:r>
      <w:r>
        <w:rPr>
          <w:rFonts w:ascii="Palatino Linotype" w:eastAsia="Palatino Linotype" w:hAnsi="Palatino Linotype" w:cs="Palatino Linotype"/>
          <w:color w:val="000000"/>
        </w:rPr>
        <w:t>, es decir, deben otorgar respuestas concisas, contundentes y sobre todo que den la certeza de los actos que realizan.</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50. </w:t>
      </w:r>
      <w:r>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470BB5" w:rsidRDefault="00470BB5">
      <w:pPr>
        <w:ind w:left="567" w:right="-876"/>
        <w:jc w:val="both"/>
        <w:rPr>
          <w:rFonts w:ascii="Palatino Linotype" w:eastAsia="Palatino Linotype" w:hAnsi="Palatino Linotype" w:cs="Palatino Linotype"/>
          <w:i/>
          <w:sz w:val="22"/>
          <w:szCs w:val="22"/>
        </w:rPr>
      </w:pP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w:t>
      </w:r>
      <w:r>
        <w:rPr>
          <w:rFonts w:ascii="Palatino Linotype" w:eastAsia="Palatino Linotype" w:hAnsi="Palatino Linotype" w:cs="Palatino Linotype"/>
          <w:i/>
          <w:sz w:val="22"/>
          <w:szCs w:val="22"/>
        </w:rPr>
        <w:t>Las Unidades de Transparencia tendrán las siguientes funciones:</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Recibir, tramitar y dar respuesta a las solicitudes de acceso a la información;</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Entregar, en su caso, a los particulares la información solicitada;</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rsidR="00470BB5" w:rsidRDefault="00470BB5">
      <w:pPr>
        <w:ind w:left="567" w:right="-876"/>
        <w:jc w:val="both"/>
        <w:rPr>
          <w:rFonts w:ascii="Palatino Linotype" w:eastAsia="Palatino Linotype" w:hAnsi="Palatino Linotype" w:cs="Palatino Linotype"/>
          <w:i/>
          <w:sz w:val="22"/>
          <w:szCs w:val="22"/>
        </w:rPr>
      </w:pP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58. </w:t>
      </w:r>
      <w:r>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470BB5" w:rsidRDefault="00470BB5">
      <w:pPr>
        <w:ind w:left="567" w:right="-876"/>
        <w:jc w:val="both"/>
        <w:rPr>
          <w:rFonts w:ascii="Palatino Linotype" w:eastAsia="Palatino Linotype" w:hAnsi="Palatino Linotype" w:cs="Palatino Linotype"/>
          <w:i/>
          <w:sz w:val="22"/>
          <w:szCs w:val="22"/>
        </w:rPr>
      </w:pP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59. </w:t>
      </w:r>
      <w:r>
        <w:rPr>
          <w:rFonts w:ascii="Palatino Linotype" w:eastAsia="Palatino Linotype" w:hAnsi="Palatino Linotype" w:cs="Palatino Linotype"/>
          <w:i/>
          <w:sz w:val="22"/>
          <w:szCs w:val="22"/>
        </w:rPr>
        <w:t>Los servidores públicos habilitados tendrán las funciones siguientes:</w:t>
      </w:r>
    </w:p>
    <w:p w:rsidR="00470BB5" w:rsidRDefault="00470BB5">
      <w:pPr>
        <w:ind w:left="567" w:right="-876"/>
        <w:jc w:val="both"/>
        <w:rPr>
          <w:rFonts w:ascii="Palatino Linotype" w:eastAsia="Palatino Linotype" w:hAnsi="Palatino Linotype" w:cs="Palatino Linotype"/>
          <w:i/>
          <w:sz w:val="22"/>
          <w:szCs w:val="22"/>
        </w:rPr>
      </w:pP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Localizar la información que le solicite la Unidad de Transparencia;</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470BB5">
      <w:pPr>
        <w:ind w:left="567" w:right="-876"/>
        <w:jc w:val="both"/>
        <w:rPr>
          <w:rFonts w:ascii="Palatino Linotype" w:eastAsia="Palatino Linotype" w:hAnsi="Palatino Linotype" w:cs="Palatino Linotype"/>
          <w:i/>
          <w:sz w:val="22"/>
          <w:szCs w:val="22"/>
        </w:rPr>
      </w:pPr>
    </w:p>
    <w:p w:rsidR="00470BB5" w:rsidRDefault="007649AE">
      <w:pPr>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470BB5" w:rsidRDefault="00470BB5">
      <w:pPr>
        <w:spacing w:line="360" w:lineRule="auto"/>
        <w:ind w:right="-876"/>
        <w:jc w:val="both"/>
        <w:rPr>
          <w:rFonts w:ascii="Palatino Linotype" w:eastAsia="Palatino Linotype" w:hAnsi="Palatino Linotype" w:cs="Palatino Linotype"/>
          <w:sz w:val="22"/>
          <w:szCs w:val="22"/>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w:t>
      </w:r>
      <w:r>
        <w:rPr>
          <w:rFonts w:ascii="Palatino Linotype" w:eastAsia="Palatino Linotype" w:hAnsi="Palatino Linotype" w:cs="Palatino Linotype"/>
        </w:rPr>
        <w:t>auxiliará</w:t>
      </w:r>
      <w:r>
        <w:rPr>
          <w:rFonts w:ascii="Palatino Linotype" w:eastAsia="Palatino Linotype" w:hAnsi="Palatino Linotype" w:cs="Palatino Linotype"/>
          <w:color w:val="000000"/>
        </w:rPr>
        <w:t xml:space="preserve"> a las Unidades de Transparencia localizando la información solicitada y proporcionando la misma que obre en sus archivos. Asimismo, es una obligación de </w:t>
      </w:r>
      <w:proofErr w:type="gramStart"/>
      <w:r>
        <w:rPr>
          <w:rFonts w:ascii="Palatino Linotype" w:eastAsia="Palatino Linotype" w:hAnsi="Palatino Linotype" w:cs="Palatino Linotype"/>
          <w:color w:val="000000"/>
        </w:rPr>
        <w:t>la</w:t>
      </w:r>
      <w:proofErr w:type="gramEnd"/>
      <w:r>
        <w:rPr>
          <w:rFonts w:ascii="Palatino Linotype" w:eastAsia="Palatino Linotype" w:hAnsi="Palatino Linotype" w:cs="Palatino Linotype"/>
          <w:color w:val="000000"/>
        </w:rPr>
        <w:t xml:space="preserve"> Unidades de Transparencia turnar a todas las áreas que se consideren competentes para que realicen una búsqueda exhaustiva y razonable de la información solicitada a fin de que ésta sea entregada a los solicitantes.</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lastRenderedPageBreak/>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el caso que se resuelve, la respuesta fue entregada por la Dirección de Administración de Recursos Humanos y Servicios Generales, quien de acuerdo al artículo 172 del Reglamento Orgánico de Municipal de Huehuetoca, es la dependencia responsable de administrar los recursos humanos, materiales, tecnológico y de servicios de la estructura administrativa que conforma la Administración Pública Municipal, y asignará a </w:t>
      </w:r>
      <w:r>
        <w:rPr>
          <w:rFonts w:ascii="Palatino Linotype" w:eastAsia="Palatino Linotype" w:hAnsi="Palatino Linotype" w:cs="Palatino Linotype"/>
        </w:rPr>
        <w:t>ésta</w:t>
      </w:r>
      <w:r>
        <w:rPr>
          <w:rFonts w:ascii="Palatino Linotype" w:eastAsia="Palatino Linotype" w:hAnsi="Palatino Linotype" w:cs="Palatino Linotype"/>
          <w:color w:val="000000"/>
        </w:rPr>
        <w:t xml:space="preserve">, el personal que cumpla con los perfiles que las áreas requieran para el cumplimiento de sus cargos. </w:t>
      </w:r>
    </w:p>
    <w:p w:rsidR="00470BB5" w:rsidRDefault="00470BB5">
      <w:pPr>
        <w:ind w:right="-876"/>
        <w:rPr>
          <w:rFonts w:ascii="Palatino Linotype" w:eastAsia="Palatino Linotype" w:hAnsi="Palatino Linotype" w:cs="Palatino Linotype"/>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ese sentido, se advierte que la respuesta fue emitida en términos del artículo 161 de la Ley de Transparencia y Acceso a la Información Pública del Estado de México y Municipios, es decir, que se remitió al área que de acuerdo a sus facultades genera, posee y administra la información solicitada. </w:t>
      </w:r>
    </w:p>
    <w:p w:rsidR="00470BB5" w:rsidRDefault="00470BB5">
      <w:pPr>
        <w:pBdr>
          <w:top w:val="nil"/>
          <w:left w:val="nil"/>
          <w:bottom w:val="nil"/>
          <w:right w:val="nil"/>
          <w:between w:val="nil"/>
        </w:pBdr>
        <w:ind w:right="-876"/>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Ahora bien, sobre el punto de la solicitud en el que el particular requiere los comprobantes de capacitación legal y administrativa, el Sujeto Obligado no se pronunció; al respecto, es aplicable el Criterio 02/2017 emitido por el Instituto Nacional de Transparencia, Acceso a la Información  y Protección de Datos Personales se establece que: </w:t>
      </w:r>
    </w:p>
    <w:p w:rsidR="00470BB5" w:rsidRDefault="007649A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highlight w:val="white"/>
        </w:rPr>
        <w:t xml:space="preserve">Congruencia y exhaustividad. Sus alcances para garantizar el derecho de acceso a la información. </w:t>
      </w:r>
      <w:r>
        <w:rPr>
          <w:rFonts w:ascii="Palatino Linotype" w:eastAsia="Palatino Linotype" w:hAnsi="Palatino Linotype" w:cs="Palatino Linotype"/>
          <w:i/>
          <w:color w:val="000000"/>
          <w:sz w:val="22"/>
          <w:szCs w:val="22"/>
          <w:highlight w:val="white"/>
        </w:rPr>
        <w:t xml:space="preserve">De conformidad con el artículo 3 de la Ley Federal de Procedimiento </w:t>
      </w:r>
      <w:r>
        <w:rPr>
          <w:rFonts w:ascii="Palatino Linotype" w:eastAsia="Palatino Linotype" w:hAnsi="Palatino Linotype" w:cs="Palatino Linotype"/>
          <w:i/>
          <w:color w:val="000000"/>
          <w:sz w:val="22"/>
          <w:szCs w:val="22"/>
          <w:highlight w:val="white"/>
        </w:rPr>
        <w:lastRenderedPageBreak/>
        <w:t>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470BB5" w:rsidRDefault="00470BB5">
      <w:pPr>
        <w:pBdr>
          <w:top w:val="nil"/>
          <w:left w:val="nil"/>
          <w:bottom w:val="nil"/>
          <w:right w:val="nil"/>
          <w:between w:val="nil"/>
        </w:pBdr>
        <w:spacing w:line="360" w:lineRule="auto"/>
        <w:ind w:left="644"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Pr>
          <w:rFonts w:ascii="Palatino Linotype" w:eastAsia="Palatino Linotype" w:hAnsi="Palatino Linotype" w:cs="Palatino Linotype"/>
          <w:b/>
          <w:color w:val="000000"/>
        </w:rPr>
        <w:t>la exhaustividad</w:t>
      </w:r>
      <w:r>
        <w:rPr>
          <w:rFonts w:ascii="Palatino Linotype" w:eastAsia="Palatino Linotype" w:hAnsi="Palatino Linotype" w:cs="Palatino Linotype"/>
          <w:color w:val="000000"/>
        </w:rPr>
        <w:t xml:space="preserve"> establece que </w:t>
      </w:r>
      <w:r>
        <w:rPr>
          <w:rFonts w:ascii="Palatino Linotype" w:eastAsia="Palatino Linotype" w:hAnsi="Palatino Linotype" w:cs="Palatino Linotype"/>
          <w:b/>
          <w:color w:val="000000"/>
        </w:rPr>
        <w:t>el sujeto obligado deberá atender de manera expresa cada uno de los puntos solicitados, situación que en el presente caso no aconteció</w:t>
      </w:r>
      <w:r>
        <w:rPr>
          <w:rFonts w:ascii="Palatino Linotype" w:eastAsia="Palatino Linotype" w:hAnsi="Palatino Linotype" w:cs="Palatino Linotype"/>
          <w:color w:val="000000"/>
        </w:rPr>
        <w:t xml:space="preserve">. </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Ahora bien, es procedente señalar que el artículo 175 del Reglamento Orgánico Municipal, se establece que la Coordinación de Recursos, tiene entre sus funciones, proponer programas de profesionalismo y </w:t>
      </w:r>
      <w:r>
        <w:rPr>
          <w:rFonts w:ascii="Palatino Linotype" w:eastAsia="Palatino Linotype" w:hAnsi="Palatino Linotype" w:cs="Palatino Linotype"/>
          <w:b/>
          <w:color w:val="000000"/>
          <w:u w:val="single"/>
        </w:rPr>
        <w:t>capacitación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para el personal de la Administración Pública Municipal, en ese sentido, es procedente ordenar la entrega de los documentos que den cuenta de la capacitación del personal de Oficialía de Partes.</w:t>
      </w:r>
    </w:p>
    <w:p w:rsidR="00470BB5" w:rsidRDefault="00470BB5">
      <w:pPr>
        <w:pBdr>
          <w:top w:val="nil"/>
          <w:left w:val="nil"/>
          <w:bottom w:val="nil"/>
          <w:right w:val="nil"/>
          <w:between w:val="nil"/>
        </w:pBdr>
        <w:ind w:left="720" w:right="-876"/>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lastRenderedPageBreak/>
        <w:t xml:space="preserve">Consecuentemente, también es necesario precisar que, si bien, se ordena la entrega de los comprobantes de capacitación del personal de Oficialía de Partes, también lo es que corresponde a una facultad potestativa por parte del Sujeto Obligado, por lo que, para el caso de que la información que se ordena no obre en los archivos del Sujeto Obligado por no haberse generado, </w:t>
      </w:r>
      <w:r>
        <w:rPr>
          <w:rFonts w:ascii="Palatino Linotype" w:eastAsia="Palatino Linotype" w:hAnsi="Palatino Linotype" w:cs="Palatino Linotype"/>
        </w:rPr>
        <w:t>bastará</w:t>
      </w:r>
      <w:r>
        <w:rPr>
          <w:rFonts w:ascii="Palatino Linotype" w:eastAsia="Palatino Linotype" w:hAnsi="Palatino Linotype" w:cs="Palatino Linotype"/>
          <w:color w:val="000000"/>
        </w:rPr>
        <w:t xml:space="preserve"> que así lo refiera en términos del párrafo segundo del artículo 19 de la Ley de Transparencia y Acceso a la Información Pública del Estado de México y Municipios:</w:t>
      </w:r>
    </w:p>
    <w:p w:rsidR="00470BB5" w:rsidRDefault="007649AE">
      <w:pPr>
        <w:pBdr>
          <w:top w:val="nil"/>
          <w:left w:val="nil"/>
          <w:bottom w:val="nil"/>
          <w:right w:val="nil"/>
          <w:between w:val="nil"/>
        </w:pBdr>
        <w:spacing w:line="360"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19. Se presume que la información debe existir si se refiere a las facultades, competencias y funciones que los ordenamientos jurídicos aplicables otorgan a los sujetos obligados. </w:t>
      </w:r>
    </w:p>
    <w:p w:rsidR="00470BB5" w:rsidRDefault="007649AE">
      <w:pPr>
        <w:pBdr>
          <w:top w:val="nil"/>
          <w:left w:val="nil"/>
          <w:bottom w:val="nil"/>
          <w:right w:val="nil"/>
          <w:between w:val="nil"/>
        </w:pBdr>
        <w:spacing w:line="360" w:lineRule="auto"/>
        <w:ind w:left="851" w:right="-16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En los casos en que ciertas facultades, competencias o funciones no se hayan ejercido, se debe motivar la respuesta en función de las causas que motiven tal circunstancia.</w:t>
      </w:r>
    </w:p>
    <w:p w:rsidR="00470BB5" w:rsidRDefault="007649AE">
      <w:pPr>
        <w:pBdr>
          <w:top w:val="nil"/>
          <w:left w:val="nil"/>
          <w:bottom w:val="nil"/>
          <w:right w:val="nil"/>
          <w:between w:val="nil"/>
        </w:pBdr>
        <w:spacing w:line="360"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470BB5" w:rsidRDefault="00470BB5">
      <w:pPr>
        <w:pBdr>
          <w:top w:val="nil"/>
          <w:left w:val="nil"/>
          <w:bottom w:val="nil"/>
          <w:right w:val="nil"/>
          <w:between w:val="nil"/>
        </w:pBdr>
        <w:ind w:left="720" w:right="-876"/>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Por otro lado, es necesario resaltar que el recurso de revisión previsto en la Ley de la materia no es el medio para investigar y, en su caso, sancionar a servidores públicos por la falta de cuidado de la protección de datos personales; es así que, </w:t>
      </w:r>
      <w:r>
        <w:rPr>
          <w:rFonts w:ascii="Palatino Linotype" w:eastAsia="Palatino Linotype" w:hAnsi="Palatino Linotype" w:cs="Palatino Linotype"/>
          <w:b/>
          <w:color w:val="000000"/>
        </w:rPr>
        <w:t xml:space="preserve">en respuesta, a través del documento electrónico denominado </w:t>
      </w:r>
      <w:hyperlink r:id="rId10">
        <w:r>
          <w:rPr>
            <w:rFonts w:ascii="Palatino Linotype" w:eastAsia="Palatino Linotype" w:hAnsi="Palatino Linotype" w:cs="Palatino Linotype"/>
            <w:b/>
            <w:color w:val="000000"/>
            <w:u w:val="single"/>
          </w:rPr>
          <w:t>00115HUEHUETOIP2024.pdf</w:t>
        </w:r>
      </w:hyperlink>
      <w:r>
        <w:rPr>
          <w:rFonts w:ascii="Palatino Linotype" w:eastAsia="Palatino Linotype" w:hAnsi="Palatino Linotype" w:cs="Palatino Linotype"/>
          <w:b/>
          <w:color w:val="000000"/>
        </w:rPr>
        <w:t>, se dejó a la vista la calificación en el certificado de la servidora pública</w:t>
      </w:r>
      <w:r>
        <w:rPr>
          <w:rFonts w:ascii="Palatino Linotype" w:eastAsia="Palatino Linotype" w:hAnsi="Palatino Linotype" w:cs="Palatino Linotype"/>
          <w:color w:val="000000"/>
        </w:rPr>
        <w:t xml:space="preserve">, por lo que se aprecia que se vulneraron datos personales; en ese sentido, es necesario dar vista al área competente para que en ejercicio de sus atribuciones realice las investigaciones pertinentes por las omisiones detectadas atribuibles al </w:t>
      </w:r>
      <w:r>
        <w:rPr>
          <w:rFonts w:ascii="Palatino Linotype" w:eastAsia="Palatino Linotype" w:hAnsi="Palatino Linotype" w:cs="Palatino Linotype"/>
          <w:b/>
          <w:color w:val="000000"/>
        </w:rPr>
        <w:t>SUJETO OBLIGADO.</w:t>
      </w:r>
    </w:p>
    <w:p w:rsidR="00470BB5" w:rsidRDefault="00470BB5">
      <w:pPr>
        <w:spacing w:line="360" w:lineRule="auto"/>
        <w:ind w:right="-876"/>
        <w:jc w:val="both"/>
        <w:rPr>
          <w:rFonts w:ascii="Palatino Linotype" w:eastAsia="Palatino Linotype" w:hAnsi="Palatino Linotype" w:cs="Palatino Linotype"/>
          <w:i/>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color w:val="000000"/>
        </w:rPr>
        <w:lastRenderedPageBreak/>
        <w:t xml:space="preserve">Por </w:t>
      </w:r>
      <w:r>
        <w:rPr>
          <w:rFonts w:ascii="Palatino Linotype" w:eastAsia="Palatino Linotype" w:hAnsi="Palatino Linotype" w:cs="Palatino Linotype"/>
        </w:rPr>
        <w:t>ello, es conveniente señalar las fracciones XIV, XXII, XXIII y XXV, del artículo 82, de la Ley de Protección de Datos Personales en Posesión de Sujetos Obligados del Estado de México y Municipios, que establece:</w:t>
      </w:r>
    </w:p>
    <w:p w:rsidR="00470BB5" w:rsidRDefault="007649AE">
      <w:pPr>
        <w:pBdr>
          <w:top w:val="nil"/>
          <w:left w:val="nil"/>
          <w:bottom w:val="nil"/>
          <w:right w:val="nil"/>
          <w:between w:val="nil"/>
        </w:pBdr>
        <w:tabs>
          <w:tab w:val="left" w:pos="426"/>
        </w:tabs>
        <w:spacing w:before="240" w:line="360" w:lineRule="auto"/>
        <w:ind w:left="567"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Atribuciones del Instituto </w:t>
      </w:r>
    </w:p>
    <w:p w:rsidR="00470BB5" w:rsidRDefault="007649AE">
      <w:pPr>
        <w:pBdr>
          <w:top w:val="nil"/>
          <w:left w:val="nil"/>
          <w:bottom w:val="nil"/>
          <w:right w:val="nil"/>
          <w:between w:val="nil"/>
        </w:pBdr>
        <w:tabs>
          <w:tab w:val="left" w:pos="426"/>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82.</w:t>
      </w:r>
      <w:r>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rsidR="00470BB5" w:rsidRDefault="007649AE">
      <w:pPr>
        <w:pBdr>
          <w:top w:val="nil"/>
          <w:left w:val="nil"/>
          <w:bottom w:val="nil"/>
          <w:right w:val="nil"/>
          <w:between w:val="nil"/>
        </w:pBdr>
        <w:tabs>
          <w:tab w:val="left" w:pos="426"/>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rsidR="00470BB5" w:rsidRDefault="007649AE">
      <w:pPr>
        <w:pBdr>
          <w:top w:val="nil"/>
          <w:left w:val="nil"/>
          <w:bottom w:val="nil"/>
          <w:right w:val="nil"/>
          <w:between w:val="nil"/>
        </w:pBdr>
        <w:tabs>
          <w:tab w:val="left" w:pos="426"/>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XIV. Formular observaciones y recomendaciones</w:t>
      </w:r>
      <w:r>
        <w:rPr>
          <w:rFonts w:ascii="Palatino Linotype" w:eastAsia="Palatino Linotype" w:hAnsi="Palatino Linotype" w:cs="Palatino Linotype"/>
          <w:i/>
          <w:color w:val="000000"/>
          <w:sz w:val="22"/>
          <w:szCs w:val="22"/>
        </w:rPr>
        <w:t xml:space="preserve"> a los sujetos obligados que incumplan esta Ley. </w:t>
      </w:r>
    </w:p>
    <w:p w:rsidR="00470BB5" w:rsidRDefault="007649AE">
      <w:pPr>
        <w:pBdr>
          <w:top w:val="nil"/>
          <w:left w:val="nil"/>
          <w:bottom w:val="nil"/>
          <w:right w:val="nil"/>
          <w:between w:val="nil"/>
        </w:pBdr>
        <w:tabs>
          <w:tab w:val="left" w:pos="426"/>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rsidR="00470BB5" w:rsidRDefault="007649AE">
      <w:pPr>
        <w:pBdr>
          <w:top w:val="nil"/>
          <w:left w:val="nil"/>
          <w:bottom w:val="nil"/>
          <w:right w:val="nil"/>
          <w:between w:val="nil"/>
        </w:pBdr>
        <w:tabs>
          <w:tab w:val="left" w:pos="426"/>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XXII. Verificar el cumplimiento</w:t>
      </w:r>
      <w:r>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rsidR="00470BB5" w:rsidRDefault="007649AE">
      <w:pPr>
        <w:pBdr>
          <w:top w:val="nil"/>
          <w:left w:val="nil"/>
          <w:bottom w:val="nil"/>
          <w:right w:val="nil"/>
          <w:between w:val="nil"/>
        </w:pBdr>
        <w:tabs>
          <w:tab w:val="left" w:pos="426"/>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XXIII. Implementar los procedimientos</w:t>
      </w:r>
      <w:r>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rsidR="00470BB5" w:rsidRDefault="007649AE">
      <w:pPr>
        <w:pBdr>
          <w:top w:val="nil"/>
          <w:left w:val="nil"/>
          <w:bottom w:val="nil"/>
          <w:right w:val="nil"/>
          <w:between w:val="nil"/>
        </w:pBdr>
        <w:tabs>
          <w:tab w:val="left" w:pos="426"/>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rsidR="00470BB5" w:rsidRDefault="007649AE">
      <w:pPr>
        <w:pBdr>
          <w:top w:val="nil"/>
          <w:left w:val="nil"/>
          <w:bottom w:val="nil"/>
          <w:right w:val="nil"/>
          <w:between w:val="nil"/>
        </w:pBdr>
        <w:tabs>
          <w:tab w:val="left" w:pos="426"/>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 Investigar las posibles violaciones</w:t>
      </w:r>
      <w:r>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rsidR="00470BB5" w:rsidRDefault="007649AE">
      <w:pPr>
        <w:pBdr>
          <w:top w:val="nil"/>
          <w:left w:val="nil"/>
          <w:bottom w:val="nil"/>
          <w:right w:val="nil"/>
          <w:between w:val="nil"/>
        </w:pBdr>
        <w:tabs>
          <w:tab w:val="left" w:pos="426"/>
        </w:tabs>
        <w:spacing w:after="240"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rsidR="00470BB5" w:rsidRDefault="00470BB5">
      <w:pPr>
        <w:spacing w:line="360" w:lineRule="auto"/>
        <w:ind w:right="-876"/>
        <w:jc w:val="both"/>
        <w:rPr>
          <w:rFonts w:ascii="Palatino Linotype" w:eastAsia="Palatino Linotype" w:hAnsi="Palatino Linotype" w:cs="Palatino Linotype"/>
          <w:i/>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Por lo tanto, es menester dar vista a la Dirección de Protección de Datos Personales de este Instituto para que en ejercicio de sus atribuciones atiendan las directivas marcadas en la propia Ley de la materia, con fundamento en el artículo 82 de la Ley de la materia, el cual </w:t>
      </w:r>
      <w:r>
        <w:rPr>
          <w:rFonts w:ascii="Palatino Linotype" w:eastAsia="Palatino Linotype" w:hAnsi="Palatino Linotype" w:cs="Palatino Linotype"/>
        </w:rPr>
        <w:lastRenderedPageBreak/>
        <w:t xml:space="preserve">señala la atribución de este Órgano Garante para Investigar las posibles violaciones a la seguridad de los datos personales a fin de determinar la práctica de verificaciones. </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4"/>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recurso de revisión 00964/INFOEM/IP/RR2024</w:t>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El particular solicitó del personal de Coordinación Jurídica:</w:t>
      </w:r>
    </w:p>
    <w:p w:rsidR="00470BB5" w:rsidRDefault="007649AE">
      <w:pPr>
        <w:numPr>
          <w:ilvl w:val="0"/>
          <w:numId w:val="3"/>
        </w:numPr>
        <w:pBdr>
          <w:top w:val="nil"/>
          <w:left w:val="nil"/>
          <w:bottom w:val="nil"/>
          <w:right w:val="nil"/>
          <w:between w:val="nil"/>
        </w:pBdr>
        <w:spacing w:line="360" w:lineRule="auto"/>
        <w:ind w:left="851"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w:t>
      </w:r>
    </w:p>
    <w:p w:rsidR="00470BB5" w:rsidRDefault="007649AE">
      <w:pPr>
        <w:numPr>
          <w:ilvl w:val="0"/>
          <w:numId w:val="3"/>
        </w:numPr>
        <w:pBdr>
          <w:top w:val="nil"/>
          <w:left w:val="nil"/>
          <w:bottom w:val="nil"/>
          <w:right w:val="nil"/>
          <w:between w:val="nil"/>
        </w:pBdr>
        <w:spacing w:line="360" w:lineRule="auto"/>
        <w:ind w:left="851"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Gafete;</w:t>
      </w:r>
    </w:p>
    <w:p w:rsidR="00470BB5" w:rsidRDefault="007649AE">
      <w:pPr>
        <w:numPr>
          <w:ilvl w:val="0"/>
          <w:numId w:val="3"/>
        </w:numPr>
        <w:pBdr>
          <w:top w:val="nil"/>
          <w:left w:val="nil"/>
          <w:bottom w:val="nil"/>
          <w:right w:val="nil"/>
          <w:between w:val="nil"/>
        </w:pBdr>
        <w:spacing w:line="360" w:lineRule="auto"/>
        <w:ind w:left="851"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Funciones administrativas y facultades legales; </w:t>
      </w:r>
    </w:p>
    <w:p w:rsidR="00470BB5" w:rsidRDefault="007649AE">
      <w:pPr>
        <w:numPr>
          <w:ilvl w:val="0"/>
          <w:numId w:val="3"/>
        </w:numPr>
        <w:pBdr>
          <w:top w:val="nil"/>
          <w:left w:val="nil"/>
          <w:bottom w:val="nil"/>
          <w:right w:val="nil"/>
          <w:between w:val="nil"/>
        </w:pBdr>
        <w:spacing w:line="360" w:lineRule="auto"/>
        <w:ind w:left="851" w:right="-876"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Percepciones económicas.</w:t>
      </w:r>
    </w:p>
    <w:p w:rsidR="00470BB5" w:rsidRDefault="00470BB5">
      <w:pPr>
        <w:pBdr>
          <w:top w:val="nil"/>
          <w:left w:val="nil"/>
          <w:bottom w:val="nil"/>
          <w:right w:val="nil"/>
          <w:between w:val="nil"/>
        </w:pBdr>
        <w:spacing w:line="360" w:lineRule="auto"/>
        <w:ind w:left="851"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respuesta, el Sujeto Obligado entregó un gafete y un extracto del bando municipal en donde se advierten las atribuciones, responsabilidades y funciones de la Coordinación Jurídica. </w:t>
      </w: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Posteriormente, el particular interpuso recurso de revisión en el que se inconformó por las siguientes razones:</w:t>
      </w:r>
    </w:p>
    <w:p w:rsidR="00470BB5" w:rsidRDefault="007649A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respuesta con información incompleta, bajo el pretexto que la coordinación jurídica no cuenta con los recibos de nómina solicitados, en un hecho por demás sorprendente, utilizan dicho argumento creando un artificio para negarme la información, pues que a decir del responsable, el titular de la unidad de información correspondiente debió girar la solicitud de información al ente que cuente con la información solicitada, que es quien tenga los recibos de nómina solicitados, en cambio, la turna a una coordinación que obviamente no tendrá la información con la finalidad de no otorgarla y con ello violenta mi derecho de acceso a la información, motivo por el cual, debe dársele vista a la Contraloría Interna Municipal para </w:t>
      </w:r>
      <w:r>
        <w:rPr>
          <w:rFonts w:ascii="Palatino Linotype" w:eastAsia="Palatino Linotype" w:hAnsi="Palatino Linotype" w:cs="Palatino Linotype"/>
          <w:i/>
          <w:color w:val="000000"/>
          <w:sz w:val="22"/>
          <w:szCs w:val="22"/>
        </w:rPr>
        <w:lastRenderedPageBreak/>
        <w:t>que investigue esta transgresión a la Constitución y a la Ley de Transparencia y Acceso a la información aplicable.”</w:t>
      </w:r>
    </w:p>
    <w:p w:rsidR="00470BB5" w:rsidRDefault="00470BB5">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Ahora bien, la inconformidad del RECURRENTE radica en que la información remitida es incompleta, pues faltan los recibos de nómina, </w:t>
      </w:r>
      <w:r>
        <w:rPr>
          <w:rFonts w:ascii="Palatino Linotype" w:eastAsia="Palatino Linotype" w:hAnsi="Palatino Linotype" w:cs="Palatino Linotype"/>
        </w:rPr>
        <w:t>pues</w:t>
      </w:r>
      <w:r>
        <w:rPr>
          <w:rFonts w:ascii="Palatino Linotype" w:eastAsia="Palatino Linotype" w:hAnsi="Palatino Linotype" w:cs="Palatino Linotype"/>
          <w:color w:val="000000"/>
        </w:rPr>
        <w:t xml:space="preserve"> decir, que el particular no se </w:t>
      </w:r>
      <w:r>
        <w:rPr>
          <w:rFonts w:ascii="Palatino Linotype" w:eastAsia="Palatino Linotype" w:hAnsi="Palatino Linotype" w:cs="Palatino Linotype"/>
        </w:rPr>
        <w:t>conformó</w:t>
      </w:r>
      <w:r>
        <w:rPr>
          <w:rFonts w:ascii="Palatino Linotype" w:eastAsia="Palatino Linotype" w:hAnsi="Palatino Linotype" w:cs="Palatino Linotype"/>
          <w:color w:val="000000"/>
        </w:rPr>
        <w:t xml:space="preserve"> por las documentales </w:t>
      </w:r>
      <w:r>
        <w:rPr>
          <w:rFonts w:ascii="Palatino Linotype" w:eastAsia="Palatino Linotype" w:hAnsi="Palatino Linotype" w:cs="Palatino Linotype"/>
        </w:rPr>
        <w:t>remitidas</w:t>
      </w:r>
      <w:r>
        <w:rPr>
          <w:rFonts w:ascii="Palatino Linotype" w:eastAsia="Palatino Linotype" w:hAnsi="Palatino Linotype" w:cs="Palatino Linotype"/>
          <w:color w:val="000000"/>
        </w:rPr>
        <w:t xml:space="preserve"> en respuesta;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rsidR="00470BB5" w:rsidRDefault="007649AE">
      <w:pPr>
        <w:pBdr>
          <w:top w:val="nil"/>
          <w:left w:val="nil"/>
          <w:bottom w:val="nil"/>
          <w:right w:val="nil"/>
          <w:between w:val="nil"/>
        </w:pBdr>
        <w:spacing w:line="360"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470BB5" w:rsidRDefault="00470BB5">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Lo anterior es así, debido a que cuando el particular impugnó la respuesta del SUJETO OBLIGADO, y no expresó razón o motivo de inconformidad en contra de lo que se le hizo </w:t>
      </w:r>
      <w:r>
        <w:rPr>
          <w:rFonts w:ascii="Palatino Linotype" w:eastAsia="Palatino Linotype" w:hAnsi="Palatino Linotype" w:cs="Palatino Linotype"/>
          <w:color w:val="000000"/>
        </w:rPr>
        <w:lastRenderedPageBreak/>
        <w:t xml:space="preserve">entrega, por tanto, estos deben declararse atendidos, pues se entiende que EL RECURRENTE está conforme con la respuesta proporcionada por EL SUJETO OBLIGADO, al no contravenir la misma. </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rsidR="00470BB5" w:rsidRDefault="007649AE">
      <w:pPr>
        <w:pBdr>
          <w:top w:val="nil"/>
          <w:left w:val="nil"/>
          <w:bottom w:val="nil"/>
          <w:right w:val="nil"/>
          <w:between w:val="nil"/>
        </w:pBdr>
        <w:spacing w:after="240" w:line="360"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t xml:space="preserve">En este contexto, se hará pronunciamiento, únicamente por la información referente a las remuneraciones de los servidores públicos. </w:t>
      </w:r>
    </w:p>
    <w:p w:rsidR="00470BB5" w:rsidRDefault="00470BB5">
      <w:pPr>
        <w:pBdr>
          <w:top w:val="nil"/>
          <w:left w:val="nil"/>
          <w:bottom w:val="nil"/>
          <w:right w:val="nil"/>
          <w:between w:val="nil"/>
        </w:pBdr>
        <w:ind w:left="720" w:right="-876"/>
        <w:rPr>
          <w:rFonts w:ascii="Palatino Linotype" w:eastAsia="Palatino Linotype" w:hAnsi="Palatino Linotype" w:cs="Palatino Linotype"/>
          <w:color w:val="000000"/>
        </w:rPr>
      </w:pPr>
    </w:p>
    <w:p w:rsidR="00470BB5" w:rsidRDefault="007649AE">
      <w:pPr>
        <w:numPr>
          <w:ilvl w:val="0"/>
          <w:numId w:val="10"/>
        </w:numPr>
        <w:spacing w:line="360" w:lineRule="auto"/>
        <w:ind w:left="0" w:right="-876" w:firstLine="0"/>
        <w:jc w:val="both"/>
      </w:pPr>
      <w:r>
        <w:rPr>
          <w:rFonts w:ascii="Palatino Linotype" w:eastAsia="Palatino Linotype" w:hAnsi="Palatino Linotype" w:cs="Palatino Linotype"/>
        </w:rPr>
        <w:lastRenderedPageBreak/>
        <w:t>Ahora bien, respecto a las remuneraciones, la Directora de Administración de Recursos Humanos y Servicios Generales señaló que la información de sueldos corresponde a la Tesorería Municipal, posteriormente, en informe justificado, el Sujeto Obligado señaló que el particular no solicitó recibos de nómina, si no las percepciones económicas del personal de la Dirección Jurídica y remitió un documento ad hoc en el que se advierte el nombre de los servidores públicos y el total de percepciones, como se observa enseguida:</w:t>
      </w:r>
    </w:p>
    <w:p w:rsidR="00470BB5" w:rsidRDefault="00470BB5">
      <w:pPr>
        <w:pBdr>
          <w:top w:val="nil"/>
          <w:left w:val="nil"/>
          <w:bottom w:val="nil"/>
          <w:right w:val="nil"/>
          <w:between w:val="nil"/>
        </w:pBdr>
        <w:ind w:left="720" w:right="-876"/>
        <w:rPr>
          <w:rFonts w:ascii="Palatino Linotype" w:eastAsia="Palatino Linotype" w:hAnsi="Palatino Linotype" w:cs="Palatino Linotype"/>
          <w:color w:val="000000"/>
        </w:rPr>
      </w:pPr>
    </w:p>
    <w:p w:rsidR="00470BB5" w:rsidRDefault="007649AE">
      <w:pPr>
        <w:spacing w:line="360" w:lineRule="auto"/>
        <w:ind w:right="-876"/>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4344685" cy="255329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344685" cy="2553295"/>
                    </a:xfrm>
                    <a:prstGeom prst="rect">
                      <a:avLst/>
                    </a:prstGeom>
                    <a:ln/>
                  </pic:spPr>
                </pic:pic>
              </a:graphicData>
            </a:graphic>
          </wp:inline>
        </w:drawing>
      </w:r>
    </w:p>
    <w:p w:rsidR="00470BB5" w:rsidRDefault="00470BB5">
      <w:pPr>
        <w:ind w:right="-876"/>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Como se advierte,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través de un cuadro pretendió dar respuesta al requerimiento, es decir, elaboró un documento ad hoc. En ese sentido, de acuerdo a lo establecido en el artículo 12 de la ley de la materia, los sujetos obligados </w:t>
      </w:r>
      <w:r>
        <w:rPr>
          <w:rFonts w:ascii="Palatino Linotype" w:eastAsia="Palatino Linotype" w:hAnsi="Palatino Linotype" w:cs="Palatino Linotype"/>
          <w:b/>
          <w:color w:val="000000"/>
        </w:rPr>
        <w:t>sólo proporcionarán la información pública que se les requiera y que obre en sus archivos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y en el </w:t>
      </w:r>
      <w:r>
        <w:rPr>
          <w:rFonts w:ascii="Palatino Linotype" w:eastAsia="Palatino Linotype" w:hAnsi="Palatino Linotype" w:cs="Palatino Linotype"/>
          <w:b/>
          <w:color w:val="000000"/>
          <w:u w:val="single"/>
        </w:rPr>
        <w:t>estado en que ésta se encuentre</w:t>
      </w:r>
      <w:r>
        <w:rPr>
          <w:rFonts w:ascii="Palatino Linotype" w:eastAsia="Palatino Linotype" w:hAnsi="Palatino Linotype" w:cs="Palatino Linotype"/>
          <w:color w:val="000000"/>
        </w:rPr>
        <w:t xml:space="preserve">, sin embargo,  no están impedidos para realizar documentos ad hoc, siempre y cuando garanticen el derecho de acceso a la información de los solicitantes, lo que no sucedió en el presente caso. </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Como fue referido, si bien se advierte el total de percepciones, lo cierto es que, con ese documento no se satisface el derecho de acceso a la información del particular, pues las percepciones también debe incluir las deducciones que se le realizan al servidor público. </w:t>
      </w:r>
    </w:p>
    <w:p w:rsidR="00470BB5" w:rsidRDefault="007649A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470BB5" w:rsidRDefault="007649AE">
      <w:pPr>
        <w:numPr>
          <w:ilvl w:val="0"/>
          <w:numId w:val="10"/>
        </w:numPr>
        <w:pBdr>
          <w:top w:val="nil"/>
          <w:left w:val="nil"/>
          <w:bottom w:val="nil"/>
          <w:right w:val="nil"/>
          <w:between w:val="nil"/>
        </w:pBdr>
        <w:spacing w:after="240" w:line="360" w:lineRule="auto"/>
        <w:ind w:left="0" w:right="-876" w:firstLine="0"/>
        <w:jc w:val="both"/>
        <w:rPr>
          <w:color w:val="000000"/>
        </w:rPr>
      </w:pPr>
      <w:r>
        <w:rPr>
          <w:rFonts w:ascii="Palatino Linotype" w:eastAsia="Palatino Linotype" w:hAnsi="Palatino Linotype" w:cs="Palatino Linotype"/>
          <w:color w:val="000000"/>
        </w:rPr>
        <w:t xml:space="preserve">Ahora bien, se precisa que los documentos que de manera enunciativa más no limitativa pudieran dar cuenta de lo solicitado es la conciliación de nómina o en su caso los recibos de nómina. Esto nos lleva a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Pr>
          <w:rFonts w:ascii="Palatino Linotype" w:eastAsia="Palatino Linotype" w:hAnsi="Palatino Linotype" w:cs="Palatino Linotype"/>
          <w:color w:val="000000"/>
        </w:rPr>
        <w:t>Presupuestación</w:t>
      </w:r>
      <w:proofErr w:type="spellEnd"/>
      <w:r>
        <w:rPr>
          <w:rFonts w:ascii="Palatino Linotype" w:eastAsia="Palatino Linotype" w:hAnsi="Palatino Linotype" w:cs="Palatino Linotype"/>
          <w:color w:val="000000"/>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rsidR="00470BB5" w:rsidRDefault="007649AE">
      <w:pPr>
        <w:spacing w:before="240"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“NÓMINA </w:t>
      </w:r>
      <w:r>
        <w:rPr>
          <w:rFonts w:ascii="Palatino Linotype" w:eastAsia="Palatino Linotype" w:hAnsi="Palatino Linotype" w:cs="Palatino Linotype"/>
          <w:i/>
          <w:sz w:val="22"/>
          <w:szCs w:val="22"/>
        </w:rPr>
        <w:t>Listado general de los trabajadores de una institución, en</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el cual se asientan las percepciones brutas, deducciones y</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alcance neto de las mismas; la nómina es utilizada para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efectuar los pagos periódicos (semanales, quincenales o</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mensuales) a los trabajadores por concepto de sueldos y</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salarios.”(Sic)</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pBdr>
          <w:top w:val="nil"/>
          <w:left w:val="nil"/>
          <w:bottom w:val="nil"/>
          <w:right w:val="nil"/>
          <w:between w:val="nil"/>
        </w:pBdr>
        <w:spacing w:line="360" w:lineRule="auto"/>
        <w:ind w:left="0" w:right="-167" w:firstLine="0"/>
        <w:jc w:val="both"/>
        <w:rPr>
          <w:color w:val="000000"/>
        </w:rPr>
      </w:pPr>
      <w:r>
        <w:rPr>
          <w:rFonts w:ascii="Palatino Linotype" w:eastAsia="Palatino Linotype" w:hAnsi="Palatino Linotype" w:cs="Palatino Linotype"/>
          <w:color w:val="000000"/>
        </w:rPr>
        <w:lastRenderedPageBreak/>
        <w:t>En base a lo anterior, conviene a traer lo establecido por el artículo 804, fracción II, de la Ley F</w:t>
      </w:r>
      <w:r>
        <w:rPr>
          <w:rFonts w:ascii="Palatino Linotype" w:eastAsia="Palatino Linotype" w:hAnsi="Palatino Linotype" w:cs="Palatino Linotype"/>
          <w:color w:val="000000"/>
          <w:sz w:val="22"/>
          <w:szCs w:val="22"/>
        </w:rPr>
        <w:t xml:space="preserve">ederal de Trabajo, el cual a la letra establece: </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804.-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El patrón tiene obligación de conservar y exhibir en juicio los documentos que a continuación se precisan</w:t>
      </w:r>
      <w:r>
        <w:rPr>
          <w:rFonts w:ascii="Palatino Linotype" w:eastAsia="Palatino Linotype" w:hAnsi="Palatino Linotype" w:cs="Palatino Linotype"/>
          <w:i/>
          <w:sz w:val="22"/>
          <w:szCs w:val="22"/>
        </w:rPr>
        <w:t>:</w:t>
      </w:r>
    </w:p>
    <w:p w:rsidR="00470BB5" w:rsidRDefault="00470BB5">
      <w:pPr>
        <w:spacing w:line="276" w:lineRule="auto"/>
        <w:ind w:left="851" w:right="-167"/>
        <w:jc w:val="both"/>
        <w:rPr>
          <w:rFonts w:ascii="Palatino Linotype" w:eastAsia="Palatino Linotype" w:hAnsi="Palatino Linotype" w:cs="Palatino Linotype"/>
          <w:i/>
          <w:sz w:val="22"/>
          <w:szCs w:val="22"/>
        </w:rPr>
      </w:pP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Listas de raya o nómina de personal</w:t>
      </w:r>
      <w:r>
        <w:rPr>
          <w:rFonts w:ascii="Palatino Linotype" w:eastAsia="Palatino Linotype" w:hAnsi="Palatino Linotype" w:cs="Palatino Linotype"/>
          <w:i/>
          <w:sz w:val="22"/>
          <w:szCs w:val="22"/>
        </w:rPr>
        <w:t xml:space="preserve">, cuando se lleven en el centro de trabajo; o recibos de pagos de salarios; </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Pr>
          <w:rFonts w:ascii="Palatino Linotype" w:eastAsia="Palatino Linotype" w:hAnsi="Palatino Linotype" w:cs="Palatino Linotype"/>
          <w:i/>
          <w:sz w:val="22"/>
          <w:szCs w:val="22"/>
        </w:rPr>
        <w:t>; y los mencionados en la fracción V, conforme lo señalen las Leyes que los rijan.” (Sic)</w:t>
      </w:r>
    </w:p>
    <w:p w:rsidR="00470BB5" w:rsidRDefault="00470BB5">
      <w:pPr>
        <w:ind w:left="851" w:right="-876"/>
        <w:jc w:val="both"/>
        <w:rPr>
          <w:rFonts w:ascii="Palatino Linotype" w:eastAsia="Palatino Linotype" w:hAnsi="Palatino Linotype" w:cs="Palatino Linotype"/>
          <w:i/>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after="240" w:line="360" w:lineRule="auto"/>
        <w:ind w:left="0" w:right="-876" w:firstLine="0"/>
        <w:jc w:val="both"/>
        <w:rPr>
          <w:color w:val="000000"/>
        </w:rPr>
      </w:pPr>
      <w:r>
        <w:rPr>
          <w:rFonts w:ascii="Palatino Linotype" w:eastAsia="Palatino Linotype" w:hAnsi="Palatino Linotype" w:cs="Palatino Linotype"/>
          <w:color w:val="000000"/>
        </w:rPr>
        <w:t>En ese contexto, tratándose de servidores públicos de los Municipios la Ley del Trabajo de los Servidores Públicos del Estado y Municipios, en su artículo 220-K, establece lo siguiente:</w:t>
      </w:r>
    </w:p>
    <w:p w:rsidR="00470BB5" w:rsidRDefault="007649AE">
      <w:pPr>
        <w:spacing w:before="240"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w:t>
      </w:r>
      <w:r>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se precisan</w:t>
      </w:r>
      <w:r>
        <w:rPr>
          <w:rFonts w:ascii="Palatino Linotype" w:eastAsia="Palatino Linotype" w:hAnsi="Palatino Linotype" w:cs="Palatino Linotype"/>
          <w:i/>
          <w:sz w:val="22"/>
          <w:szCs w:val="22"/>
        </w:rPr>
        <w:t>:</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7649AE">
      <w:pPr>
        <w:spacing w:line="276" w:lineRule="auto"/>
        <w:ind w:left="851" w:right="-1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II. </w:t>
      </w:r>
      <w:r>
        <w:rPr>
          <w:rFonts w:ascii="Palatino Linotype" w:eastAsia="Palatino Linotype" w:hAnsi="Palatino Linotype" w:cs="Palatino Linotype"/>
          <w:b/>
          <w:i/>
          <w:sz w:val="22"/>
          <w:szCs w:val="22"/>
        </w:rPr>
        <w:t>Recibos de pagos de salarios 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las constancias documentales del pago de salario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cuando </w:t>
      </w:r>
      <w:r>
        <w:rPr>
          <w:rFonts w:ascii="Palatino Linotype" w:eastAsia="Palatino Linotype" w:hAnsi="Palatino Linotype" w:cs="Palatino Linotype"/>
          <w:b/>
          <w:i/>
          <w:sz w:val="22"/>
          <w:szCs w:val="22"/>
          <w:u w:val="single"/>
        </w:rPr>
        <w:t>sea por depósito o mediante información electrónica</w:t>
      </w:r>
      <w:r>
        <w:rPr>
          <w:rFonts w:ascii="Palatino Linotype" w:eastAsia="Palatino Linotype" w:hAnsi="Palatino Linotype" w:cs="Palatino Linotype"/>
          <w:b/>
          <w:i/>
          <w:sz w:val="22"/>
          <w:szCs w:val="22"/>
        </w:rPr>
        <w:t>;</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II, III, IV durante el </w:t>
      </w:r>
      <w:r>
        <w:rPr>
          <w:rFonts w:ascii="Palatino Linotype" w:eastAsia="Palatino Linotype" w:hAnsi="Palatino Linotype" w:cs="Palatino Linotype"/>
          <w:i/>
          <w:sz w:val="22"/>
          <w:szCs w:val="22"/>
        </w:rPr>
        <w:lastRenderedPageBreak/>
        <w:t>último año y un año después de que se extinga la relación laboral, y los mencionados en la fracción V, conforme lo señalen las leyes que los rijan.</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rsidR="00470BB5" w:rsidRDefault="00470BB5">
      <w:pPr>
        <w:tabs>
          <w:tab w:val="left" w:pos="9072"/>
        </w:tabs>
        <w:ind w:left="851" w:right="-876"/>
        <w:jc w:val="both"/>
        <w:rPr>
          <w:rFonts w:ascii="Palatino Linotype" w:eastAsia="Palatino Linotype" w:hAnsi="Palatino Linotype" w:cs="Palatino Linotype"/>
          <w:i/>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Asimismo,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es necesario señalar que, el Órgano Superior de Fiscalización emite anualmente los Lineamientos para la elaboración y presentación de los Informe Mensuales, los cuales tienen como objetivo establecer las especificaciones necesarias que las entidades fiscalizables deben cumplir para la elaboración y presentación de los informes. Estos Lineamientos son de observancia general para todos los servidores públicos de las entidades fiscalizables que desempeñen un empleo, cargo o comisión, de cualquier naturaleza en la administración pública y que manejen recursos públicos; en atención a ello, el informe mensual deberá ser presentado al Órgano Superior de Fiscalización.</w:t>
      </w:r>
    </w:p>
    <w:p w:rsidR="00470BB5" w:rsidRDefault="00470BB5">
      <w:pPr>
        <w:pBdr>
          <w:top w:val="nil"/>
          <w:left w:val="nil"/>
          <w:bottom w:val="nil"/>
          <w:right w:val="nil"/>
          <w:between w:val="nil"/>
        </w:pBdr>
        <w:ind w:right="-876"/>
        <w:rPr>
          <w:rFonts w:ascii="Palatino Linotype" w:eastAsia="Palatino Linotype" w:hAnsi="Palatino Linotype" w:cs="Palatino Linotype"/>
          <w:b/>
          <w:i/>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Ahora bien, dentro de los Lineamientos se advierte información sobre la nómina de los servidores públicos, se puede localizar dentro del disco 4 que es correspondiente a la </w:t>
      </w:r>
      <w:r>
        <w:rPr>
          <w:rFonts w:ascii="Palatino Linotype" w:eastAsia="Palatino Linotype" w:hAnsi="Palatino Linotype" w:cs="Palatino Linotype"/>
          <w:color w:val="000000"/>
        </w:rPr>
        <w:lastRenderedPageBreak/>
        <w:t xml:space="preserve">información de nómina, en específico la conciliación o los recibos de nómina, por lo que, de manera enunciativa, más no limitativa, podría colmarse con la entrega de esos documentos. </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rsidR="00470BB5" w:rsidRDefault="007649AE">
      <w:pPr>
        <w:ind w:left="851" w:right="-25"/>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Pr>
          <w:rFonts w:ascii="Palatino Linotype" w:eastAsia="Palatino Linotype" w:hAnsi="Palatino Linotype" w:cs="Palatino Linotype"/>
          <w:b/>
          <w:i/>
          <w:sz w:val="22"/>
          <w:szCs w:val="22"/>
          <w:u w:val="single"/>
        </w:rPr>
        <w:t>que reciba y ejerza recursos públicos</w:t>
      </w:r>
      <w:r>
        <w:rPr>
          <w:rFonts w:ascii="Palatino Linotype" w:eastAsia="Palatino Linotype" w:hAnsi="Palatino Linotype" w:cs="Palatino Linotype"/>
          <w:i/>
          <w:sz w:val="22"/>
          <w:szCs w:val="22"/>
        </w:rPr>
        <w:t xml:space="preserve"> o realice actos de autoridad </w:t>
      </w:r>
      <w:r>
        <w:rPr>
          <w:rFonts w:ascii="Palatino Linotype" w:eastAsia="Palatino Linotype" w:hAnsi="Palatino Linotype" w:cs="Palatino Linotype"/>
          <w:b/>
          <w:i/>
          <w:sz w:val="22"/>
          <w:szCs w:val="22"/>
          <w:u w:val="single"/>
        </w:rPr>
        <w:t>en el ámbito de competencia del Estado de México y sus municipios</w:t>
      </w:r>
      <w:r>
        <w:rPr>
          <w:rFonts w:ascii="Palatino Linotype" w:eastAsia="Palatino Linotype" w:hAnsi="Palatino Linotype" w:cs="Palatino Linotype"/>
          <w:i/>
          <w:sz w:val="22"/>
          <w:szCs w:val="22"/>
          <w:u w:val="single"/>
        </w:rPr>
        <w:t>.</w:t>
      </w:r>
    </w:p>
    <w:p w:rsidR="00470BB5" w:rsidRDefault="007649AE">
      <w:pPr>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rsidR="00470BB5" w:rsidRDefault="007649AE">
      <w:pPr>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7649AE">
      <w:pPr>
        <w:ind w:left="851" w:right="-25"/>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IV. Los ayuntamientos y las dependencias, organismos, órganos y entidades de la administración municipal;</w:t>
      </w:r>
    </w:p>
    <w:p w:rsidR="00470BB5" w:rsidRDefault="007649AE">
      <w:pPr>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7649AE">
      <w:pPr>
        <w:ind w:left="851" w:right="-25"/>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470BB5" w:rsidRDefault="007649AE">
      <w:pPr>
        <w:ind w:left="851"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lastRenderedPageBreak/>
        <w:t>Los servidores públicos deberán transparentar sus acciones así como garantizar y respetar el derecho de acceso a la información pública.”</w:t>
      </w:r>
      <w:r>
        <w:rPr>
          <w:rFonts w:ascii="Palatino Linotype" w:eastAsia="Palatino Linotype" w:hAnsi="Palatino Linotype" w:cs="Palatino Linotype"/>
          <w:b/>
          <w:i/>
          <w:sz w:val="22"/>
          <w:szCs w:val="22"/>
        </w:rPr>
        <w:t xml:space="preserve"> [Sic]</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Sirve de sustento por analogía, para justificar la publicidad sobre los datos relativos a los montos por concepto de pago de las remuneraciones, los criterios </w:t>
      </w:r>
      <w:r>
        <w:rPr>
          <w:rFonts w:ascii="Palatino Linotype" w:eastAsia="Palatino Linotype" w:hAnsi="Palatino Linotype" w:cs="Palatino Linotype"/>
          <w:b/>
          <w:color w:val="000000"/>
        </w:rPr>
        <w:t>01/2003</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02/2003</w:t>
      </w:r>
      <w:r>
        <w:rPr>
          <w:rFonts w:ascii="Palatino Linotype" w:eastAsia="Palatino Linotype" w:hAnsi="Palatino Linotype" w:cs="Palatino Linotype"/>
          <w:color w:val="000000"/>
        </w:rPr>
        <w:t xml:space="preserve"> emitidos por el Comité de Acceso a la Información Pública y Protección de Datos Personales de la Suprema Corte de Justicia de la Nación que a continuación se citan: </w:t>
      </w:r>
    </w:p>
    <w:p w:rsidR="00470BB5" w:rsidRDefault="007649AE">
      <w:pPr>
        <w:spacing w:line="276" w:lineRule="auto"/>
        <w:ind w:left="851"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01/2003.</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Pr>
          <w:rFonts w:ascii="Palatino Linotype" w:eastAsia="Palatino Linotype" w:hAnsi="Palatino Linotype" w:cs="Palatino Linotype"/>
          <w:i/>
          <w:sz w:val="22"/>
          <w:szCs w:val="22"/>
        </w:rPr>
        <w:t xml:space="preserve"> </w:t>
      </w:r>
    </w:p>
    <w:p w:rsidR="00470BB5" w:rsidRDefault="007649AE">
      <w:pPr>
        <w:spacing w:line="276" w:lineRule="auto"/>
        <w:ind w:left="851" w:right="-167"/>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Pr>
          <w:rFonts w:ascii="Palatino Linotype" w:eastAsia="Palatino Linotype" w:hAnsi="Palatino Linotype" w:cs="Palatino Linotype"/>
          <w:i/>
          <w:sz w:val="22"/>
          <w:szCs w:val="22"/>
          <w:u w:val="single"/>
        </w:rPr>
        <w:t>…”</w:t>
      </w:r>
    </w:p>
    <w:p w:rsidR="00470BB5" w:rsidRDefault="00470BB5">
      <w:pPr>
        <w:spacing w:line="276" w:lineRule="auto"/>
        <w:ind w:left="851" w:right="-167"/>
        <w:jc w:val="both"/>
        <w:rPr>
          <w:rFonts w:ascii="Palatino Linotype" w:eastAsia="Palatino Linotype" w:hAnsi="Palatino Linotype" w:cs="Palatino Linotype"/>
          <w:i/>
          <w:sz w:val="22"/>
          <w:szCs w:val="22"/>
        </w:rPr>
      </w:pPr>
    </w:p>
    <w:p w:rsidR="00470BB5" w:rsidRDefault="007649AE">
      <w:pPr>
        <w:spacing w:line="276" w:lineRule="auto"/>
        <w:ind w:left="851"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02/2003.</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Pr>
          <w:rFonts w:ascii="Palatino Linotype" w:eastAsia="Palatino Linotype" w:hAnsi="Palatino Linotype" w:cs="Palatino Linotype"/>
          <w:i/>
          <w:sz w:val="22"/>
          <w:szCs w:val="22"/>
        </w:rPr>
        <w:t xml:space="preserve"> </w:t>
      </w:r>
    </w:p>
    <w:p w:rsidR="00470BB5" w:rsidRDefault="007649AE">
      <w:pPr>
        <w:spacing w:line="276" w:lineRule="auto"/>
        <w:ind w:left="851" w:right="-1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lastRenderedPageBreak/>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Pr>
          <w:rFonts w:ascii="Palatino Linotype" w:eastAsia="Palatino Linotype" w:hAnsi="Palatino Linotype" w:cs="Palatino Linotype"/>
          <w:i/>
          <w:sz w:val="22"/>
          <w:szCs w:val="22"/>
        </w:rPr>
        <w:t xml:space="preserve"> el sistema de compensación…” </w:t>
      </w:r>
      <w:r>
        <w:rPr>
          <w:rFonts w:ascii="Palatino Linotype" w:eastAsia="Palatino Linotype" w:hAnsi="Palatino Linotype" w:cs="Palatino Linotype"/>
          <w:b/>
          <w:i/>
          <w:sz w:val="22"/>
          <w:szCs w:val="22"/>
        </w:rPr>
        <w:t>[Sic]</w:t>
      </w:r>
    </w:p>
    <w:p w:rsidR="00470BB5" w:rsidRDefault="007649AE">
      <w:pPr>
        <w:numPr>
          <w:ilvl w:val="0"/>
          <w:numId w:val="10"/>
        </w:numPr>
        <w:pBdr>
          <w:top w:val="nil"/>
          <w:left w:val="nil"/>
          <w:bottom w:val="nil"/>
          <w:right w:val="nil"/>
          <w:between w:val="nil"/>
        </w:pBdr>
        <w:tabs>
          <w:tab w:val="left" w:pos="0"/>
        </w:tabs>
        <w:spacing w:line="360" w:lineRule="auto"/>
        <w:ind w:left="0" w:right="-876" w:firstLine="0"/>
        <w:jc w:val="both"/>
        <w:rPr>
          <w:color w:val="000000"/>
        </w:rPr>
      </w:pPr>
      <w:r>
        <w:rPr>
          <w:rFonts w:ascii="Palatino Linotype" w:eastAsia="Palatino Linotype" w:hAnsi="Palatino Linotype" w:cs="Palatino Linotype"/>
          <w:color w:val="000000"/>
        </w:rPr>
        <w:t>Máxime, que se trata de una obligación de transparencia en términos de lo señalado por el artículo 92 fracción  de la Ley de Transparencia y Acceso a la Información Pública del Estado de México y Municipios vigente, que señala:</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70BB5" w:rsidRDefault="007649AE">
      <w:pPr>
        <w:spacing w:line="276"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w:t>
      </w:r>
      <w:r>
        <w:rPr>
          <w:rFonts w:ascii="Palatino Linotype" w:eastAsia="Palatino Linotype" w:hAnsi="Palatino Linotype" w:cs="Palatino Linotype"/>
          <w:i/>
          <w:sz w:val="22"/>
          <w:szCs w:val="22"/>
          <w:u w:val="single"/>
        </w:rPr>
        <w:t>La remuneración bruta y neta de todos los servidores públicos de base o de confianza, de todas las percepciones, incluyendo sueldos, prestaciones, gratificaciones, primas, comisiones, dietas, bonos, estímulos, ingresos y sistemas de compensación</w:t>
      </w:r>
      <w:r>
        <w:rPr>
          <w:rFonts w:ascii="Palatino Linotype" w:eastAsia="Palatino Linotype" w:hAnsi="Palatino Linotype" w:cs="Palatino Linotype"/>
          <w:i/>
          <w:sz w:val="22"/>
          <w:szCs w:val="22"/>
        </w:rPr>
        <w:t>, señalando la periodicidad de dicha remuneración;</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70BB5" w:rsidRPr="00CE035C" w:rsidRDefault="007649AE">
      <w:pPr>
        <w:numPr>
          <w:ilvl w:val="0"/>
          <w:numId w:val="10"/>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Por lo anteriormente referido, se ORDENA al Sujeto Obligado entregar el soporte documental en donde se advierten las percepciones de los servidores públicos adscritos a la </w:t>
      </w:r>
      <w:r w:rsidRPr="00CE035C">
        <w:rPr>
          <w:rFonts w:ascii="Palatino Linotype" w:eastAsia="Palatino Linotype" w:hAnsi="Palatino Linotype" w:cs="Palatino Linotype"/>
          <w:color w:val="000000"/>
        </w:rPr>
        <w:t xml:space="preserve">Coordinación Jurídica. </w:t>
      </w:r>
    </w:p>
    <w:p w:rsidR="00470BB5" w:rsidRPr="00CE035C" w:rsidRDefault="003B18A4" w:rsidP="003B18A4">
      <w:pPr>
        <w:pStyle w:val="Prrafodelista"/>
        <w:numPr>
          <w:ilvl w:val="0"/>
          <w:numId w:val="10"/>
        </w:numPr>
        <w:tabs>
          <w:tab w:val="left" w:pos="851"/>
        </w:tabs>
        <w:spacing w:before="240" w:after="240" w:line="360" w:lineRule="auto"/>
        <w:ind w:left="0" w:right="49" w:firstLine="0"/>
        <w:jc w:val="both"/>
        <w:rPr>
          <w:rFonts w:ascii="Palatino Linotype" w:hAnsi="Palatino Linotype"/>
          <w:sz w:val="28"/>
          <w:lang w:val="es-ES"/>
        </w:rPr>
      </w:pPr>
      <w:r w:rsidRPr="00CE035C">
        <w:rPr>
          <w:rFonts w:ascii="Palatino Linotype" w:hAnsi="Palatino Linotype"/>
          <w:lang w:val="es-ES"/>
        </w:rPr>
        <w:t xml:space="preserve">Por último y no menos importantes, respecto de las manifestaciones realizadas por el Recurrente como razones o motivos de inconformidad, consistentes </w:t>
      </w:r>
      <w:r w:rsidRPr="00CE035C">
        <w:rPr>
          <w:rFonts w:ascii="Palatino Linotype" w:hAnsi="Palatino Linotype"/>
          <w:lang w:val="es-ES"/>
        </w:rPr>
        <w:lastRenderedPageBreak/>
        <w:t xml:space="preserve">en «… </w:t>
      </w:r>
      <w:r w:rsidRPr="00CE035C">
        <w:rPr>
          <w:rFonts w:ascii="Palatino Linotype" w:hAnsi="Palatino Linotype"/>
          <w:i/>
          <w:sz w:val="22"/>
        </w:rPr>
        <w:t>debe dársele vista a la Contraloría Interna Municipal para que investigue esta transgresión a la Constitución y a la Ley de Transparencia y Acceso a la información aplicable</w:t>
      </w:r>
      <w:r w:rsidRPr="00CE035C">
        <w:rPr>
          <w:rFonts w:ascii="Palatino Linotype" w:hAnsi="Palatino Linotype"/>
          <w:i/>
          <w:sz w:val="22"/>
          <w:lang w:val="es-ES"/>
        </w:rPr>
        <w:t xml:space="preserve"> </w:t>
      </w:r>
      <w:r w:rsidRPr="00CE035C">
        <w:rPr>
          <w:rFonts w:ascii="Palatino Linotype" w:hAnsi="Palatino Linotype"/>
          <w:lang w:val="es-ES"/>
        </w:rPr>
        <w:t>…»; y derivado que el Recurso de Revisión no es el medio para sancionar, este Órgano Garante sugiere al solicitante, interponer su queja o denuncia ante la autoridad competente.</w:t>
      </w:r>
    </w:p>
    <w:p w:rsidR="00470BB5" w:rsidRPr="00CE035C" w:rsidRDefault="007649AE">
      <w:p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CE035C">
        <w:rPr>
          <w:rFonts w:ascii="Palatino Linotype" w:eastAsia="Palatino Linotype" w:hAnsi="Palatino Linotype" w:cs="Palatino Linotype"/>
          <w:b/>
          <w:color w:val="000000"/>
        </w:rPr>
        <w:t>QUINTO. De la versión pública.</w:t>
      </w:r>
    </w:p>
    <w:p w:rsidR="00470BB5" w:rsidRPr="00CE035C" w:rsidRDefault="007649AE">
      <w:pPr>
        <w:numPr>
          <w:ilvl w:val="0"/>
          <w:numId w:val="10"/>
        </w:numPr>
        <w:pBdr>
          <w:top w:val="nil"/>
          <w:left w:val="nil"/>
          <w:bottom w:val="nil"/>
          <w:right w:val="nil"/>
          <w:between w:val="nil"/>
        </w:pBdr>
        <w:tabs>
          <w:tab w:val="left" w:pos="284"/>
        </w:tabs>
        <w:spacing w:line="360" w:lineRule="auto"/>
        <w:ind w:left="0" w:right="-876" w:firstLine="0"/>
        <w:jc w:val="both"/>
        <w:rPr>
          <w:color w:val="000000"/>
        </w:rPr>
      </w:pPr>
      <w:r w:rsidRPr="00CE035C">
        <w:rPr>
          <w:rFonts w:ascii="Palatino Linotype" w:eastAsia="Palatino Linotype" w:hAnsi="Palatino Linotype" w:cs="Palatino Linotype"/>
          <w:color w:val="000000"/>
        </w:rPr>
        <w:t>Debe destacarse que, debido a la naturaleza de la información solicitada</w:t>
      </w:r>
      <w:r w:rsidRPr="00CE035C">
        <w:rPr>
          <w:rFonts w:ascii="Palatino Linotype" w:eastAsia="Palatino Linotype" w:hAnsi="Palatino Linotype" w:cs="Palatino Linotype"/>
          <w:b/>
          <w:color w:val="000000"/>
        </w:rPr>
        <w:t xml:space="preserve"> </w:t>
      </w:r>
      <w:r w:rsidRPr="00CE035C">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470BB5" w:rsidRPr="00CE035C" w:rsidRDefault="00470BB5">
      <w:pPr>
        <w:pBdr>
          <w:top w:val="nil"/>
          <w:left w:val="nil"/>
          <w:bottom w:val="nil"/>
          <w:right w:val="nil"/>
          <w:between w:val="nil"/>
        </w:pBdr>
        <w:tabs>
          <w:tab w:val="left" w:pos="426"/>
        </w:tabs>
        <w:spacing w:after="240" w:line="360" w:lineRule="auto"/>
        <w:ind w:right="-876"/>
        <w:jc w:val="both"/>
        <w:rPr>
          <w:rFonts w:ascii="Palatino Linotype" w:eastAsia="Palatino Linotype" w:hAnsi="Palatino Linotype" w:cs="Palatino Linotype"/>
          <w:color w:val="000000"/>
        </w:rPr>
      </w:pPr>
    </w:p>
    <w:tbl>
      <w:tblPr>
        <w:tblStyle w:val="a0"/>
        <w:tblW w:w="9795"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040"/>
        <w:gridCol w:w="7755"/>
      </w:tblGrid>
      <w:tr w:rsidR="00470BB5">
        <w:tc>
          <w:tcPr>
            <w:tcW w:w="2040" w:type="dxa"/>
          </w:tcPr>
          <w:p w:rsidR="00470BB5" w:rsidRPr="00CE035C" w:rsidRDefault="007649AE">
            <w:pPr>
              <w:spacing w:before="240" w:after="240" w:line="360" w:lineRule="auto"/>
              <w:ind w:right="-184"/>
              <w:rPr>
                <w:rFonts w:ascii="Palatino Linotype" w:eastAsia="Palatino Linotype" w:hAnsi="Palatino Linotype" w:cs="Palatino Linotype"/>
                <w:sz w:val="20"/>
                <w:szCs w:val="20"/>
              </w:rPr>
            </w:pPr>
            <w:r w:rsidRPr="00CE035C">
              <w:rPr>
                <w:rFonts w:ascii="Palatino Linotype" w:eastAsia="Palatino Linotype" w:hAnsi="Palatino Linotype" w:cs="Palatino Linotype"/>
                <w:sz w:val="20"/>
                <w:szCs w:val="20"/>
              </w:rPr>
              <w:t>a) Requisitos previos.</w:t>
            </w:r>
          </w:p>
        </w:tc>
        <w:tc>
          <w:tcPr>
            <w:tcW w:w="7755" w:type="dxa"/>
          </w:tcPr>
          <w:p w:rsidR="00470BB5" w:rsidRPr="00CE035C" w:rsidRDefault="007649AE">
            <w:pPr>
              <w:spacing w:before="240" w:line="360" w:lineRule="auto"/>
              <w:ind w:right="58"/>
              <w:jc w:val="both"/>
              <w:rPr>
                <w:rFonts w:ascii="Palatino Linotype" w:eastAsia="Palatino Linotype" w:hAnsi="Palatino Linotype" w:cs="Palatino Linotype"/>
                <w:sz w:val="20"/>
                <w:szCs w:val="20"/>
              </w:rPr>
            </w:pPr>
            <w:r w:rsidRPr="00CE035C">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70BB5" w:rsidRPr="00CE035C" w:rsidRDefault="007649AE">
            <w:pPr>
              <w:spacing w:line="360" w:lineRule="auto"/>
              <w:ind w:right="58"/>
              <w:jc w:val="both"/>
              <w:rPr>
                <w:rFonts w:ascii="Palatino Linotype" w:eastAsia="Palatino Linotype" w:hAnsi="Palatino Linotype" w:cs="Palatino Linotype"/>
                <w:sz w:val="20"/>
                <w:szCs w:val="20"/>
              </w:rPr>
            </w:pPr>
            <w:r w:rsidRPr="00CE035C">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rsidR="00470BB5" w:rsidRPr="00CE035C" w:rsidRDefault="007649AE">
            <w:pPr>
              <w:spacing w:line="360" w:lineRule="auto"/>
              <w:ind w:right="58"/>
              <w:jc w:val="both"/>
              <w:rPr>
                <w:rFonts w:ascii="Palatino Linotype" w:eastAsia="Palatino Linotype" w:hAnsi="Palatino Linotype" w:cs="Palatino Linotype"/>
                <w:sz w:val="20"/>
                <w:szCs w:val="20"/>
              </w:rPr>
            </w:pPr>
            <w:r w:rsidRPr="00CE035C">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rsidR="00470BB5" w:rsidRDefault="007649AE">
            <w:pPr>
              <w:spacing w:after="240" w:line="360" w:lineRule="auto"/>
              <w:ind w:right="58"/>
              <w:jc w:val="both"/>
              <w:rPr>
                <w:rFonts w:ascii="Palatino Linotype" w:eastAsia="Palatino Linotype" w:hAnsi="Palatino Linotype" w:cs="Palatino Linotype"/>
                <w:sz w:val="20"/>
                <w:szCs w:val="20"/>
              </w:rPr>
            </w:pPr>
            <w:r w:rsidRPr="00CE035C">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CE035C">
              <w:rPr>
                <w:rFonts w:ascii="Palatino Linotype" w:eastAsia="Palatino Linotype" w:hAnsi="Palatino Linotype" w:cs="Palatino Linotype"/>
                <w:sz w:val="20"/>
                <w:szCs w:val="20"/>
                <w:u w:val="single"/>
              </w:rPr>
              <w:t xml:space="preserve">no se puede hacer un acuerdo para clasificar de manera general todos los documentos de un expediente o área,  </w:t>
            </w:r>
            <w:r w:rsidRPr="00CE035C">
              <w:rPr>
                <w:rFonts w:ascii="Palatino Linotype" w:eastAsia="Palatino Linotype" w:hAnsi="Palatino Linotype" w:cs="Palatino Linotype"/>
                <w:sz w:val="20"/>
                <w:szCs w:val="20"/>
              </w:rPr>
              <w:t xml:space="preserve">sin individualizar su </w:t>
            </w:r>
            <w:r w:rsidRPr="00CE035C">
              <w:rPr>
                <w:rFonts w:ascii="Palatino Linotype" w:eastAsia="Palatino Linotype" w:hAnsi="Palatino Linotype" w:cs="Palatino Linotype"/>
                <w:sz w:val="20"/>
                <w:szCs w:val="20"/>
              </w:rPr>
              <w:lastRenderedPageBreak/>
              <w:t>análisis y tampoco se puede hacer un acuerdo por cada dato que se vaya a clasificar dentro de un documento con diez datos, por ejemplo, susceptibles de ser clasificados.</w:t>
            </w:r>
          </w:p>
        </w:tc>
      </w:tr>
      <w:tr w:rsidR="00470BB5">
        <w:tc>
          <w:tcPr>
            <w:tcW w:w="2040" w:type="dxa"/>
          </w:tcPr>
          <w:p w:rsidR="00470BB5" w:rsidRDefault="007649AE">
            <w:pPr>
              <w:spacing w:before="240" w:after="240" w:line="360" w:lineRule="auto"/>
              <w:ind w:right="-184"/>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7755" w:type="dxa"/>
          </w:tcPr>
          <w:p w:rsidR="00470BB5" w:rsidRDefault="007649AE">
            <w:pPr>
              <w:spacing w:before="240"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470BB5" w:rsidRDefault="007649AE">
            <w:pPr>
              <w:spacing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70BB5" w:rsidRDefault="007649AE">
            <w:pPr>
              <w:spacing w:after="240"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70BB5">
        <w:tc>
          <w:tcPr>
            <w:tcW w:w="2040" w:type="dxa"/>
          </w:tcPr>
          <w:p w:rsidR="00470BB5" w:rsidRDefault="007649AE">
            <w:pPr>
              <w:spacing w:before="240" w:after="240" w:line="360" w:lineRule="auto"/>
              <w:ind w:right="-184"/>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7755" w:type="dxa"/>
          </w:tcPr>
          <w:p w:rsidR="00470BB5" w:rsidRDefault="007649AE">
            <w:pPr>
              <w:spacing w:before="240"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rsidR="00470BB5" w:rsidRDefault="007649AE">
            <w:pPr>
              <w:spacing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rsidR="00470BB5" w:rsidRDefault="007649AE">
            <w:pPr>
              <w:spacing w:after="240"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w:t>
            </w:r>
            <w:r>
              <w:rPr>
                <w:rFonts w:ascii="Palatino Linotype" w:eastAsia="Palatino Linotype" w:hAnsi="Palatino Linotype" w:cs="Palatino Linotype"/>
                <w:sz w:val="20"/>
                <w:szCs w:val="20"/>
              </w:rPr>
              <w:lastRenderedPageBreak/>
              <w:t>de áreas y que son sujetas a control, en primera instancia, por el Comité de Transparencia.</w:t>
            </w:r>
          </w:p>
        </w:tc>
      </w:tr>
      <w:tr w:rsidR="00470BB5">
        <w:tc>
          <w:tcPr>
            <w:tcW w:w="2040" w:type="dxa"/>
          </w:tcPr>
          <w:p w:rsidR="00470BB5" w:rsidRDefault="00470BB5">
            <w:pPr>
              <w:spacing w:before="240" w:after="240" w:line="360" w:lineRule="auto"/>
              <w:ind w:right="-184"/>
              <w:rPr>
                <w:rFonts w:ascii="Palatino Linotype" w:eastAsia="Palatino Linotype" w:hAnsi="Palatino Linotype" w:cs="Palatino Linotype"/>
                <w:sz w:val="20"/>
                <w:szCs w:val="20"/>
              </w:rPr>
            </w:pPr>
          </w:p>
          <w:p w:rsidR="00470BB5" w:rsidRDefault="007649AE">
            <w:pPr>
              <w:spacing w:before="240" w:after="240" w:line="360" w:lineRule="auto"/>
              <w:ind w:right="-18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7755" w:type="dxa"/>
          </w:tcPr>
          <w:p w:rsidR="00470BB5" w:rsidRDefault="007649AE">
            <w:pPr>
              <w:spacing w:before="240"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rsidR="00470BB5" w:rsidRDefault="007649AE">
            <w:pPr>
              <w:spacing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70BB5" w:rsidRDefault="007649AE">
            <w:pPr>
              <w:spacing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70BB5" w:rsidRDefault="007649AE">
            <w:pPr>
              <w:spacing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rsidR="00470BB5" w:rsidRDefault="007649AE">
            <w:pPr>
              <w:spacing w:after="240"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Población (CURP), Registro Federal de Contribuyentes (R.F.C.), claves de seguros, préstamos o descuentos </w:t>
            </w:r>
            <w:r>
              <w:rPr>
                <w:rFonts w:ascii="Palatino Linotype" w:eastAsia="Palatino Linotype" w:hAnsi="Palatino Linotype" w:cs="Palatino Linotype"/>
                <w:sz w:val="20"/>
                <w:szCs w:val="20"/>
              </w:rPr>
              <w:lastRenderedPageBreak/>
              <w:t>personales, secretos bancario, fiduciario, industrial, comercial, fiscal, bursátil y postal, cuya titularidad corresponda a particulares, entre otros.</w:t>
            </w:r>
          </w:p>
        </w:tc>
      </w:tr>
      <w:tr w:rsidR="00470BB5">
        <w:tc>
          <w:tcPr>
            <w:tcW w:w="2040" w:type="dxa"/>
          </w:tcPr>
          <w:p w:rsidR="00470BB5" w:rsidRDefault="007649AE">
            <w:pPr>
              <w:spacing w:before="240" w:after="240" w:line="360" w:lineRule="auto"/>
              <w:ind w:right="-18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p w:rsidR="00470BB5" w:rsidRDefault="00470BB5">
            <w:pPr>
              <w:spacing w:before="240" w:after="240" w:line="360" w:lineRule="auto"/>
              <w:ind w:right="-184"/>
              <w:rPr>
                <w:rFonts w:ascii="Palatino Linotype" w:eastAsia="Palatino Linotype" w:hAnsi="Palatino Linotype" w:cs="Palatino Linotype"/>
                <w:sz w:val="20"/>
                <w:szCs w:val="20"/>
              </w:rPr>
            </w:pPr>
          </w:p>
        </w:tc>
        <w:tc>
          <w:tcPr>
            <w:tcW w:w="7755" w:type="dxa"/>
          </w:tcPr>
          <w:p w:rsidR="00470BB5" w:rsidRDefault="007649AE">
            <w:pPr>
              <w:spacing w:before="240"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rsidR="00470BB5" w:rsidRDefault="007649AE">
            <w:pPr>
              <w:spacing w:line="360" w:lineRule="auto"/>
              <w:ind w:right="5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70BB5" w:rsidRDefault="007649AE">
            <w:pPr>
              <w:spacing w:after="240" w:line="360" w:lineRule="auto"/>
              <w:ind w:right="58"/>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70BB5" w:rsidRDefault="00470BB5">
      <w:pPr>
        <w:spacing w:line="360" w:lineRule="auto"/>
        <w:ind w:right="-876"/>
        <w:jc w:val="both"/>
        <w:rPr>
          <w:rFonts w:ascii="Palatino Linotype" w:eastAsia="Palatino Linotype" w:hAnsi="Palatino Linotype" w:cs="Palatino Linotype"/>
        </w:rPr>
      </w:pPr>
    </w:p>
    <w:p w:rsidR="00470BB5" w:rsidRDefault="007649AE">
      <w:pPr>
        <w:numPr>
          <w:ilvl w:val="0"/>
          <w:numId w:val="10"/>
        </w:numPr>
        <w:pBdr>
          <w:top w:val="nil"/>
          <w:left w:val="nil"/>
          <w:bottom w:val="nil"/>
          <w:right w:val="nil"/>
          <w:between w:val="nil"/>
        </w:pBdr>
        <w:shd w:val="clear" w:color="auto" w:fill="FFFFFF"/>
        <w:spacing w:before="240" w:line="360" w:lineRule="auto"/>
        <w:ind w:left="0" w:right="-876" w:firstLine="0"/>
        <w:jc w:val="both"/>
        <w:rPr>
          <w:color w:val="222222"/>
        </w:rPr>
      </w:pPr>
      <w:r>
        <w:rPr>
          <w:rFonts w:ascii="Palatino Linotype" w:eastAsia="Palatino Linotype" w:hAnsi="Palatino Linotype" w:cs="Palatino Linotype"/>
          <w:color w:val="222222"/>
        </w:rPr>
        <w:t>Por otro lado, de manera enunciativa más no limitativas, dentro de los elementos que integran los recibos de nómina se pueden encontrar los siguientes:</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Clave Única de Registro de Población (CURP);</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ISSEMyM;</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empleado;</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Registro Federal de Contribuyentes (RFC);</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Serie del CSD del SAT;</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Serie del CDS del emisor;</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Serie y folio;</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Firma;</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Código QR;</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Sello Digital del Contribuyente; y</w:t>
      </w:r>
    </w:p>
    <w:p w:rsidR="00470BB5" w:rsidRDefault="007649AE">
      <w:pPr>
        <w:numPr>
          <w:ilvl w:val="0"/>
          <w:numId w:val="7"/>
        </w:num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Sello Digital del SAT.</w:t>
      </w:r>
    </w:p>
    <w:p w:rsidR="00470BB5" w:rsidRDefault="00470BB5">
      <w:pPr>
        <w:pBdr>
          <w:top w:val="nil"/>
          <w:left w:val="nil"/>
          <w:bottom w:val="nil"/>
          <w:right w:val="nil"/>
          <w:between w:val="nil"/>
        </w:pBdr>
        <w:tabs>
          <w:tab w:val="left" w:pos="567"/>
        </w:tabs>
        <w:spacing w:line="360" w:lineRule="auto"/>
        <w:ind w:left="720" w:right="-876"/>
        <w:jc w:val="both"/>
        <w:rPr>
          <w:rFonts w:ascii="Palatino Linotype" w:eastAsia="Palatino Linotype" w:hAnsi="Palatino Linotype" w:cs="Palatino Linotype"/>
          <w:color w:val="000000"/>
          <w:sz w:val="22"/>
          <w:szCs w:val="22"/>
        </w:rPr>
      </w:pPr>
    </w:p>
    <w:p w:rsidR="00470BB5" w:rsidRDefault="00470BB5">
      <w:pPr>
        <w:pBdr>
          <w:top w:val="nil"/>
          <w:left w:val="nil"/>
          <w:bottom w:val="nil"/>
          <w:right w:val="nil"/>
          <w:between w:val="nil"/>
        </w:pBdr>
        <w:tabs>
          <w:tab w:val="left" w:pos="567"/>
        </w:tabs>
        <w:spacing w:line="360" w:lineRule="auto"/>
        <w:ind w:left="720" w:right="-876"/>
        <w:jc w:val="both"/>
        <w:rPr>
          <w:rFonts w:ascii="Palatino Linotype" w:eastAsia="Palatino Linotype" w:hAnsi="Palatino Linotype" w:cs="Palatino Linotype"/>
          <w:color w:val="000000"/>
        </w:rPr>
      </w:pPr>
    </w:p>
    <w:p w:rsidR="00470BB5" w:rsidRDefault="007649AE">
      <w:pPr>
        <w:pStyle w:val="Ttulo3"/>
        <w:numPr>
          <w:ilvl w:val="0"/>
          <w:numId w:val="7"/>
        </w:numPr>
        <w:ind w:right="-8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Clave Única de Registro de Población (CURP).</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Entre las características de la CURP, se encuentra: </w:t>
      </w:r>
    </w:p>
    <w:p w:rsidR="00470BB5" w:rsidRDefault="007649AE">
      <w:pPr>
        <w:pBdr>
          <w:top w:val="nil"/>
          <w:left w:val="nil"/>
          <w:bottom w:val="nil"/>
          <w:right w:val="nil"/>
          <w:between w:val="nil"/>
        </w:pBdr>
        <w:tabs>
          <w:tab w:val="left" w:pos="426"/>
          <w:tab w:val="left" w:pos="567"/>
        </w:tabs>
        <w:spacing w:line="360" w:lineRule="auto"/>
        <w:ind w:left="851"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Composición. </w:t>
      </w:r>
      <w:r>
        <w:rPr>
          <w:rFonts w:ascii="Palatino Linotype" w:eastAsia="Palatino Linotype" w:hAnsi="Palatino Linotype" w:cs="Palatino Linotype"/>
          <w:color w:val="000000"/>
          <w:sz w:val="22"/>
          <w:szCs w:val="22"/>
        </w:rPr>
        <w:t>Alfanumérica.</w:t>
      </w:r>
    </w:p>
    <w:p w:rsidR="00470BB5" w:rsidRDefault="007649AE">
      <w:pPr>
        <w:pBdr>
          <w:top w:val="nil"/>
          <w:left w:val="nil"/>
          <w:bottom w:val="nil"/>
          <w:right w:val="nil"/>
          <w:between w:val="nil"/>
        </w:pBdr>
        <w:tabs>
          <w:tab w:val="left" w:pos="426"/>
          <w:tab w:val="left" w:pos="567"/>
        </w:tabs>
        <w:spacing w:line="360" w:lineRule="auto"/>
        <w:ind w:left="851"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Longitud. </w:t>
      </w:r>
      <w:r>
        <w:rPr>
          <w:rFonts w:ascii="Palatino Linotype" w:eastAsia="Palatino Linotype" w:hAnsi="Palatino Linotype" w:cs="Palatino Linotype"/>
          <w:color w:val="000000"/>
          <w:sz w:val="22"/>
          <w:szCs w:val="22"/>
        </w:rPr>
        <w:t xml:space="preserve"> 18 caracteres.</w:t>
      </w:r>
    </w:p>
    <w:p w:rsidR="00470BB5" w:rsidRDefault="007649AE">
      <w:pPr>
        <w:pBdr>
          <w:top w:val="nil"/>
          <w:left w:val="nil"/>
          <w:bottom w:val="nil"/>
          <w:right w:val="nil"/>
          <w:between w:val="nil"/>
        </w:pBdr>
        <w:tabs>
          <w:tab w:val="left" w:pos="426"/>
          <w:tab w:val="left" w:pos="567"/>
        </w:tabs>
        <w:spacing w:line="360" w:lineRule="auto"/>
        <w:ind w:left="851"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Naturaleza. </w:t>
      </w:r>
      <w:r>
        <w:rPr>
          <w:rFonts w:ascii="Palatino Linotype" w:eastAsia="Palatino Linotype" w:hAnsi="Palatino Linotype" w:cs="Palatino Linotype"/>
          <w:color w:val="000000"/>
          <w:sz w:val="22"/>
          <w:szCs w:val="22"/>
        </w:rPr>
        <w:t>Biunívoca.</w:t>
      </w:r>
    </w:p>
    <w:p w:rsidR="00470BB5" w:rsidRDefault="007649AE">
      <w:pPr>
        <w:pBdr>
          <w:top w:val="nil"/>
          <w:left w:val="nil"/>
          <w:bottom w:val="nil"/>
          <w:right w:val="nil"/>
          <w:between w:val="nil"/>
        </w:pBdr>
        <w:tabs>
          <w:tab w:val="left" w:pos="426"/>
          <w:tab w:val="left" w:pos="567"/>
        </w:tabs>
        <w:spacing w:line="360" w:lineRule="auto"/>
        <w:ind w:left="851"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Universalidad. </w:t>
      </w:r>
      <w:r>
        <w:rPr>
          <w:rFonts w:ascii="Palatino Linotype" w:eastAsia="Palatino Linotype" w:hAnsi="Palatino Linotype" w:cs="Palatino Linotype"/>
          <w:color w:val="000000"/>
          <w:sz w:val="22"/>
          <w:szCs w:val="22"/>
        </w:rPr>
        <w:t>Se asigna a todas las personas que conforman la población.</w:t>
      </w:r>
    </w:p>
    <w:p w:rsidR="00470BB5" w:rsidRDefault="007649AE">
      <w:pPr>
        <w:pBdr>
          <w:top w:val="nil"/>
          <w:left w:val="nil"/>
          <w:bottom w:val="nil"/>
          <w:right w:val="nil"/>
          <w:between w:val="nil"/>
        </w:pBdr>
        <w:tabs>
          <w:tab w:val="left" w:pos="426"/>
          <w:tab w:val="left" w:pos="567"/>
        </w:tabs>
        <w:spacing w:line="360" w:lineRule="auto"/>
        <w:ind w:left="851" w:right="-87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Verificabilidad. En su estructura existen elementos que permiten comprobar si fue conformada correctamente o no, así como fecha de nacimiento, sexo, identificad federativa </w:t>
      </w:r>
      <w:r>
        <w:rPr>
          <w:rFonts w:ascii="Palatino Linotype" w:eastAsia="Palatino Linotype" w:hAnsi="Palatino Linotype" w:cs="Palatino Linotype"/>
          <w:b/>
          <w:color w:val="000000"/>
          <w:sz w:val="22"/>
          <w:szCs w:val="22"/>
        </w:rPr>
        <w:lastRenderedPageBreak/>
        <w:t xml:space="preserve">de nacimiento y las primeras composiciones de la clave, conformadas por la letra inicial y primera vocal interna del primer apellido, la letra inicial del segundo apellido y la primera letra del nombre.  </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Es entonces que, de lo anterior, se desprende que la Clave Única de Registro de Población es un dato personal confidencial, ya que por sí </w:t>
      </w:r>
      <w:r>
        <w:rPr>
          <w:rFonts w:ascii="Palatino Linotype" w:eastAsia="Palatino Linotype" w:hAnsi="Palatino Linotype" w:cs="Palatino Linotype"/>
        </w:rPr>
        <w:t>revela</w:t>
      </w:r>
      <w:r>
        <w:rPr>
          <w:rFonts w:ascii="Palatino Linotype" w:eastAsia="Palatino Linotype" w:hAnsi="Palatino Linotype" w:cs="Palatino Linotype"/>
          <w:color w:val="000000"/>
        </w:rPr>
        <w:t xml:space="preserve"> información personal de su titular, y su exposición únicamente vulneraría la esfera privada del mismo, aunado a que no guarda relación con el desempeño profesional o laboral de un individuo ni con el ejercicio de recursos públicos.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Ante ello, resulta aplicable el Criterio 18/17 emitido por el Instituto Nacional de Transparencia, Acceso a la Información y Protección de Datos Personales, que a la literalidad señala: </w:t>
      </w:r>
    </w:p>
    <w:p w:rsidR="00470BB5" w:rsidRDefault="007649AE">
      <w:pPr>
        <w:numPr>
          <w:ilvl w:val="0"/>
          <w:numId w:val="10"/>
        </w:numPr>
        <w:pBdr>
          <w:top w:val="nil"/>
          <w:left w:val="nil"/>
          <w:bottom w:val="nil"/>
          <w:right w:val="nil"/>
          <w:between w:val="nil"/>
        </w:pBdr>
        <w:tabs>
          <w:tab w:val="left" w:pos="567"/>
        </w:tabs>
        <w:spacing w:line="360" w:lineRule="auto"/>
        <w:ind w:left="0" w:right="-876" w:firstLine="0"/>
        <w:jc w:val="both"/>
        <w:rPr>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 xml:space="preserve">Clave Única de Registro de Población (CURP). </w:t>
      </w:r>
      <w:r>
        <w:rPr>
          <w:rFonts w:ascii="Palatino Linotype" w:eastAsia="Palatino Linotype" w:hAnsi="Palatino Linotype" w:cs="Palatino Linotype"/>
          <w:i/>
          <w:color w:val="000000"/>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rsidR="00470BB5" w:rsidRDefault="00470BB5">
      <w:p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rPr>
      </w:pPr>
    </w:p>
    <w:p w:rsidR="00470BB5" w:rsidRDefault="007649AE">
      <w:pPr>
        <w:pStyle w:val="Ttulo3"/>
        <w:ind w:right="-8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II. Clave ISSEMyM</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470BB5" w:rsidRDefault="007649AE">
      <w:pPr>
        <w:numPr>
          <w:ilvl w:val="0"/>
          <w:numId w:val="10"/>
        </w:numPr>
        <w:shd w:val="clear" w:color="auto" w:fill="FFFFFF"/>
        <w:spacing w:before="240" w:after="240" w:line="360" w:lineRule="auto"/>
        <w:ind w:left="0" w:right="-876" w:firstLine="0"/>
        <w:jc w:val="both"/>
        <w:rPr>
          <w:color w:val="222222"/>
        </w:rPr>
      </w:pPr>
      <w:bookmarkStart w:id="8" w:name="_heading=h.26in1rg" w:colFirst="0" w:colLast="0"/>
      <w:bookmarkEnd w:id="8"/>
      <w:r>
        <w:rPr>
          <w:rFonts w:ascii="Palatino Linotype" w:eastAsia="Palatino Linotype" w:hAnsi="Palatino Linotype" w:cs="Palatino Linotype"/>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470BB5" w:rsidRDefault="007649AE">
      <w:pPr>
        <w:pStyle w:val="Ttulo3"/>
        <w:ind w:right="-8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III. Número de empleados.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rsidR="00470BB5" w:rsidRDefault="007649AE">
      <w:p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Número de empleado.</w:t>
      </w:r>
      <w:r>
        <w:rPr>
          <w:rFonts w:ascii="Palatino Linotype" w:eastAsia="Palatino Linotype" w:hAnsi="Palatino Linotype" w:cs="Palatino Linotype"/>
          <w:i/>
          <w:color w:val="000000"/>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rsidR="00470BB5" w:rsidRDefault="007649AE">
      <w:pPr>
        <w:pStyle w:val="Ttulo3"/>
        <w:ind w:right="-8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IV. Registro Federal de Contribuyentes (RFC)</w:t>
      </w:r>
    </w:p>
    <w:p w:rsidR="00470BB5" w:rsidRDefault="00470BB5">
      <w:pPr>
        <w:ind w:right="-876"/>
      </w:pP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lastRenderedPageBreak/>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Conforme a lo expuesto, el Registro Federal de Contribuyentes, es un dato personal, ya que hace a las personas físicas </w:t>
      </w:r>
      <w:r>
        <w:rPr>
          <w:rFonts w:ascii="Palatino Linotype" w:eastAsia="Palatino Linotype" w:hAnsi="Palatino Linotype" w:cs="Palatino Linotype"/>
        </w:rPr>
        <w:t>identificadas</w:t>
      </w:r>
      <w:r>
        <w:rPr>
          <w:rFonts w:ascii="Palatino Linotype" w:eastAsia="Palatino Linotype" w:hAnsi="Palatino Linotype" w:cs="Palatino Linotype"/>
          <w:color w:val="000000"/>
        </w:rPr>
        <w:t xml:space="preserve">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lastRenderedPageBreak/>
        <w:t>Lo anterior, resulta congruente con el Criterio 19/17 emitido por el Instituto Nacional de Transparencia, Acceso a la Información y Protección de Datos Personales, en el cual se señala lo siguiente:</w:t>
      </w:r>
    </w:p>
    <w:p w:rsidR="00470BB5" w:rsidRDefault="007649AE">
      <w:pPr>
        <w:pBdr>
          <w:top w:val="nil"/>
          <w:left w:val="nil"/>
          <w:bottom w:val="nil"/>
          <w:right w:val="nil"/>
          <w:between w:val="nil"/>
        </w:pBdr>
        <w:spacing w:line="360" w:lineRule="auto"/>
        <w:ind w:left="851"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Registro Federal de Contribuyentes (RFC) de personas físicas. </w:t>
      </w:r>
    </w:p>
    <w:p w:rsidR="00470BB5" w:rsidRDefault="007649A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RFC es una clave de carácter fiscal, </w:t>
      </w:r>
      <w:proofErr w:type="gramStart"/>
      <w:r>
        <w:rPr>
          <w:rFonts w:ascii="Palatino Linotype" w:eastAsia="Palatino Linotype" w:hAnsi="Palatino Linotype" w:cs="Palatino Linotype"/>
          <w:i/>
          <w:color w:val="000000"/>
          <w:sz w:val="22"/>
          <w:szCs w:val="22"/>
        </w:rPr>
        <w:t>única</w:t>
      </w:r>
      <w:proofErr w:type="gramEnd"/>
      <w:r>
        <w:rPr>
          <w:rFonts w:ascii="Palatino Linotype" w:eastAsia="Palatino Linotype" w:hAnsi="Palatino Linotype" w:cs="Palatino Linotype"/>
          <w:i/>
          <w:color w:val="000000"/>
          <w:sz w:val="22"/>
          <w:szCs w:val="22"/>
        </w:rPr>
        <w:t xml:space="preserve"> e irrepetible, que permite identificar al titular, su edad y fecha de nacimiento, por lo que es un dato personal de carácter confidencial.</w:t>
      </w:r>
    </w:p>
    <w:p w:rsidR="00470BB5" w:rsidRDefault="007649AE">
      <w:pPr>
        <w:numPr>
          <w:ilvl w:val="0"/>
          <w:numId w:val="10"/>
        </w:numPr>
        <w:shd w:val="clear" w:color="auto" w:fill="FFFFFF"/>
        <w:spacing w:before="240" w:after="240" w:line="360" w:lineRule="auto"/>
        <w:ind w:left="0" w:right="-876" w:firstLine="0"/>
        <w:jc w:val="both"/>
        <w:rPr>
          <w:color w:val="222222"/>
        </w:rPr>
      </w:pPr>
      <w:bookmarkStart w:id="9" w:name="_heading=h.35nkun2" w:colFirst="0" w:colLast="0"/>
      <w:bookmarkEnd w:id="9"/>
      <w:r>
        <w:rPr>
          <w:rFonts w:ascii="Palatino Linotype" w:eastAsia="Palatino Linotype" w:hAnsi="Palatino Linotype" w:cs="Palatino Linotype"/>
          <w:b/>
          <w:color w:val="000000"/>
        </w:rPr>
        <w:t>De tal suerte, el Registro Federal de Contribuyentes de las personas físicas no guarda relación con la transparencia de los recursos públicos</w:t>
      </w:r>
      <w:r>
        <w:rPr>
          <w:rFonts w:ascii="Palatino Linotype" w:eastAsia="Palatino Linotype" w:hAnsi="Palatino Linotype" w:cs="Palatino Linotype"/>
          <w:color w:val="000000"/>
        </w:rPr>
        <w:t>, así como tampoco con el desempeño laboral que pueda tener una persona.</w:t>
      </w:r>
    </w:p>
    <w:p w:rsidR="00470BB5" w:rsidRDefault="007649AE">
      <w:pPr>
        <w:pStyle w:val="Ttulo3"/>
        <w:ind w:right="-8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 Deducciones personales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Es necesario precisar que existen deducciones que se generan con motivo de una decisión libre y voluntaria de los servidores públicos, como son: créditos personales, </w:t>
      </w:r>
      <w:r>
        <w:rPr>
          <w:rFonts w:ascii="Palatino Linotype" w:eastAsia="Palatino Linotype" w:hAnsi="Palatino Linotype" w:cs="Palatino Linotype"/>
          <w:b/>
          <w:color w:val="000000"/>
          <w:u w:val="single"/>
        </w:rPr>
        <w:t>cuotas sindicales y fondo de resistencia del Sindicato Único de Trabajadores de los Poderes, Municipios e Institución Descentralizadas del Estado de México</w:t>
      </w:r>
      <w:r>
        <w:rPr>
          <w:rFonts w:ascii="Palatino Linotype" w:eastAsia="Palatino Linotype" w:hAnsi="Palatino Linotype" w:cs="Palatino Linotype"/>
          <w:color w:val="000000"/>
        </w:rPr>
        <w:t>, seguro de vida, accidentes y enfermedades.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Asimismo, hay otras que se generan con motivo de una sentencia judicial, como es la pensión alimenticia que periódicamente se retira de la cuenta de un empleado, a efecto de que sea entregado a un tercero.  </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En consecuencia, este tipo de deducciones son fruto de decisiones que impactan en el patrimonio de un servidor público con la finalidad de obtener un beneficio conforme a la </w:t>
      </w:r>
      <w:r>
        <w:rPr>
          <w:rFonts w:ascii="Palatino Linotype" w:eastAsia="Palatino Linotype" w:hAnsi="Palatino Linotype" w:cs="Palatino Linotype"/>
          <w:color w:val="000000"/>
        </w:rPr>
        <w:lastRenderedPageBreak/>
        <w:t xml:space="preserve">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470BB5" w:rsidRDefault="007649AE">
      <w:pPr>
        <w:numPr>
          <w:ilvl w:val="0"/>
          <w:numId w:val="10"/>
        </w:numPr>
        <w:shd w:val="clear" w:color="auto" w:fill="FFFFFF"/>
        <w:spacing w:before="240" w:after="240" w:line="360" w:lineRule="auto"/>
        <w:ind w:left="0" w:right="-876" w:firstLine="0"/>
        <w:jc w:val="both"/>
        <w:rPr>
          <w:color w:val="222222"/>
        </w:rPr>
      </w:pPr>
      <w:bookmarkStart w:id="10" w:name="_heading=h.1ksv4uv" w:colFirst="0" w:colLast="0"/>
      <w:bookmarkEnd w:id="10"/>
      <w:r>
        <w:rPr>
          <w:rFonts w:ascii="Palatino Linotype" w:eastAsia="Palatino Linotype" w:hAnsi="Palatino Linotype" w:cs="Palatino Linotype"/>
          <w:color w:val="000000"/>
        </w:rPr>
        <w:t>Así, dichas deducciones reflejan el destino que un servidor público da a su patrimonio, lo que se aleja de la transparencia y rendición de cuentas.</w:t>
      </w:r>
    </w:p>
    <w:p w:rsidR="00470BB5" w:rsidRDefault="007649AE">
      <w:pPr>
        <w:pStyle w:val="Ttulo3"/>
        <w:ind w:right="-8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VI. CÓDIGO QR</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En principio, resulta necesario señalar que los comprobantes fiscales digitales por Internet, deben de incluir un código bidimensional conforme al formato </w:t>
      </w:r>
      <w:r>
        <w:rPr>
          <w:rFonts w:ascii="Palatino Linotype" w:eastAsia="Palatino Linotype" w:hAnsi="Palatino Linotype" w:cs="Palatino Linotype"/>
          <w:i/>
          <w:color w:val="000000"/>
        </w:rPr>
        <w:t xml:space="preserve">QR </w:t>
      </w:r>
      <w:proofErr w:type="spellStart"/>
      <w:r>
        <w:rPr>
          <w:rFonts w:ascii="Palatino Linotype" w:eastAsia="Palatino Linotype" w:hAnsi="Palatino Linotype" w:cs="Palatino Linotype"/>
          <w:i/>
          <w:color w:val="000000"/>
        </w:rPr>
        <w:t>Code</w:t>
      </w:r>
      <w:proofErr w:type="spellEnd"/>
      <w:r>
        <w:rPr>
          <w:rFonts w:ascii="Palatino Linotype" w:eastAsia="Palatino Linotype" w:hAnsi="Palatino Linotype" w:cs="Palatino Linotype"/>
          <w:i/>
          <w:color w:val="000000"/>
        </w:rPr>
        <w:t xml:space="preserve"> (Quick Response </w:t>
      </w:r>
      <w:proofErr w:type="spellStart"/>
      <w:r>
        <w:rPr>
          <w:rFonts w:ascii="Palatino Linotype" w:eastAsia="Palatino Linotype" w:hAnsi="Palatino Linotype" w:cs="Palatino Linotype"/>
          <w:i/>
          <w:color w:val="000000"/>
        </w:rPr>
        <w:t>Code</w:t>
      </w:r>
      <w:proofErr w:type="spellEnd"/>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r>
          <w:rPr>
            <w:rFonts w:ascii="Palatino Linotype" w:eastAsia="Palatino Linotype" w:hAnsi="Palatino Linotype" w:cs="Palatino Linotype"/>
            <w:color w:val="0563C1"/>
            <w:u w:val="single"/>
          </w:rPr>
          <w:t>http://dof.gob.mx/nota_detalle.php?codigo=5492254&amp;fecha=28/07/2017</w:t>
        </w:r>
      </w:hyperlink>
      <w:r>
        <w:rPr>
          <w:rFonts w:ascii="Palatino Linotype" w:eastAsia="Palatino Linotype" w:hAnsi="Palatino Linotype" w:cs="Palatino Linotype"/>
          <w:color w:val="000000"/>
        </w:rPr>
        <w:t>. Incluso con la captura de dicho código, a través de la aplicación móvil del Servicio de Administración Tributaria, permite el acceso al Registro Federal de Contribuyentes, como del Sujeto Obligado, como de los servidores públicos.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lastRenderedPageBreak/>
        <w:t>Hasta este punto, se considera que la información relacionada con los siguientes puntos actualiza una causal de confidencialidad, toda vez que identifica o hace identificable a su titular.</w:t>
      </w:r>
    </w:p>
    <w:p w:rsidR="00470BB5" w:rsidRDefault="007649AE">
      <w:pPr>
        <w:numPr>
          <w:ilvl w:val="0"/>
          <w:numId w:val="9"/>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Clave Única de Registro de Población (CURP)</w:t>
      </w:r>
    </w:p>
    <w:p w:rsidR="00470BB5" w:rsidRDefault="007649AE">
      <w:pPr>
        <w:numPr>
          <w:ilvl w:val="0"/>
          <w:numId w:val="9"/>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Clave ISSEMyM</w:t>
      </w:r>
    </w:p>
    <w:p w:rsidR="00470BB5" w:rsidRDefault="007649AE">
      <w:pPr>
        <w:numPr>
          <w:ilvl w:val="0"/>
          <w:numId w:val="9"/>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Número de empleado </w:t>
      </w:r>
      <w:r>
        <w:rPr>
          <w:rFonts w:ascii="Palatino Linotype" w:eastAsia="Palatino Linotype" w:hAnsi="Palatino Linotype" w:cs="Palatino Linotype"/>
          <w:b/>
          <w:color w:val="000000"/>
          <w:sz w:val="22"/>
          <w:szCs w:val="22"/>
        </w:rPr>
        <w:t>(sólo en el caso de que contenga datos personales o se relacione con los mismos, de lo contrario es información pública)</w:t>
      </w:r>
    </w:p>
    <w:p w:rsidR="00470BB5" w:rsidRDefault="007649AE">
      <w:pPr>
        <w:numPr>
          <w:ilvl w:val="0"/>
          <w:numId w:val="9"/>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Registro Federal de Contribuyentes (RFC)</w:t>
      </w:r>
    </w:p>
    <w:p w:rsidR="00470BB5" w:rsidRDefault="007649AE">
      <w:pPr>
        <w:numPr>
          <w:ilvl w:val="0"/>
          <w:numId w:val="9"/>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Deducciones personales</w:t>
      </w:r>
    </w:p>
    <w:p w:rsidR="00470BB5" w:rsidRDefault="007649AE">
      <w:pPr>
        <w:numPr>
          <w:ilvl w:val="0"/>
          <w:numId w:val="9"/>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Código QR</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Es decir, los datos personales enlistados constituyen datos personales confidenciales al actualizar el supuesto normativo del artículo 143, fracción I de la Ley de Transparencia y Acceso a la Información Pública del Estado de México y Municipios.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rsidR="00470BB5" w:rsidRDefault="007649AE">
      <w:pPr>
        <w:numPr>
          <w:ilvl w:val="0"/>
          <w:numId w:val="10"/>
        </w:numPr>
        <w:shd w:val="clear" w:color="auto" w:fill="FFFFFF"/>
        <w:spacing w:before="240" w:after="240" w:line="360" w:lineRule="auto"/>
        <w:ind w:left="0" w:right="-876" w:firstLine="0"/>
        <w:jc w:val="both"/>
        <w:rPr>
          <w:color w:val="222222"/>
        </w:rPr>
      </w:pPr>
      <w:bookmarkStart w:id="11" w:name="_heading=h.44sinio" w:colFirst="0" w:colLast="0"/>
      <w:bookmarkEnd w:id="11"/>
      <w:r>
        <w:rPr>
          <w:rFonts w:ascii="Palatino Linotype" w:eastAsia="Palatino Linotype" w:hAnsi="Palatino Linotype" w:cs="Palatino Linotype"/>
          <w:color w:val="000000"/>
        </w:rPr>
        <w:t>Ahora bien, siguiendo con el análisis de los datos que contienen los recibos remitidos, siguen los siguientes:</w:t>
      </w:r>
    </w:p>
    <w:p w:rsidR="00470BB5" w:rsidRDefault="007649AE">
      <w:pPr>
        <w:pStyle w:val="Ttulo3"/>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VII. Sellos digitales del emisor y del Servicio de Administración Tributaria y cadena original del complemento de certificación digital del órgano previamente señalado; así como folio fiscal. (PÚBLICOS)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w:t>
      </w:r>
      <w:r>
        <w:rPr>
          <w:rFonts w:ascii="Palatino Linotype" w:eastAsia="Palatino Linotype" w:hAnsi="Palatino Linotype" w:cs="Palatino Linotype"/>
        </w:rPr>
        <w:t>está</w:t>
      </w:r>
      <w:r>
        <w:rPr>
          <w:rFonts w:ascii="Palatino Linotype" w:eastAsia="Palatino Linotype" w:hAnsi="Palatino Linotype" w:cs="Palatino Linotype"/>
          <w:color w:val="000000"/>
        </w:rPr>
        <w:t xml:space="preserve"> se encuentra encriptada como se verá a continuación.</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Las cadenas originales y sellos que se agregan a las facturas</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“Elementos utilizados en la generación de Sellos Digitales:</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•Cadena Original, el elemento a sellar, en este caso de un comprobante fiscal digital a través de Internet.</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•Certificado de Sello Digital y su correspondiente clave privada.</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•Algoritmos de criptografía de clave pública para firma electrónica avanzada.</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•Especificaciones de conversión de la firma electrónica avanzada a Base 64.</w:t>
      </w:r>
    </w:p>
    <w:p w:rsidR="00470BB5" w:rsidRDefault="007649AE">
      <w:pPr>
        <w:spacing w:line="360" w:lineRule="auto"/>
        <w:ind w:left="851"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generación de sellos digitales se utiliza criptografía de clave pública aplicada a una cadena original.</w:t>
      </w:r>
    </w:p>
    <w:p w:rsidR="00470BB5" w:rsidRDefault="00470BB5">
      <w:pPr>
        <w:spacing w:line="360" w:lineRule="auto"/>
        <w:ind w:left="851" w:right="-876"/>
        <w:jc w:val="both"/>
        <w:rPr>
          <w:rFonts w:ascii="Palatino Linotype" w:eastAsia="Palatino Linotype" w:hAnsi="Palatino Linotype" w:cs="Palatino Linotype"/>
          <w:i/>
          <w:sz w:val="22"/>
          <w:szCs w:val="22"/>
        </w:rPr>
      </w:pP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Criptografía de la Clave Pública</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criptografía de Clave Pública se basa en la generación de una pareja de números muy grandes relacionados íntimamente entre sí, de tal manera que una operación de </w:t>
      </w:r>
      <w:proofErr w:type="spellStart"/>
      <w:r>
        <w:rPr>
          <w:rFonts w:ascii="Palatino Linotype" w:eastAsia="Palatino Linotype" w:hAnsi="Palatino Linotype" w:cs="Palatino Linotype"/>
          <w:i/>
          <w:color w:val="000000"/>
          <w:sz w:val="22"/>
          <w:szCs w:val="22"/>
        </w:rPr>
        <w:t>encripción</w:t>
      </w:r>
      <w:proofErr w:type="spellEnd"/>
      <w:r>
        <w:rPr>
          <w:rFonts w:ascii="Palatino Linotype" w:eastAsia="Palatino Linotype" w:hAnsi="Palatino Linotype" w:cs="Palatino Linotype"/>
          <w:i/>
          <w:color w:val="000000"/>
          <w:sz w:val="22"/>
          <w:szCs w:val="22"/>
        </w:rPr>
        <w:t xml:space="preserve"> sobre un mensaje tomando como clave de </w:t>
      </w:r>
      <w:proofErr w:type="spellStart"/>
      <w:r>
        <w:rPr>
          <w:rFonts w:ascii="Palatino Linotype" w:eastAsia="Palatino Linotype" w:hAnsi="Palatino Linotype" w:cs="Palatino Linotype"/>
          <w:i/>
          <w:color w:val="000000"/>
          <w:sz w:val="22"/>
          <w:szCs w:val="22"/>
        </w:rPr>
        <w:t>encripción</w:t>
      </w:r>
      <w:proofErr w:type="spellEnd"/>
      <w:r>
        <w:rPr>
          <w:rFonts w:ascii="Palatino Linotype" w:eastAsia="Palatino Linotype" w:hAnsi="Palatino Linotype" w:cs="Palatino Linotype"/>
          <w:i/>
          <w:color w:val="000000"/>
          <w:sz w:val="22"/>
          <w:szCs w:val="22"/>
        </w:rPr>
        <w:t xml:space="preserve"> a uno de los dos números, produce un mensaje alterado en su significado que solo puede ser devuelto a su estado original mediante la operación de </w:t>
      </w:r>
      <w:proofErr w:type="spellStart"/>
      <w:r>
        <w:rPr>
          <w:rFonts w:ascii="Palatino Linotype" w:eastAsia="Palatino Linotype" w:hAnsi="Palatino Linotype" w:cs="Palatino Linotype"/>
          <w:i/>
          <w:color w:val="000000"/>
          <w:sz w:val="22"/>
          <w:szCs w:val="22"/>
        </w:rPr>
        <w:t>desencripción</w:t>
      </w:r>
      <w:proofErr w:type="spellEnd"/>
      <w:r>
        <w:rPr>
          <w:rFonts w:ascii="Palatino Linotype" w:eastAsia="Palatino Linotype" w:hAnsi="Palatino Linotype" w:cs="Palatino Linotype"/>
          <w:i/>
          <w:color w:val="000000"/>
          <w:sz w:val="22"/>
          <w:szCs w:val="22"/>
        </w:rPr>
        <w:t xml:space="preserve"> correspondiente tomando como clave de </w:t>
      </w:r>
      <w:proofErr w:type="spellStart"/>
      <w:r>
        <w:rPr>
          <w:rFonts w:ascii="Palatino Linotype" w:eastAsia="Palatino Linotype" w:hAnsi="Palatino Linotype" w:cs="Palatino Linotype"/>
          <w:i/>
          <w:color w:val="000000"/>
          <w:sz w:val="22"/>
          <w:szCs w:val="22"/>
        </w:rPr>
        <w:t>desencripción</w:t>
      </w:r>
      <w:proofErr w:type="spellEnd"/>
      <w:r>
        <w:rPr>
          <w:rFonts w:ascii="Palatino Linotype" w:eastAsia="Palatino Linotype" w:hAnsi="Palatino Linotype" w:cs="Palatino Linotype"/>
          <w:i/>
          <w:color w:val="000000"/>
          <w:sz w:val="22"/>
          <w:szCs w:val="22"/>
        </w:rPr>
        <w:t xml:space="preserve"> al otro número de la pareja.”</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Es decir, por sí solos las cadenas originales y los sellos originales no contienen datos personales confidenciales, por lo que se considera que no actualizan </w:t>
      </w:r>
      <w:r>
        <w:rPr>
          <w:rFonts w:ascii="Palatino Linotype" w:eastAsia="Palatino Linotype" w:hAnsi="Palatino Linotype" w:cs="Palatino Linotype"/>
        </w:rPr>
        <w:t>el supuesto</w:t>
      </w:r>
      <w:r>
        <w:rPr>
          <w:rFonts w:ascii="Palatino Linotype" w:eastAsia="Palatino Linotype" w:hAnsi="Palatino Linotype" w:cs="Palatino Linotype"/>
          <w:color w:val="000000"/>
        </w:rPr>
        <w:t xml:space="preserve">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 xml:space="preserve">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w:t>
      </w:r>
      <w:r>
        <w:rPr>
          <w:rFonts w:ascii="Palatino Linotype" w:eastAsia="Palatino Linotype" w:hAnsi="Palatino Linotype" w:cs="Palatino Linotype"/>
          <w:color w:val="000000"/>
        </w:rPr>
        <w:lastRenderedPageBreak/>
        <w:t>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470BB5" w:rsidRDefault="007649AE">
      <w:pPr>
        <w:shd w:val="clear" w:color="auto" w:fill="FFFFFF"/>
        <w:spacing w:before="240" w:after="240" w:line="360" w:lineRule="auto"/>
        <w:ind w:right="-876"/>
        <w:jc w:val="both"/>
        <w:rPr>
          <w:rFonts w:ascii="Palatino Linotype" w:eastAsia="Palatino Linotype" w:hAnsi="Palatino Linotype" w:cs="Palatino Linotype"/>
          <w:color w:val="222222"/>
        </w:rPr>
      </w:pPr>
      <w:r>
        <w:rPr>
          <w:rFonts w:ascii="Palatino Linotype" w:eastAsia="Palatino Linotype" w:hAnsi="Palatino Linotype" w:cs="Palatino Linotype"/>
          <w:noProof/>
        </w:rPr>
        <w:drawing>
          <wp:inline distT="0" distB="0" distL="0" distR="0">
            <wp:extent cx="5612130" cy="42473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40505" r="32587" b="47482"/>
                    <a:stretch>
                      <a:fillRect/>
                    </a:stretch>
                  </pic:blipFill>
                  <pic:spPr>
                    <a:xfrm>
                      <a:off x="0" y="0"/>
                      <a:ext cx="5612130" cy="424735"/>
                    </a:xfrm>
                    <a:prstGeom prst="rect">
                      <a:avLst/>
                    </a:prstGeom>
                    <a:ln/>
                  </pic:spPr>
                </pic:pic>
              </a:graphicData>
            </a:graphic>
          </wp:inline>
        </w:drawing>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color w:val="000000"/>
        </w:rPr>
        <w:t>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rsidR="00470BB5" w:rsidRDefault="007649AE">
      <w:p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Deducciones que no son personales.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rPr>
        <w:lastRenderedPageBreak/>
        <w:t>La Ley del Trabajo de los Servidores Públicos del Estado y Municipios</w:t>
      </w:r>
      <w:r>
        <w:rPr>
          <w:rFonts w:ascii="Palatino Linotype" w:eastAsia="Palatino Linotype" w:hAnsi="Palatino Linotype" w:cs="Palatino Linotype"/>
          <w:vertAlign w:val="superscript"/>
        </w:rPr>
        <w:footnoteReference w:id="10"/>
      </w:r>
      <w:r>
        <w:rPr>
          <w:rFonts w:ascii="Palatino Linotype" w:eastAsia="Palatino Linotype" w:hAnsi="Palatino Linotype" w:cs="Palatino Linotype"/>
        </w:rPr>
        <w:t xml:space="preserve"> en el artículo 84 establece lo siguiente:</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84. Sólo podrán hacerse retenciones, descuentos o deducciones al sueldo de los servidores públicos por concepto de: </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 Gravámenes fiscales relacionados con el sueldo;</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Deudas contraídas con las instituciones públicas o dependencias por concepto de anticipos de sueldo, pagos hechos con exceso, errores o pérdidas debidamente comprobados; </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Cuotas sindicales; </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IV. Cuotas de aportación a fondos para la constitución de cooperativas y de cajas de ahorro, siempre que el servidor público hubiese manifestado previamente, de manera expresa, su conformidad; </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 Descuentos ordenados por el Instituto de Seguridad Social del Estado de México y Municipios, con motivo de cuotas y obligaciones contraídas con éste por los servidores públicos; </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Obligaciones a cargo del servidor público con las que haya consentido, derivadas de la adquisición o del uso de habitaciones consideradas como de interés social; </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Faltas de puntualidad o de asistencia injustificadas; </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Pensiones alimenticias ordenadas por la autoridad judicial; o </w:t>
      </w:r>
    </w:p>
    <w:p w:rsidR="00470BB5" w:rsidRDefault="007649AE">
      <w:pPr>
        <w:pBdr>
          <w:top w:val="nil"/>
          <w:left w:val="nil"/>
          <w:bottom w:val="nil"/>
          <w:right w:val="nil"/>
          <w:between w:val="nil"/>
        </w:pBdr>
        <w:spacing w:line="360" w:lineRule="auto"/>
        <w:ind w:left="851"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Cualquier otro convenido con instituciones de servicios y aceptado por el servidor público.</w:t>
      </w:r>
    </w:p>
    <w:p w:rsidR="00470BB5" w:rsidRDefault="00470BB5">
      <w:pPr>
        <w:pBdr>
          <w:top w:val="nil"/>
          <w:left w:val="nil"/>
          <w:bottom w:val="nil"/>
          <w:right w:val="nil"/>
          <w:between w:val="nil"/>
        </w:pBdr>
        <w:spacing w:line="360" w:lineRule="auto"/>
        <w:ind w:left="851" w:right="-876"/>
        <w:jc w:val="both"/>
        <w:rPr>
          <w:rFonts w:ascii="Palatino Linotype" w:eastAsia="Palatino Linotype" w:hAnsi="Palatino Linotype" w:cs="Palatino Linotype"/>
          <w:i/>
          <w:sz w:val="22"/>
          <w:szCs w:val="22"/>
        </w:rPr>
      </w:pP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rPr>
        <w:lastRenderedPageBreak/>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rsidR="00470BB5" w:rsidRDefault="007649A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Seguro de Capitalización Individualizado.</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rPr>
        <w:t>El Sistema de Capitalización Individualizado es el mecanismo mediante el cual, un servidor público y la Institución en la que labora, acumulan recursos, adicionales a su pensión; mismo que se integra hasta por tres rubros, los cuales son los siguientes:</w:t>
      </w:r>
    </w:p>
    <w:p w:rsidR="00470BB5" w:rsidRDefault="007649AE">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w:t>
      </w:r>
      <w:r>
        <w:rPr>
          <w:rFonts w:ascii="Palatino Linotype" w:eastAsia="Palatino Linotype" w:hAnsi="Palatino Linotype" w:cs="Palatino Linotype"/>
          <w:color w:val="000000"/>
        </w:rPr>
        <w:tab/>
      </w:r>
      <w:r>
        <w:rPr>
          <w:rFonts w:ascii="Palatino Linotype" w:eastAsia="Palatino Linotype" w:hAnsi="Palatino Linotype" w:cs="Palatino Linotype"/>
          <w:color w:val="000000"/>
          <w:sz w:val="22"/>
          <w:szCs w:val="22"/>
        </w:rPr>
        <w:t>Subcuenta de cuota obligatoria; que corresponde a un porcentaje del sueldo sujeto a cotización, que se descuenta al servir público de manera automática.</w:t>
      </w:r>
    </w:p>
    <w:p w:rsidR="00470BB5" w:rsidRDefault="007649AE">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ab/>
        <w:t>Subcuenta de aportación obligatoria: que es la aportación que realiza la Institución a favor del servidor público, el cual equivale a un porcentaje del sueldo sujeto a cotización.</w:t>
      </w:r>
    </w:p>
    <w:p w:rsidR="00470BB5" w:rsidRDefault="007649AE">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ab/>
        <w:t xml:space="preserve">Subcuenta voluntaria: que es la cantidad que cada servidor público decide ahorrar de acuerdo con sus aportaciones, permitiendo acumular mayores ingresos para su retiro. </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w:t>
      </w:r>
      <w:r>
        <w:rPr>
          <w:rFonts w:ascii="Palatino Linotype" w:eastAsia="Palatino Linotype" w:hAnsi="Palatino Linotype" w:cs="Palatino Linotype"/>
        </w:rPr>
        <w:lastRenderedPageBreak/>
        <w:t xml:space="preserve">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rsidR="00470BB5" w:rsidRDefault="007649AE">
      <w:p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Pr>
          <w:rFonts w:ascii="Palatino Linotype" w:eastAsia="Palatino Linotype" w:hAnsi="Palatino Linotype" w:cs="Palatino Linotype"/>
          <w:i/>
          <w:color w:val="000000"/>
        </w:rPr>
        <w:t>aún</w:t>
      </w:r>
      <w:proofErr w:type="spellEnd"/>
      <w:r>
        <w:rPr>
          <w:rFonts w:ascii="Palatino Linotype" w:eastAsia="Palatino Linotype" w:hAnsi="Palatino Linotype" w:cs="Palatino Linotype"/>
          <w:i/>
          <w:color w:val="000000"/>
        </w:rPr>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w:t>
      </w:r>
      <w:r>
        <w:rPr>
          <w:rFonts w:ascii="Palatino Linotype" w:eastAsia="Palatino Linotype" w:hAnsi="Palatino Linotype" w:cs="Palatino Linotype"/>
          <w:i/>
          <w:color w:val="000000"/>
        </w:rPr>
        <w:lastRenderedPageBreak/>
        <w:t>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Pr>
          <w:rFonts w:ascii="Palatino Linotype" w:eastAsia="Palatino Linotype" w:hAnsi="Palatino Linotype" w:cs="Palatino Linotype"/>
          <w:color w:val="000000"/>
        </w:rPr>
        <w:t xml:space="preserve"> </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rPr>
        <w:t>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w:t>
      </w:r>
    </w:p>
    <w:p w:rsidR="00470BB5" w:rsidRDefault="007649AE">
      <w:pPr>
        <w:numPr>
          <w:ilvl w:val="0"/>
          <w:numId w:val="10"/>
        </w:numPr>
        <w:shd w:val="clear" w:color="auto" w:fill="FFFFFF"/>
        <w:spacing w:before="240" w:after="240" w:line="360" w:lineRule="auto"/>
        <w:ind w:left="0" w:right="-876" w:firstLine="0"/>
        <w:jc w:val="both"/>
        <w:rPr>
          <w:color w:val="222222"/>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7649AE">
      <w:pPr>
        <w:keepNext/>
        <w:keepLines/>
        <w:spacing w:line="360" w:lineRule="auto"/>
        <w:ind w:right="-87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R E S O L U T I V O S</w:t>
      </w:r>
    </w:p>
    <w:p w:rsidR="00470BB5" w:rsidRDefault="00470BB5">
      <w:pPr>
        <w:keepNext/>
        <w:keepLines/>
        <w:spacing w:line="360" w:lineRule="auto"/>
        <w:ind w:right="-876"/>
        <w:jc w:val="center"/>
        <w:rPr>
          <w:rFonts w:ascii="Palatino Linotype" w:eastAsia="Palatino Linotype" w:hAnsi="Palatino Linotype" w:cs="Palatino Linotype"/>
          <w:b/>
          <w:color w:val="000000"/>
        </w:rPr>
      </w:pPr>
    </w:p>
    <w:p w:rsidR="00470BB5" w:rsidRDefault="007649AE">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los Recursos de Revisión </w:t>
      </w:r>
      <w:r>
        <w:rPr>
          <w:rFonts w:ascii="Palatino Linotype" w:eastAsia="Palatino Linotype" w:hAnsi="Palatino Linotype" w:cs="Palatino Linotype"/>
          <w:b/>
        </w:rPr>
        <w:t>00963/INFOEM/IP/RR/2024 y 00964/INFOEM/IP/RR/2024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w:t>
      </w:r>
      <w:r>
        <w:rPr>
          <w:rFonts w:ascii="Palatino Linotype" w:eastAsia="Palatino Linotype" w:hAnsi="Palatino Linotype" w:cs="Palatino Linotype"/>
          <w:b/>
        </w:rPr>
        <w:t xml:space="preserve"> Cuarto y Quinto </w:t>
      </w:r>
      <w:r>
        <w:rPr>
          <w:rFonts w:ascii="Palatino Linotype" w:eastAsia="Palatino Linotype" w:hAnsi="Palatino Linotype" w:cs="Palatino Linotype"/>
        </w:rPr>
        <w:t xml:space="preserve">de la presente resolución. </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spacing w:line="360" w:lineRule="auto"/>
        <w:ind w:right="-876"/>
        <w:jc w:val="both"/>
        <w:rPr>
          <w:rFonts w:ascii="Palatino Linotype" w:eastAsia="Palatino Linotype" w:hAnsi="Palatino Linotype" w:cs="Palatino Linotype"/>
        </w:rPr>
      </w:pPr>
      <w:bookmarkStart w:id="12" w:name="_heading=h.2s8eyo1" w:colFirst="0" w:colLast="0"/>
      <w:bookmarkEnd w:id="12"/>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MODIFICA</w:t>
      </w:r>
      <w:r w:rsidR="008A1A48">
        <w:rPr>
          <w:rFonts w:ascii="Palatino Linotype" w:eastAsia="Palatino Linotype" w:hAnsi="Palatino Linotype" w:cs="Palatino Linotype"/>
          <w:b/>
          <w:color w:val="000000"/>
        </w:rPr>
        <w:t>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la</w:t>
      </w:r>
      <w:r w:rsidR="008A1A48">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respuesta</w:t>
      </w:r>
      <w:r w:rsidR="008A1A48">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emitida</w:t>
      </w:r>
      <w:r w:rsidR="008A1A48">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por el </w:t>
      </w:r>
      <w:r>
        <w:rPr>
          <w:rFonts w:ascii="Palatino Linotype" w:eastAsia="Palatino Linotype" w:hAnsi="Palatino Linotype" w:cs="Palatino Linotype"/>
          <w:b/>
          <w:color w:val="000000"/>
        </w:rPr>
        <w:t xml:space="preserve">Ayuntamiento de Huehuetoca </w:t>
      </w:r>
      <w:r>
        <w:rPr>
          <w:rFonts w:ascii="Palatino Linotype" w:eastAsia="Palatino Linotype" w:hAnsi="Palatino Linotype" w:cs="Palatino Linotype"/>
        </w:rPr>
        <w:t xml:space="preserve">y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entregar vía Sistema de Acceso a la Información Mexiquense (SAIMEX), </w:t>
      </w:r>
      <w:r>
        <w:rPr>
          <w:rFonts w:ascii="Palatino Linotype" w:eastAsia="Palatino Linotype" w:hAnsi="Palatino Linotype" w:cs="Palatino Linotype"/>
          <w:color w:val="000000"/>
        </w:rPr>
        <w:t>de ser procedente</w:t>
      </w:r>
      <w:r>
        <w:rPr>
          <w:rFonts w:ascii="Palatino Linotype" w:eastAsia="Palatino Linotype" w:hAnsi="Palatino Linotype" w:cs="Palatino Linotype"/>
        </w:rPr>
        <w:t xml:space="preserve"> en versión pública, la siguiente información:</w:t>
      </w:r>
    </w:p>
    <w:p w:rsidR="00470BB5" w:rsidRDefault="00470BB5">
      <w:p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p>
    <w:p w:rsidR="00470BB5" w:rsidRDefault="007649AE">
      <w:pPr>
        <w:numPr>
          <w:ilvl w:val="0"/>
          <w:numId w:val="5"/>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Soporte documental donde consten las capacitaciones del personal adscrito a Oficialía de Partes.</w:t>
      </w:r>
    </w:p>
    <w:p w:rsidR="00470BB5" w:rsidRDefault="007649AE">
      <w:pPr>
        <w:numPr>
          <w:ilvl w:val="0"/>
          <w:numId w:val="5"/>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bookmarkStart w:id="13" w:name="_heading=h.1t3h5sf" w:colFirst="0" w:colLast="0"/>
      <w:bookmarkEnd w:id="13"/>
      <w:r>
        <w:rPr>
          <w:rFonts w:ascii="Palatino Linotype" w:eastAsia="Palatino Linotype" w:hAnsi="Palatino Linotype" w:cs="Palatino Linotype"/>
          <w:b/>
          <w:color w:val="000000"/>
        </w:rPr>
        <w:t>Soporte documental donde consten las percepciones del personal adscrito a la Coordinación Jurídica, correspondientes a la segunda quince de diciembre de dos mil veintitrés y la primera quincena del mes de enero de dos mil veinticuatro.</w:t>
      </w:r>
    </w:p>
    <w:p w:rsidR="00470BB5" w:rsidRDefault="00470BB5">
      <w:pPr>
        <w:spacing w:line="360" w:lineRule="auto"/>
        <w:ind w:right="-876"/>
        <w:jc w:val="both"/>
        <w:rPr>
          <w:rFonts w:ascii="Palatino Linotype" w:eastAsia="Palatino Linotype" w:hAnsi="Palatino Linotype" w:cs="Palatino Linotype"/>
          <w:i/>
          <w:color w:val="000000"/>
        </w:rPr>
      </w:pPr>
    </w:p>
    <w:p w:rsidR="00470BB5" w:rsidRDefault="007649AE">
      <w:pPr>
        <w:spacing w:line="360" w:lineRule="auto"/>
        <w:ind w:right="-876"/>
        <w:jc w:val="both"/>
        <w:rPr>
          <w:rFonts w:ascii="Palatino Linotype" w:eastAsia="Palatino Linotype" w:hAnsi="Palatino Linotype" w:cs="Palatino Linotype"/>
          <w:b/>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p>
    <w:p w:rsidR="00470BB5" w:rsidRDefault="00470BB5">
      <w:pPr>
        <w:spacing w:line="360" w:lineRule="auto"/>
        <w:ind w:right="-876"/>
        <w:jc w:val="both"/>
        <w:rPr>
          <w:rFonts w:ascii="Palatino Linotype" w:eastAsia="Palatino Linotype" w:hAnsi="Palatino Linotype" w:cs="Palatino Linotype"/>
          <w:b/>
        </w:rPr>
      </w:pPr>
    </w:p>
    <w:p w:rsidR="00470BB5" w:rsidRDefault="007649A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Para el caso de que la información que se ordena entregar en el punto A, no obre en los archivos del Sujeto Obligado, bastará con que así se haga del conocimiento del Particular en términos del artículo 19, párrafo segundo, de la Ley de Transparencia y Acceso a la Información Pública del Estado de México y Municipios, para </w:t>
      </w:r>
      <w:r>
        <w:rPr>
          <w:rFonts w:ascii="Palatino Linotype" w:eastAsia="Palatino Linotype" w:hAnsi="Palatino Linotype" w:cs="Palatino Linotype"/>
        </w:rPr>
        <w:t>tener por</w:t>
      </w:r>
      <w:r>
        <w:rPr>
          <w:rFonts w:ascii="Palatino Linotype" w:eastAsia="Palatino Linotype" w:hAnsi="Palatino Linotype" w:cs="Palatino Linotype"/>
          <w:color w:val="000000"/>
        </w:rPr>
        <w:t xml:space="preserve"> colmado dicho requerimiento. </w:t>
      </w:r>
    </w:p>
    <w:p w:rsidR="00470BB5" w:rsidRDefault="00470BB5">
      <w:pPr>
        <w:spacing w:line="360" w:lineRule="auto"/>
        <w:ind w:right="-876"/>
        <w:jc w:val="both"/>
        <w:rPr>
          <w:rFonts w:ascii="Palatino Linotype" w:eastAsia="Palatino Linotype" w:hAnsi="Palatino Linotype" w:cs="Palatino Linotype"/>
          <w:b/>
        </w:rPr>
      </w:pPr>
    </w:p>
    <w:p w:rsidR="00470BB5" w:rsidRDefault="007649AE">
      <w:pPr>
        <w:tabs>
          <w:tab w:val="left" w:pos="8080"/>
        </w:tabs>
        <w:spacing w:line="360" w:lineRule="auto"/>
        <w:ind w:right="-876"/>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70BB5" w:rsidRDefault="00470BB5">
      <w:pPr>
        <w:tabs>
          <w:tab w:val="left" w:pos="8080"/>
        </w:tabs>
        <w:spacing w:line="360" w:lineRule="auto"/>
        <w:ind w:right="-876"/>
        <w:jc w:val="both"/>
        <w:rPr>
          <w:rFonts w:ascii="Palatino Linotype" w:eastAsia="Palatino Linotype" w:hAnsi="Palatino Linotype" w:cs="Palatino Linotype"/>
          <w:color w:val="222222"/>
        </w:rPr>
      </w:pPr>
    </w:p>
    <w:p w:rsidR="00470BB5" w:rsidRDefault="007649AE">
      <w:pPr>
        <w:shd w:val="clear" w:color="auto" w:fill="FFFFFF"/>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SAIMEX.</w:t>
      </w:r>
    </w:p>
    <w:p w:rsidR="00470BB5" w:rsidRDefault="00470BB5">
      <w:pPr>
        <w:shd w:val="clear" w:color="auto" w:fill="FFFFFF"/>
        <w:spacing w:line="360" w:lineRule="auto"/>
        <w:ind w:right="-876"/>
        <w:jc w:val="both"/>
        <w:rPr>
          <w:rFonts w:ascii="Palatino Linotype" w:eastAsia="Palatino Linotype" w:hAnsi="Palatino Linotype" w:cs="Palatino Linotype"/>
          <w:b/>
          <w:color w:val="FF0000"/>
        </w:rPr>
      </w:pPr>
    </w:p>
    <w:p w:rsidR="00470BB5" w:rsidRDefault="007649AE">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color w:val="000000"/>
        </w:rPr>
        <w:lastRenderedPageBreak/>
        <w:t xml:space="preserve">SEXTO.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470BB5" w:rsidRDefault="00470BB5">
      <w:pPr>
        <w:spacing w:line="360" w:lineRule="auto"/>
        <w:ind w:right="-876"/>
        <w:jc w:val="both"/>
        <w:rPr>
          <w:rFonts w:ascii="Palatino Linotype" w:eastAsia="Palatino Linotype" w:hAnsi="Palatino Linotype" w:cs="Palatino Linotype"/>
        </w:rPr>
      </w:pPr>
    </w:p>
    <w:p w:rsidR="00470BB5" w:rsidRDefault="007649AE">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SÉPTIMO. Gírese</w:t>
      </w:r>
      <w:r>
        <w:rPr>
          <w:rFonts w:ascii="Palatino Linotype" w:eastAsia="Palatino Linotype" w:hAnsi="Palatino Linotype" w:cs="Palatino Linotype"/>
        </w:rPr>
        <w:t xml:space="preserve"> oficio al Titular de la Dirección General de Protección de Datos Personales, en atención al artículo 82, fracción XXVII de la Ley de Protección de Datos Personales del Estado de México y Municipios en términos de lo señalado en el </w:t>
      </w:r>
      <w:r>
        <w:rPr>
          <w:rFonts w:ascii="Palatino Linotype" w:eastAsia="Palatino Linotype" w:hAnsi="Palatino Linotype" w:cs="Palatino Linotype"/>
          <w:b/>
        </w:rPr>
        <w:t>Considerando CUARTO</w:t>
      </w:r>
      <w:r>
        <w:rPr>
          <w:rFonts w:ascii="Palatino Linotype" w:eastAsia="Palatino Linotype" w:hAnsi="Palatino Linotype" w:cs="Palatino Linotype"/>
        </w:rPr>
        <w:t xml:space="preserve"> de la presente resolución.</w:t>
      </w:r>
    </w:p>
    <w:p w:rsidR="00470BB5" w:rsidRDefault="00470BB5">
      <w:pPr>
        <w:spacing w:line="360" w:lineRule="auto"/>
        <w:ind w:right="-876"/>
        <w:jc w:val="both"/>
        <w:rPr>
          <w:rFonts w:ascii="Palatino Linotype" w:eastAsia="Palatino Linotype" w:hAnsi="Palatino Linotype" w:cs="Palatino Linotype"/>
        </w:rPr>
      </w:pPr>
    </w:p>
    <w:p w:rsidR="008A1A48" w:rsidRPr="003C7186" w:rsidRDefault="008A1A48" w:rsidP="008A1A48">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QUINTA </w:t>
      </w:r>
      <w:r w:rsidRPr="003C7186">
        <w:rPr>
          <w:rFonts w:ascii="Palatino Linotype" w:hAnsi="Palatino Linotype"/>
        </w:rPr>
        <w:t xml:space="preserve">SESIÓN ORDINARIA CELEBRADA EL </w:t>
      </w:r>
      <w:r>
        <w:rPr>
          <w:rFonts w:ascii="Palatino Linotype" w:hAnsi="Palatino Linotype"/>
        </w:rPr>
        <w:t>TRES</w:t>
      </w:r>
      <w:r w:rsidRPr="003C7186">
        <w:rPr>
          <w:rFonts w:ascii="Palatino Linotype" w:hAnsi="Palatino Linotype"/>
        </w:rPr>
        <w:t xml:space="preserve"> </w:t>
      </w:r>
      <w:r>
        <w:rPr>
          <w:rFonts w:ascii="Palatino Linotype" w:hAnsi="Palatino Linotype"/>
        </w:rPr>
        <w:t>(03) DE OCTUBRE</w:t>
      </w:r>
      <w:r w:rsidRPr="003C7186">
        <w:rPr>
          <w:rFonts w:ascii="Palatino Linotype" w:hAnsi="Palatino Linotype"/>
        </w:rPr>
        <w:t xml:space="preserve"> DE DOS MIL VEINTICUATRO, ANTE EL SECRETARIO TÉCNICO DEL PLENO ALEXIS TAPIA RAMÍREZ. </w:t>
      </w:r>
    </w:p>
    <w:p w:rsidR="008A1A48" w:rsidRPr="00902BA4" w:rsidRDefault="008A1A48" w:rsidP="008A1A48">
      <w:pPr>
        <w:widowControl w:val="0"/>
        <w:autoSpaceDE w:val="0"/>
        <w:autoSpaceDN w:val="0"/>
        <w:adjustRightInd w:val="0"/>
        <w:spacing w:after="200" w:line="276" w:lineRule="auto"/>
        <w:ind w:left="-142" w:right="-234"/>
        <w:rPr>
          <w:rFonts w:ascii="Calibri" w:hAnsi="Calibri" w:cs="Calibri"/>
        </w:rPr>
      </w:pPr>
    </w:p>
    <w:p w:rsidR="008A1A48" w:rsidRDefault="008A1A48" w:rsidP="008A1A48">
      <w:pPr>
        <w:spacing w:before="240" w:after="240" w:line="360" w:lineRule="auto"/>
        <w:ind w:firstLine="1"/>
        <w:jc w:val="both"/>
        <w:rPr>
          <w:rFonts w:ascii="Palatino Linotype" w:hAnsi="Palatino Linotype"/>
        </w:rPr>
      </w:pPr>
      <w:bookmarkStart w:id="14" w:name="_Hlk96506827"/>
    </w:p>
    <w:bookmarkEnd w:id="14"/>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jc w:val="both"/>
        <w:rPr>
          <w:rFonts w:ascii="Palatino Linotype" w:eastAsia="Palatino Linotype" w:hAnsi="Palatino Linotype" w:cs="Palatino Linotype"/>
        </w:rPr>
      </w:pPr>
    </w:p>
    <w:p w:rsidR="00470BB5" w:rsidRDefault="00470BB5">
      <w:pPr>
        <w:spacing w:line="360" w:lineRule="auto"/>
        <w:ind w:right="-876"/>
        <w:rPr>
          <w:rFonts w:ascii="Palatino Linotype" w:eastAsia="Palatino Linotype" w:hAnsi="Palatino Linotype" w:cs="Palatino Linotype"/>
        </w:rPr>
      </w:pPr>
    </w:p>
    <w:p w:rsidR="00470BB5" w:rsidRDefault="00470BB5">
      <w:pPr>
        <w:spacing w:line="360" w:lineRule="auto"/>
        <w:ind w:right="-876"/>
        <w:rPr>
          <w:rFonts w:ascii="Palatino Linotype" w:eastAsia="Palatino Linotype" w:hAnsi="Palatino Linotype" w:cs="Palatino Linotype"/>
        </w:rPr>
      </w:pPr>
    </w:p>
    <w:p w:rsidR="00470BB5" w:rsidRDefault="00470BB5">
      <w:pPr>
        <w:spacing w:line="360" w:lineRule="auto"/>
        <w:ind w:right="-876"/>
        <w:rPr>
          <w:rFonts w:ascii="Palatino Linotype" w:eastAsia="Palatino Linotype" w:hAnsi="Palatino Linotype" w:cs="Palatino Linotype"/>
        </w:rPr>
      </w:pPr>
    </w:p>
    <w:p w:rsidR="00470BB5" w:rsidRDefault="00470BB5">
      <w:pPr>
        <w:ind w:right="-876"/>
      </w:pPr>
    </w:p>
    <w:sectPr w:rsidR="00470BB5">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59" w:rsidRDefault="003B6259">
      <w:r>
        <w:separator/>
      </w:r>
    </w:p>
  </w:endnote>
  <w:endnote w:type="continuationSeparator" w:id="0">
    <w:p w:rsidR="003B6259" w:rsidRDefault="003B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B5" w:rsidRDefault="007649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A1536">
      <w:rPr>
        <w:b/>
        <w:noProof/>
        <w:color w:val="000000"/>
      </w:rPr>
      <w:t>64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A1536">
      <w:rPr>
        <w:b/>
        <w:noProof/>
        <w:color w:val="000000"/>
      </w:rPr>
      <w:t>64</w:t>
    </w:r>
    <w:r>
      <w:rPr>
        <w:b/>
        <w:color w:val="000000"/>
      </w:rPr>
      <w:fldChar w:fldCharType="end"/>
    </w:r>
  </w:p>
  <w:p w:rsidR="00470BB5" w:rsidRDefault="00470BB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B5" w:rsidRDefault="007649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A153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A1536">
      <w:rPr>
        <w:b/>
        <w:noProof/>
        <w:color w:val="000000"/>
      </w:rPr>
      <w:t>64</w:t>
    </w:r>
    <w:r>
      <w:rPr>
        <w:b/>
        <w:color w:val="000000"/>
      </w:rPr>
      <w:fldChar w:fldCharType="end"/>
    </w:r>
  </w:p>
  <w:p w:rsidR="00470BB5" w:rsidRDefault="00470BB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59" w:rsidRDefault="003B6259">
      <w:r>
        <w:separator/>
      </w:r>
    </w:p>
  </w:footnote>
  <w:footnote w:type="continuationSeparator" w:id="0">
    <w:p w:rsidR="003B6259" w:rsidRDefault="003B6259">
      <w:r>
        <w:continuationSeparator/>
      </w:r>
    </w:p>
  </w:footnote>
  <w:footnote w:id="1">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5">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 w:id="6">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470BB5" w:rsidRDefault="007649A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7">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rsidR="00470BB5" w:rsidRDefault="007649A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rsidR="00470BB5" w:rsidRDefault="007649A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 w:id="8">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470BB5" w:rsidRDefault="007649A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9">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10">
    <w:p w:rsidR="00470BB5" w:rsidRDefault="007649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2">
        <w:r>
          <w:rPr>
            <w:rFonts w:ascii="Calibri" w:eastAsia="Calibri" w:hAnsi="Calibri" w:cs="Calibri"/>
            <w:color w:val="0563C1"/>
            <w:sz w:val="20"/>
            <w:szCs w:val="20"/>
            <w:u w:val="single"/>
          </w:rPr>
          <w:t>https://legislacion.edomex.gob.mx/sites/legislacion.edomex.gob.mx/files/files/pdf/ley/vig/leyvig083.pdf</w:t>
        </w:r>
      </w:hyperlink>
    </w:p>
    <w:p w:rsidR="00470BB5" w:rsidRDefault="00470BB5">
      <w:pPr>
        <w:pBdr>
          <w:top w:val="nil"/>
          <w:left w:val="nil"/>
          <w:bottom w:val="nil"/>
          <w:right w:val="nil"/>
          <w:between w:val="nil"/>
        </w:pBdr>
        <w:rPr>
          <w:rFonts w:ascii="Calibri" w:eastAsia="Calibri" w:hAnsi="Calibri" w:cs="Calibri"/>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B5" w:rsidRDefault="003B625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B5" w:rsidRDefault="00470BB5">
    <w:pPr>
      <w:widowControl w:val="0"/>
      <w:pBdr>
        <w:top w:val="nil"/>
        <w:left w:val="nil"/>
        <w:bottom w:val="nil"/>
        <w:right w:val="nil"/>
        <w:between w:val="nil"/>
      </w:pBdr>
      <w:spacing w:line="276" w:lineRule="auto"/>
      <w:rPr>
        <w:color w:val="000000"/>
      </w:rPr>
    </w:pPr>
  </w:p>
  <w:tbl>
    <w:tblPr>
      <w:tblStyle w:val="a1"/>
      <w:tblW w:w="9214" w:type="dxa"/>
      <w:tblInd w:w="0" w:type="dxa"/>
      <w:tblLayout w:type="fixed"/>
      <w:tblLook w:val="0400" w:firstRow="0" w:lastRow="0" w:firstColumn="0" w:lastColumn="0" w:noHBand="0" w:noVBand="1"/>
    </w:tblPr>
    <w:tblGrid>
      <w:gridCol w:w="2268"/>
      <w:gridCol w:w="6946"/>
    </w:tblGrid>
    <w:tr w:rsidR="00470BB5">
      <w:trPr>
        <w:trHeight w:val="1435"/>
      </w:trPr>
      <w:tc>
        <w:tcPr>
          <w:tcW w:w="2268" w:type="dxa"/>
        </w:tcPr>
        <w:p w:rsidR="00470BB5" w:rsidRDefault="00470BB5">
          <w:pPr>
            <w:tabs>
              <w:tab w:val="right" w:pos="4273"/>
            </w:tabs>
            <w:rPr>
              <w:rFonts w:ascii="Garamond" w:eastAsia="Garamond" w:hAnsi="Garamond" w:cs="Garamond"/>
              <w:sz w:val="16"/>
              <w:szCs w:val="16"/>
            </w:rPr>
          </w:pPr>
        </w:p>
      </w:tc>
      <w:tc>
        <w:tcPr>
          <w:tcW w:w="6946" w:type="dxa"/>
        </w:tcPr>
        <w:p w:rsidR="00470BB5" w:rsidRDefault="00470BB5"/>
        <w:tbl>
          <w:tblPr>
            <w:tblStyle w:val="a2"/>
            <w:tblW w:w="5910" w:type="dxa"/>
            <w:tblInd w:w="775" w:type="dxa"/>
            <w:tblLayout w:type="fixed"/>
            <w:tblLook w:val="0400" w:firstRow="0" w:lastRow="0" w:firstColumn="0" w:lastColumn="0" w:noHBand="0" w:noVBand="1"/>
          </w:tblPr>
          <w:tblGrid>
            <w:gridCol w:w="2595"/>
            <w:gridCol w:w="3315"/>
          </w:tblGrid>
          <w:tr w:rsidR="00470BB5">
            <w:trPr>
              <w:trHeight w:val="144"/>
            </w:trPr>
            <w:tc>
              <w:tcPr>
                <w:tcW w:w="2595" w:type="dxa"/>
                <w:tcBorders>
                  <w:top w:val="nil"/>
                  <w:left w:val="nil"/>
                  <w:bottom w:val="nil"/>
                  <w:right w:val="nil"/>
                </w:tcBorders>
              </w:tcPr>
              <w:p w:rsidR="00470BB5" w:rsidRDefault="007649AE">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15" w:type="dxa"/>
                <w:tcBorders>
                  <w:top w:val="nil"/>
                  <w:left w:val="nil"/>
                  <w:bottom w:val="nil"/>
                  <w:right w:val="nil"/>
                </w:tcBorders>
              </w:tcPr>
              <w:p w:rsidR="008A1A48" w:rsidRDefault="007649AE">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00963/INFOEM/IP/RR/2024 </w:t>
                </w:r>
              </w:p>
              <w:p w:rsidR="00470BB5" w:rsidRDefault="007649AE">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y Acumulado</w:t>
                </w:r>
              </w:p>
            </w:tc>
          </w:tr>
          <w:tr w:rsidR="00470BB5">
            <w:trPr>
              <w:trHeight w:val="144"/>
            </w:trPr>
            <w:tc>
              <w:tcPr>
                <w:tcW w:w="2595" w:type="dxa"/>
                <w:tcBorders>
                  <w:top w:val="nil"/>
                  <w:left w:val="nil"/>
                  <w:bottom w:val="nil"/>
                  <w:right w:val="nil"/>
                </w:tcBorders>
              </w:tcPr>
              <w:p w:rsidR="00470BB5" w:rsidRDefault="007649A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315" w:type="dxa"/>
                <w:tcBorders>
                  <w:top w:val="nil"/>
                  <w:left w:val="nil"/>
                  <w:bottom w:val="nil"/>
                  <w:right w:val="nil"/>
                </w:tcBorders>
              </w:tcPr>
              <w:p w:rsidR="00470BB5" w:rsidRDefault="00470BB5">
                <w:pPr>
                  <w:tabs>
                    <w:tab w:val="left" w:pos="3122"/>
                    <w:tab w:val="right" w:pos="8838"/>
                  </w:tabs>
                  <w:ind w:left="-74" w:right="-1416"/>
                  <w:rPr>
                    <w:rFonts w:ascii="Palatino Linotype" w:eastAsia="Palatino Linotype" w:hAnsi="Palatino Linotype" w:cs="Palatino Linotype"/>
                    <w:sz w:val="22"/>
                    <w:szCs w:val="22"/>
                  </w:rPr>
                </w:pPr>
              </w:p>
            </w:tc>
          </w:tr>
          <w:tr w:rsidR="00470BB5">
            <w:trPr>
              <w:trHeight w:val="283"/>
            </w:trPr>
            <w:tc>
              <w:tcPr>
                <w:tcW w:w="2595" w:type="dxa"/>
                <w:tcBorders>
                  <w:top w:val="nil"/>
                  <w:left w:val="nil"/>
                  <w:bottom w:val="nil"/>
                  <w:right w:val="nil"/>
                </w:tcBorders>
              </w:tcPr>
              <w:p w:rsidR="00470BB5" w:rsidRDefault="007649A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15" w:type="dxa"/>
                <w:tcBorders>
                  <w:top w:val="nil"/>
                  <w:left w:val="nil"/>
                  <w:bottom w:val="nil"/>
                  <w:right w:val="nil"/>
                </w:tcBorders>
              </w:tcPr>
              <w:p w:rsidR="00470BB5" w:rsidRDefault="007649AE">
                <w:pPr>
                  <w:tabs>
                    <w:tab w:val="left" w:pos="2834"/>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Huehuetoca</w:t>
                </w:r>
              </w:p>
            </w:tc>
          </w:tr>
          <w:tr w:rsidR="00470BB5">
            <w:trPr>
              <w:trHeight w:val="283"/>
            </w:trPr>
            <w:tc>
              <w:tcPr>
                <w:tcW w:w="2595" w:type="dxa"/>
                <w:tcBorders>
                  <w:top w:val="nil"/>
                  <w:left w:val="nil"/>
                  <w:bottom w:val="nil"/>
                  <w:right w:val="nil"/>
                </w:tcBorders>
              </w:tcPr>
              <w:p w:rsidR="00470BB5" w:rsidRDefault="007649A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15" w:type="dxa"/>
                <w:tcBorders>
                  <w:top w:val="nil"/>
                  <w:left w:val="nil"/>
                  <w:bottom w:val="nil"/>
                  <w:right w:val="nil"/>
                </w:tcBorders>
              </w:tcPr>
              <w:p w:rsidR="00470BB5" w:rsidRDefault="007649AE">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470BB5" w:rsidRDefault="00470BB5">
                <w:pPr>
                  <w:tabs>
                    <w:tab w:val="right" w:pos="8838"/>
                  </w:tabs>
                  <w:ind w:left="-74" w:right="-1416"/>
                  <w:rPr>
                    <w:rFonts w:ascii="Palatino Linotype" w:eastAsia="Palatino Linotype" w:hAnsi="Palatino Linotype" w:cs="Palatino Linotype"/>
                    <w:b/>
                    <w:sz w:val="22"/>
                    <w:szCs w:val="22"/>
                  </w:rPr>
                </w:pPr>
              </w:p>
            </w:tc>
          </w:tr>
        </w:tbl>
        <w:p w:rsidR="00470BB5" w:rsidRDefault="00470BB5">
          <w:pPr>
            <w:tabs>
              <w:tab w:val="right" w:pos="8838"/>
            </w:tabs>
            <w:ind w:left="-28"/>
            <w:jc w:val="both"/>
            <w:rPr>
              <w:rFonts w:ascii="Arial" w:eastAsia="Arial" w:hAnsi="Arial" w:cs="Arial"/>
              <w:b/>
            </w:rPr>
          </w:pPr>
        </w:p>
      </w:tc>
    </w:tr>
  </w:tbl>
  <w:p w:rsidR="00470BB5" w:rsidRDefault="003B6259">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B5" w:rsidRDefault="00470BB5">
    <w:pPr>
      <w:widowControl w:val="0"/>
      <w:pBdr>
        <w:top w:val="nil"/>
        <w:left w:val="nil"/>
        <w:bottom w:val="nil"/>
        <w:right w:val="nil"/>
        <w:between w:val="nil"/>
      </w:pBdr>
      <w:spacing w:line="276" w:lineRule="auto"/>
      <w:rPr>
        <w:color w:val="000000"/>
        <w:sz w:val="14"/>
        <w:szCs w:val="14"/>
      </w:rPr>
    </w:pPr>
  </w:p>
  <w:tbl>
    <w:tblPr>
      <w:tblStyle w:val="a3"/>
      <w:tblW w:w="9072" w:type="dxa"/>
      <w:tblInd w:w="0" w:type="dxa"/>
      <w:tblLayout w:type="fixed"/>
      <w:tblLook w:val="0400" w:firstRow="0" w:lastRow="0" w:firstColumn="0" w:lastColumn="0" w:noHBand="0" w:noVBand="1"/>
    </w:tblPr>
    <w:tblGrid>
      <w:gridCol w:w="2268"/>
      <w:gridCol w:w="6804"/>
    </w:tblGrid>
    <w:tr w:rsidR="00470BB5">
      <w:trPr>
        <w:trHeight w:val="1435"/>
      </w:trPr>
      <w:tc>
        <w:tcPr>
          <w:tcW w:w="2268" w:type="dxa"/>
        </w:tcPr>
        <w:p w:rsidR="00470BB5" w:rsidRDefault="00470BB5">
          <w:pPr>
            <w:tabs>
              <w:tab w:val="right" w:pos="4273"/>
            </w:tabs>
            <w:rPr>
              <w:rFonts w:ascii="Garamond" w:eastAsia="Garamond" w:hAnsi="Garamond" w:cs="Garamond"/>
            </w:rPr>
          </w:pPr>
        </w:p>
      </w:tc>
      <w:tc>
        <w:tcPr>
          <w:tcW w:w="6804" w:type="dxa"/>
        </w:tcPr>
        <w:p w:rsidR="00470BB5" w:rsidRDefault="00470BB5">
          <w:pPr>
            <w:widowControl w:val="0"/>
            <w:pBdr>
              <w:top w:val="nil"/>
              <w:left w:val="nil"/>
              <w:bottom w:val="nil"/>
              <w:right w:val="nil"/>
              <w:between w:val="nil"/>
            </w:pBdr>
            <w:spacing w:line="276" w:lineRule="auto"/>
            <w:rPr>
              <w:rFonts w:ascii="Garamond" w:eastAsia="Garamond" w:hAnsi="Garamond" w:cs="Garamond"/>
            </w:rPr>
          </w:pPr>
        </w:p>
        <w:tbl>
          <w:tblPr>
            <w:tblStyle w:val="a4"/>
            <w:tblW w:w="5806" w:type="dxa"/>
            <w:tblInd w:w="775" w:type="dxa"/>
            <w:tblLayout w:type="fixed"/>
            <w:tblLook w:val="0400" w:firstRow="0" w:lastRow="0" w:firstColumn="0" w:lastColumn="0" w:noHBand="0" w:noVBand="1"/>
          </w:tblPr>
          <w:tblGrid>
            <w:gridCol w:w="2546"/>
            <w:gridCol w:w="3260"/>
          </w:tblGrid>
          <w:tr w:rsidR="00470BB5">
            <w:trPr>
              <w:trHeight w:val="144"/>
            </w:trPr>
            <w:tc>
              <w:tcPr>
                <w:tcW w:w="2546" w:type="dxa"/>
                <w:tcBorders>
                  <w:top w:val="nil"/>
                  <w:left w:val="nil"/>
                  <w:bottom w:val="nil"/>
                  <w:right w:val="nil"/>
                </w:tcBorders>
              </w:tcPr>
              <w:p w:rsidR="00470BB5" w:rsidRDefault="007649AE">
                <w:pPr>
                  <w:tabs>
                    <w:tab w:val="right" w:pos="7217"/>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tcBorders>
                  <w:top w:val="nil"/>
                  <w:left w:val="nil"/>
                  <w:bottom w:val="nil"/>
                  <w:right w:val="nil"/>
                </w:tcBorders>
              </w:tcPr>
              <w:p w:rsidR="008A1A48" w:rsidRDefault="007649AE">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00963/INFOEM/IP/RR/2024 </w:t>
                </w:r>
              </w:p>
              <w:p w:rsidR="00470BB5" w:rsidRDefault="007649AE">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y Acumulado</w:t>
                </w:r>
              </w:p>
            </w:tc>
          </w:tr>
          <w:tr w:rsidR="00470BB5">
            <w:trPr>
              <w:trHeight w:val="144"/>
            </w:trPr>
            <w:tc>
              <w:tcPr>
                <w:tcW w:w="2546" w:type="dxa"/>
                <w:tcBorders>
                  <w:top w:val="nil"/>
                  <w:left w:val="nil"/>
                  <w:bottom w:val="nil"/>
                  <w:right w:val="nil"/>
                </w:tcBorders>
              </w:tcPr>
              <w:p w:rsidR="00470BB5" w:rsidRDefault="007649AE">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260" w:type="dxa"/>
                <w:tcBorders>
                  <w:top w:val="nil"/>
                  <w:left w:val="nil"/>
                  <w:bottom w:val="nil"/>
                  <w:right w:val="nil"/>
                </w:tcBorders>
              </w:tcPr>
              <w:p w:rsidR="00470BB5" w:rsidRDefault="00470BB5">
                <w:pPr>
                  <w:tabs>
                    <w:tab w:val="left" w:pos="3122"/>
                  </w:tabs>
                  <w:ind w:left="-74" w:right="-1663"/>
                  <w:rPr>
                    <w:rFonts w:ascii="Palatino Linotype" w:eastAsia="Palatino Linotype" w:hAnsi="Palatino Linotype" w:cs="Palatino Linotype"/>
                    <w:sz w:val="22"/>
                    <w:szCs w:val="22"/>
                  </w:rPr>
                </w:pPr>
              </w:p>
            </w:tc>
          </w:tr>
          <w:tr w:rsidR="00470BB5">
            <w:trPr>
              <w:trHeight w:val="283"/>
            </w:trPr>
            <w:tc>
              <w:tcPr>
                <w:tcW w:w="2546" w:type="dxa"/>
                <w:tcBorders>
                  <w:top w:val="nil"/>
                  <w:left w:val="nil"/>
                  <w:bottom w:val="nil"/>
                  <w:right w:val="nil"/>
                </w:tcBorders>
              </w:tcPr>
              <w:p w:rsidR="00470BB5" w:rsidRDefault="007649AE">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0" w:type="dxa"/>
                <w:tcBorders>
                  <w:top w:val="nil"/>
                  <w:left w:val="nil"/>
                  <w:bottom w:val="nil"/>
                  <w:right w:val="nil"/>
                </w:tcBorders>
              </w:tcPr>
              <w:p w:rsidR="00470BB5" w:rsidRDefault="007649AE">
                <w:pPr>
                  <w:tabs>
                    <w:tab w:val="left" w:pos="2834"/>
                  </w:tabs>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Huehuetoca</w:t>
                </w:r>
              </w:p>
            </w:tc>
          </w:tr>
          <w:tr w:rsidR="00470BB5">
            <w:trPr>
              <w:trHeight w:val="283"/>
            </w:trPr>
            <w:tc>
              <w:tcPr>
                <w:tcW w:w="2546" w:type="dxa"/>
                <w:tcBorders>
                  <w:top w:val="nil"/>
                  <w:left w:val="nil"/>
                  <w:bottom w:val="nil"/>
                  <w:right w:val="nil"/>
                </w:tcBorders>
              </w:tcPr>
              <w:p w:rsidR="00470BB5" w:rsidRDefault="007649AE">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0" w:type="dxa"/>
                <w:tcBorders>
                  <w:top w:val="nil"/>
                  <w:left w:val="nil"/>
                  <w:bottom w:val="nil"/>
                  <w:right w:val="nil"/>
                </w:tcBorders>
              </w:tcPr>
              <w:p w:rsidR="00470BB5" w:rsidRDefault="007649AE">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470BB5" w:rsidRDefault="00470BB5">
                <w:pPr>
                  <w:ind w:left="-74" w:right="-1663"/>
                  <w:rPr>
                    <w:rFonts w:ascii="Palatino Linotype" w:eastAsia="Palatino Linotype" w:hAnsi="Palatino Linotype" w:cs="Palatino Linotype"/>
                    <w:b/>
                    <w:sz w:val="22"/>
                    <w:szCs w:val="22"/>
                  </w:rPr>
                </w:pPr>
              </w:p>
            </w:tc>
          </w:tr>
        </w:tbl>
        <w:p w:rsidR="00470BB5" w:rsidRDefault="00470BB5">
          <w:pPr>
            <w:tabs>
              <w:tab w:val="right" w:pos="8838"/>
            </w:tabs>
            <w:ind w:left="-28"/>
            <w:jc w:val="both"/>
            <w:rPr>
              <w:rFonts w:ascii="Arial" w:eastAsia="Arial" w:hAnsi="Arial" w:cs="Arial"/>
              <w:b/>
            </w:rPr>
          </w:pPr>
        </w:p>
      </w:tc>
    </w:tr>
  </w:tbl>
  <w:p w:rsidR="00470BB5" w:rsidRDefault="003B6259">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6AD1"/>
    <w:multiLevelType w:val="multilevel"/>
    <w:tmpl w:val="54E42CE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86316C"/>
    <w:multiLevelType w:val="multilevel"/>
    <w:tmpl w:val="5F2C8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2501F9"/>
    <w:multiLevelType w:val="multilevel"/>
    <w:tmpl w:val="CA886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6875C4"/>
    <w:multiLevelType w:val="multilevel"/>
    <w:tmpl w:val="6C50AE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1F605E"/>
    <w:multiLevelType w:val="multilevel"/>
    <w:tmpl w:val="93107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F81089"/>
    <w:multiLevelType w:val="multilevel"/>
    <w:tmpl w:val="28720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0CB6CC0"/>
    <w:multiLevelType w:val="multilevel"/>
    <w:tmpl w:val="BBEC02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247679E"/>
    <w:multiLevelType w:val="multilevel"/>
    <w:tmpl w:val="E126F5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nsid w:val="438B5F32"/>
    <w:multiLevelType w:val="multilevel"/>
    <w:tmpl w:val="A82E6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7E43159"/>
    <w:multiLevelType w:val="multilevel"/>
    <w:tmpl w:val="C85C02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5A58316E"/>
    <w:multiLevelType w:val="multilevel"/>
    <w:tmpl w:val="F252B5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5B5186D"/>
    <w:multiLevelType w:val="multilevel"/>
    <w:tmpl w:val="8EE21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78367AB"/>
    <w:multiLevelType w:val="multilevel"/>
    <w:tmpl w:val="AD2E3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8BD6309"/>
    <w:multiLevelType w:val="multilevel"/>
    <w:tmpl w:val="18E8BD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7"/>
  </w:num>
  <w:num w:numId="4">
    <w:abstractNumId w:val="4"/>
  </w:num>
  <w:num w:numId="5">
    <w:abstractNumId w:val="5"/>
  </w:num>
  <w:num w:numId="6">
    <w:abstractNumId w:val="10"/>
  </w:num>
  <w:num w:numId="7">
    <w:abstractNumId w:val="2"/>
  </w:num>
  <w:num w:numId="8">
    <w:abstractNumId w:val="14"/>
  </w:num>
  <w:num w:numId="9">
    <w:abstractNumId w:val="12"/>
  </w:num>
  <w:num w:numId="10">
    <w:abstractNumId w:val="0"/>
  </w:num>
  <w:num w:numId="11">
    <w:abstractNumId w:val="1"/>
  </w:num>
  <w:num w:numId="12">
    <w:abstractNumId w:val="8"/>
  </w:num>
  <w:num w:numId="13">
    <w:abstractNumId w:val="1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B5"/>
    <w:rsid w:val="00330A56"/>
    <w:rsid w:val="003B18A4"/>
    <w:rsid w:val="003B6259"/>
    <w:rsid w:val="00470BB5"/>
    <w:rsid w:val="0062764B"/>
    <w:rsid w:val="007649AE"/>
    <w:rsid w:val="008A1536"/>
    <w:rsid w:val="008A1A48"/>
    <w:rsid w:val="00BA0C4F"/>
    <w:rsid w:val="00CE0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65B33A2-CD1A-4F2B-A82E-6C89A9E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4596D"/>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semiHidden/>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locked/>
    <w:rsid w:val="00170967"/>
    <w:rPr>
      <w:rFonts w:ascii="Times New Roman" w:eastAsia="Times New Roman" w:hAnsi="Times New Roman" w:cs="Times New Roman"/>
      <w:sz w:val="24"/>
      <w:szCs w:val="24"/>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A5B76"/>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A5B76"/>
    <w:rPr>
      <w:rFonts w:asciiTheme="minorHAnsi" w:eastAsiaTheme="minorHAnsi" w:hAnsiTheme="minorHAnsi" w:cstheme="minorBidi"/>
      <w:sz w:val="20"/>
      <w:szCs w:val="20"/>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A5B76"/>
    <w:rPr>
      <w:sz w:val="20"/>
      <w:szCs w:val="20"/>
      <w:lang w:val="es-ES"/>
    </w:rPr>
  </w:style>
  <w:style w:type="character" w:customStyle="1" w:styleId="normaltextrun">
    <w:name w:val="normaltextrun"/>
    <w:basedOn w:val="Fuentedeprrafopredeter"/>
    <w:rsid w:val="00DA5B76"/>
  </w:style>
  <w:style w:type="paragraph" w:styleId="NormalWeb">
    <w:name w:val="Normal (Web)"/>
    <w:basedOn w:val="Normal"/>
    <w:uiPriority w:val="99"/>
    <w:unhideWhenUsed/>
    <w:rsid w:val="00DA5B76"/>
    <w:pPr>
      <w:spacing w:before="100" w:beforeAutospacing="1" w:after="100" w:afterAutospacing="1"/>
    </w:pPr>
  </w:style>
  <w:style w:type="table" w:styleId="Tablaconcuadrcula">
    <w:name w:val="Table Grid"/>
    <w:basedOn w:val="Tablanormal"/>
    <w:uiPriority w:val="39"/>
    <w:rsid w:val="0090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3">
    <w:name w:val="Grid Table 4 Accent 3"/>
    <w:basedOn w:val="Tablanormal"/>
    <w:uiPriority w:val="49"/>
    <w:rsid w:val="00905EC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8F4116"/>
    <w:pPr>
      <w:spacing w:before="100" w:beforeAutospacing="1" w:after="100" w:afterAutospacing="1"/>
    </w:pPr>
  </w:style>
  <w:style w:type="character" w:customStyle="1" w:styleId="Ttulo3Car">
    <w:name w:val="Título 3 Car"/>
    <w:basedOn w:val="Fuentedeprrafopredeter"/>
    <w:link w:val="Ttulo3"/>
    <w:uiPriority w:val="9"/>
    <w:rsid w:val="00C4596D"/>
    <w:rPr>
      <w:rFonts w:asciiTheme="majorHAnsi" w:eastAsiaTheme="majorEastAsia" w:hAnsiTheme="majorHAnsi" w:cstheme="majorBidi"/>
      <w:color w:val="1F4D78" w:themeColor="accent1" w:themeShade="7F"/>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2003115.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egislacion.edomex.gob.mx/sites/legislacion.edomex.gob.mx/files/files/pdf/ley/vig/leyvig083.pdf" TargetMode="External"/><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8RFLfjPrkwNOYvOo4Ux+yR9rA==">CgMxLjAyCGguZ2pkZ3hzMgloLjMwajB6bGwyCWguMWZvYjl0ZTIJaC4zem55c2g3MgloLjJldDkycDAyCGgudHlqY3d0MgloLjNkeTZ2a20yCWguMjZpbjFyZzIJaC4zNW5rdW4yMgloLjFrc3Y0dXYyCWguNDRzaW5pbzIJaC4xdDNoNXNmMgloLjJzOGV5bzEyCWguMXQzaDVzZjgAciExb204WTVhQmZlQm5qSUhGdmRkQlBqdno5bEk1NXBXQTk=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64</Pages>
  <Words>15126</Words>
  <Characters>83199</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USUARIO</cp:lastModifiedBy>
  <cp:revision>5</cp:revision>
  <cp:lastPrinted>2024-10-07T17:45:00Z</cp:lastPrinted>
  <dcterms:created xsi:type="dcterms:W3CDTF">2024-09-30T17:40:00Z</dcterms:created>
  <dcterms:modified xsi:type="dcterms:W3CDTF">2024-10-07T17:45:00Z</dcterms:modified>
</cp:coreProperties>
</file>