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36" w:rsidRDefault="00DF0936">
      <w:pPr>
        <w:widowControl w:val="0"/>
        <w:pBdr>
          <w:top w:val="nil"/>
          <w:left w:val="nil"/>
          <w:bottom w:val="nil"/>
          <w:right w:val="nil"/>
          <w:between w:val="nil"/>
        </w:pBdr>
        <w:spacing w:line="276" w:lineRule="auto"/>
      </w:pPr>
      <w:bookmarkStart w:id="0" w:name="_GoBack"/>
      <w:bookmarkEnd w:id="0"/>
    </w:p>
    <w:p w:rsidR="00DF0936" w:rsidRDefault="00DF0936">
      <w:pPr>
        <w:widowControl w:val="0"/>
        <w:pBdr>
          <w:top w:val="nil"/>
          <w:left w:val="nil"/>
          <w:bottom w:val="nil"/>
          <w:right w:val="nil"/>
          <w:between w:val="nil"/>
        </w:pBdr>
        <w:spacing w:line="276" w:lineRule="auto"/>
      </w:pPr>
    </w:p>
    <w:p w:rsidR="00DF0936" w:rsidRDefault="00F46011">
      <w:pPr>
        <w:spacing w:before="240" w:after="240" w:line="360" w:lineRule="auto"/>
        <w:ind w:right="-734"/>
        <w:jc w:val="both"/>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veinticinco (25) de septiembre de dos mil veinticuatro.</w:t>
      </w:r>
    </w:p>
    <w:p w:rsidR="00DF0936" w:rsidRDefault="00F46011">
      <w:pPr>
        <w:spacing w:before="240" w:after="360"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05118/INFOEM/IP/RR/2024,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una persona que no proporcionó nombre o datos de identificación, </w:t>
      </w:r>
      <w:r>
        <w:rPr>
          <w:rFonts w:ascii="Palatino Linotype" w:eastAsia="Palatino Linotype" w:hAnsi="Palatino Linotype" w:cs="Palatino Linotype"/>
        </w:rPr>
        <w:t xml:space="preserve">en su calidad de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Tultepec,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se procede a dictar la presente resolución, con base en los siguientes:</w:t>
      </w:r>
    </w:p>
    <w:p w:rsidR="00DF0936" w:rsidRDefault="00F46011">
      <w:pPr>
        <w:keepNext/>
        <w:keepLines/>
        <w:pBdr>
          <w:top w:val="nil"/>
          <w:left w:val="nil"/>
          <w:bottom w:val="nil"/>
          <w:right w:val="nil"/>
          <w:between w:val="nil"/>
        </w:pBdr>
        <w:spacing w:before="240" w:line="360" w:lineRule="auto"/>
        <w:ind w:right="-734"/>
        <w:jc w:val="center"/>
        <w:rPr>
          <w:rFonts w:ascii="Palatino Linotype" w:eastAsia="Palatino Linotype" w:hAnsi="Palatino Linotype" w:cs="Palatino Linotype"/>
          <w:b/>
          <w:color w:val="000000"/>
        </w:rPr>
      </w:pPr>
      <w:bookmarkStart w:id="1" w:name="_heading=h.gjdgxs" w:colFirst="0" w:colLast="0"/>
      <w:bookmarkEnd w:id="1"/>
      <w:r>
        <w:rPr>
          <w:rFonts w:ascii="Palatino Linotype" w:eastAsia="Palatino Linotype" w:hAnsi="Palatino Linotype" w:cs="Palatino Linotype"/>
          <w:b/>
          <w:color w:val="000000"/>
        </w:rPr>
        <w:t>A N T E C E D E N T E S</w:t>
      </w:r>
    </w:p>
    <w:p w:rsidR="00DF0936" w:rsidRDefault="00F46011">
      <w:pPr>
        <w:numPr>
          <w:ilvl w:val="0"/>
          <w:numId w:val="2"/>
        </w:numPr>
        <w:pBdr>
          <w:top w:val="nil"/>
          <w:left w:val="nil"/>
          <w:bottom w:val="nil"/>
          <w:right w:val="nil"/>
          <w:between w:val="nil"/>
        </w:pBdr>
        <w:tabs>
          <w:tab w:val="left" w:pos="284"/>
        </w:tabs>
        <w:spacing w:before="240" w:after="240" w:line="360" w:lineRule="auto"/>
        <w:ind w:left="0" w:right="-734" w:firstLine="0"/>
        <w:jc w:val="both"/>
        <w:rPr>
          <w:color w:val="000000"/>
        </w:rPr>
      </w:pPr>
      <w:r>
        <w:rPr>
          <w:rFonts w:ascii="Palatino Linotype" w:eastAsia="Palatino Linotype" w:hAnsi="Palatino Linotype" w:cs="Palatino Linotype"/>
          <w:color w:val="000000"/>
        </w:rPr>
        <w:t>El veintitrés de agosto de dos mil veinticuatro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Sistema de Acceso a la Información Mexiquense </w:t>
      </w:r>
      <w:r>
        <w:rPr>
          <w:rFonts w:ascii="Palatino Linotype" w:eastAsia="Palatino Linotype" w:hAnsi="Palatino Linotype" w:cs="Palatino Linotype"/>
          <w:b/>
          <w:i/>
          <w:color w:val="000000"/>
        </w:rPr>
        <w:t>SAIMEX</w:t>
      </w:r>
      <w:r>
        <w:rPr>
          <w:rFonts w:ascii="Palatino Linotype" w:eastAsia="Palatino Linotype" w:hAnsi="Palatino Linotype" w:cs="Palatino Linotype"/>
          <w:color w:val="000000"/>
        </w:rPr>
        <w:t xml:space="preserve">, la solicitud de información pública registrada con el número </w:t>
      </w:r>
      <w:r>
        <w:rPr>
          <w:rFonts w:ascii="Palatino Linotype" w:eastAsia="Palatino Linotype" w:hAnsi="Palatino Linotype" w:cs="Palatino Linotype"/>
          <w:b/>
          <w:color w:val="000000"/>
        </w:rPr>
        <w:t xml:space="preserve">00107/TULTEPEC/IP/2024, </w:t>
      </w:r>
      <w:r>
        <w:rPr>
          <w:rFonts w:ascii="Palatino Linotype" w:eastAsia="Palatino Linotype" w:hAnsi="Palatino Linotype" w:cs="Palatino Linotype"/>
          <w:color w:val="000000"/>
        </w:rPr>
        <w:t>en la que solicitó:</w:t>
      </w:r>
    </w:p>
    <w:p w:rsidR="00DF0936" w:rsidRDefault="00F46011">
      <w:pPr>
        <w:ind w:left="720" w:right="-734" w:firstLine="720"/>
        <w:jc w:val="both"/>
        <w:rPr>
          <w:rFonts w:ascii="Palatino Linotype" w:eastAsia="Palatino Linotype" w:hAnsi="Palatino Linotype" w:cs="Palatino Linotype"/>
          <w:i/>
        </w:rPr>
      </w:pPr>
      <w:r>
        <w:rPr>
          <w:rFonts w:ascii="Palatino Linotype" w:eastAsia="Palatino Linotype" w:hAnsi="Palatino Linotype" w:cs="Palatino Linotype"/>
          <w:i/>
        </w:rPr>
        <w:t>“</w:t>
      </w:r>
      <w:proofErr w:type="spellStart"/>
      <w:r>
        <w:rPr>
          <w:rFonts w:ascii="Palatino Linotype" w:eastAsia="Palatino Linotype" w:hAnsi="Palatino Linotype" w:cs="Palatino Linotype"/>
          <w:i/>
        </w:rPr>
        <w:t>Cual</w:t>
      </w:r>
      <w:proofErr w:type="spellEnd"/>
      <w:r>
        <w:rPr>
          <w:rFonts w:ascii="Palatino Linotype" w:eastAsia="Palatino Linotype" w:hAnsi="Palatino Linotype" w:cs="Palatino Linotype"/>
          <w:i/>
        </w:rPr>
        <w:t xml:space="preserve"> es el marco </w:t>
      </w:r>
      <w:proofErr w:type="spellStart"/>
      <w:r>
        <w:rPr>
          <w:rFonts w:ascii="Palatino Linotype" w:eastAsia="Palatino Linotype" w:hAnsi="Palatino Linotype" w:cs="Palatino Linotype"/>
          <w:i/>
        </w:rPr>
        <w:t>juridico</w:t>
      </w:r>
      <w:proofErr w:type="spellEnd"/>
      <w:r>
        <w:rPr>
          <w:rFonts w:ascii="Palatino Linotype" w:eastAsia="Palatino Linotype" w:hAnsi="Palatino Linotype" w:cs="Palatino Linotype"/>
          <w:i/>
        </w:rPr>
        <w:t xml:space="preserve"> de la </w:t>
      </w:r>
      <w:proofErr w:type="spellStart"/>
      <w:r>
        <w:rPr>
          <w:rFonts w:ascii="Palatino Linotype" w:eastAsia="Palatino Linotype" w:hAnsi="Palatino Linotype" w:cs="Palatino Linotype"/>
          <w:i/>
        </w:rPr>
        <w:t>planeacion</w:t>
      </w:r>
      <w:proofErr w:type="spellEnd"/>
      <w:r>
        <w:rPr>
          <w:rFonts w:ascii="Palatino Linotype" w:eastAsia="Palatino Linotype" w:hAnsi="Palatino Linotype" w:cs="Palatino Linotype"/>
          <w:i/>
        </w:rPr>
        <w:t xml:space="preserve"> municipal</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 xml:space="preserve"> (Sic)</w:t>
      </w:r>
    </w:p>
    <w:p w:rsidR="00DF0936" w:rsidRDefault="00DF0936">
      <w:pPr>
        <w:ind w:right="-734"/>
        <w:jc w:val="both"/>
        <w:rPr>
          <w:rFonts w:ascii="Palatino Linotype" w:eastAsia="Palatino Linotype" w:hAnsi="Palatino Linotype" w:cs="Palatino Linotype"/>
          <w:b/>
          <w:i/>
        </w:rPr>
      </w:pPr>
    </w:p>
    <w:p w:rsidR="00DF0936" w:rsidRDefault="00F46011">
      <w:pPr>
        <w:numPr>
          <w:ilvl w:val="0"/>
          <w:numId w:val="2"/>
        </w:numPr>
        <w:pBdr>
          <w:top w:val="nil"/>
          <w:left w:val="nil"/>
          <w:bottom w:val="nil"/>
          <w:right w:val="nil"/>
          <w:between w:val="nil"/>
        </w:pBdr>
        <w:tabs>
          <w:tab w:val="left" w:pos="284"/>
        </w:tabs>
        <w:spacing w:before="240" w:line="360" w:lineRule="auto"/>
        <w:ind w:left="0" w:right="-734" w:firstLine="0"/>
        <w:jc w:val="both"/>
        <w:rPr>
          <w:color w:val="000000"/>
        </w:rPr>
      </w:pPr>
      <w:r>
        <w:rPr>
          <w:rFonts w:ascii="Palatino Linotype" w:eastAsia="Palatino Linotype" w:hAnsi="Palatino Linotype" w:cs="Palatino Linotype"/>
          <w:color w:val="000000"/>
        </w:rPr>
        <w:t>Se señaló como modalidad de entrega a través de SAIMEX.</w:t>
      </w:r>
    </w:p>
    <w:p w:rsidR="00DF0936" w:rsidRDefault="00DF0936">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t>De las constancias que obran en el expediente electrónico SAIMEX, se advierte que el Sujeto Obligado emitió respuesta en fecha veintitrés de agosto de dos mil veinticuatro en los términos siguientes:</w:t>
      </w:r>
    </w:p>
    <w:p w:rsidR="00DF0936" w:rsidRDefault="00DF0936">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rPr>
      </w:pPr>
    </w:p>
    <w:tbl>
      <w:tblPr>
        <w:tblStyle w:val="a9"/>
        <w:tblW w:w="10500" w:type="dxa"/>
        <w:jc w:val="center"/>
        <w:tblInd w:w="0" w:type="dxa"/>
        <w:tblLayout w:type="fixed"/>
        <w:tblLook w:val="0400" w:firstRow="0" w:lastRow="0" w:firstColumn="0" w:lastColumn="0" w:noHBand="0" w:noVBand="1"/>
      </w:tblPr>
      <w:tblGrid>
        <w:gridCol w:w="10500"/>
      </w:tblGrid>
      <w:tr w:rsidR="00DF0936">
        <w:trPr>
          <w:trHeight w:val="300"/>
          <w:jc w:val="center"/>
        </w:trPr>
        <w:tc>
          <w:tcPr>
            <w:tcW w:w="10500" w:type="dxa"/>
            <w:vAlign w:val="center"/>
          </w:tcPr>
          <w:p w:rsidR="00DF0936" w:rsidRDefault="00F46011">
            <w:pPr>
              <w:ind w:left="1418" w:right="-734"/>
              <w:jc w:val="right"/>
              <w:rPr>
                <w:rFonts w:ascii="Palatino Linotype" w:eastAsia="Palatino Linotype" w:hAnsi="Palatino Linotype" w:cs="Palatino Linotype"/>
                <w:i/>
              </w:rPr>
            </w:pPr>
            <w:r>
              <w:rPr>
                <w:rFonts w:ascii="Palatino Linotype" w:eastAsia="Palatino Linotype" w:hAnsi="Palatino Linotype" w:cs="Palatino Linotype"/>
                <w:i/>
              </w:rPr>
              <w:lastRenderedPageBreak/>
              <w:t>Tultepec, México a 23 de Agosto de 2024</w:t>
            </w:r>
          </w:p>
        </w:tc>
      </w:tr>
      <w:tr w:rsidR="00DF0936">
        <w:trPr>
          <w:trHeight w:val="300"/>
          <w:jc w:val="center"/>
        </w:trPr>
        <w:tc>
          <w:tcPr>
            <w:tcW w:w="10500" w:type="dxa"/>
            <w:vAlign w:val="center"/>
          </w:tcPr>
          <w:p w:rsidR="00DF0936" w:rsidRDefault="00F46011">
            <w:pPr>
              <w:ind w:left="1418" w:right="480"/>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DF0936">
        <w:trPr>
          <w:trHeight w:val="300"/>
          <w:jc w:val="center"/>
        </w:trPr>
        <w:tc>
          <w:tcPr>
            <w:tcW w:w="10500" w:type="dxa"/>
            <w:vAlign w:val="center"/>
          </w:tcPr>
          <w:p w:rsidR="00DF0936" w:rsidRDefault="00F46011">
            <w:pPr>
              <w:ind w:left="1418" w:right="480"/>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00107/TULTEPEC/IP/2024</w:t>
            </w:r>
          </w:p>
        </w:tc>
      </w:tr>
      <w:tr w:rsidR="00DF0936">
        <w:trPr>
          <w:trHeight w:val="450"/>
          <w:jc w:val="center"/>
        </w:trPr>
        <w:tc>
          <w:tcPr>
            <w:tcW w:w="10500" w:type="dxa"/>
            <w:vAlign w:val="center"/>
          </w:tcPr>
          <w:p w:rsidR="00DF0936" w:rsidRDefault="00DF0936">
            <w:pPr>
              <w:ind w:left="1418" w:right="480"/>
              <w:jc w:val="right"/>
              <w:rPr>
                <w:rFonts w:ascii="Palatino Linotype" w:eastAsia="Palatino Linotype" w:hAnsi="Palatino Linotype" w:cs="Palatino Linotype"/>
                <w:i/>
                <w:sz w:val="22"/>
                <w:szCs w:val="22"/>
              </w:rPr>
            </w:pPr>
          </w:p>
        </w:tc>
      </w:tr>
      <w:tr w:rsidR="00DF0936">
        <w:trPr>
          <w:trHeight w:val="150"/>
          <w:jc w:val="center"/>
        </w:trPr>
        <w:tc>
          <w:tcPr>
            <w:tcW w:w="10500" w:type="dxa"/>
            <w:vAlign w:val="center"/>
          </w:tcPr>
          <w:p w:rsidR="00DF0936" w:rsidRDefault="00DF0936">
            <w:pPr>
              <w:ind w:right="480"/>
              <w:rPr>
                <w:rFonts w:ascii="Palatino Linotype" w:eastAsia="Palatino Linotype" w:hAnsi="Palatino Linotype" w:cs="Palatino Linotype"/>
                <w:i/>
                <w:sz w:val="22"/>
                <w:szCs w:val="22"/>
              </w:rPr>
            </w:pPr>
          </w:p>
        </w:tc>
      </w:tr>
      <w:tr w:rsidR="00DF0936">
        <w:trPr>
          <w:trHeight w:val="375"/>
          <w:jc w:val="center"/>
        </w:trPr>
        <w:tc>
          <w:tcPr>
            <w:tcW w:w="10500" w:type="dxa"/>
            <w:vAlign w:val="center"/>
          </w:tcPr>
          <w:p w:rsidR="00DF0936" w:rsidRDefault="00DF0936">
            <w:pPr>
              <w:ind w:left="1418" w:right="480"/>
              <w:rPr>
                <w:rFonts w:ascii="Palatino Linotype" w:eastAsia="Palatino Linotype" w:hAnsi="Palatino Linotype" w:cs="Palatino Linotype"/>
                <w:i/>
                <w:sz w:val="22"/>
                <w:szCs w:val="22"/>
              </w:rPr>
            </w:pPr>
          </w:p>
        </w:tc>
      </w:tr>
      <w:tr w:rsidR="00DF0936">
        <w:trPr>
          <w:trHeight w:val="150"/>
          <w:jc w:val="center"/>
        </w:trPr>
        <w:tc>
          <w:tcPr>
            <w:tcW w:w="10500" w:type="dxa"/>
            <w:vAlign w:val="center"/>
          </w:tcPr>
          <w:p w:rsidR="00DF0936" w:rsidRDefault="00F46011">
            <w:pPr>
              <w:ind w:left="1418" w:right="48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quien corresponda: Por medio del presente reciba un cordial saludo; con fundamento en el artículo 53, Fracciones: I, II, y IV de la Ley de Transparencia y Acceso a la Información Pública del Estado de México y Municipios. Por medio de la presente y con la finalidad de garantizar su derecho de acceso a la información pública y cubrir satisfactoriamente su solicitud ingresada bajo el número de folio 00107/TULTEPEC/IP/2024; le informo que puede la planeación del Municipio es atreves del Plan de Desarrollo Municipal 2022-2024 que se puede consultar en siguiente hipervínculo https</w:t>
            </w:r>
            <w:proofErr w:type="gramStart"/>
            <w:r>
              <w:rPr>
                <w:rFonts w:ascii="Palatino Linotype" w:eastAsia="Palatino Linotype" w:hAnsi="Palatino Linotype" w:cs="Palatino Linotype"/>
                <w:i/>
                <w:sz w:val="22"/>
                <w:szCs w:val="22"/>
              </w:rPr>
              <w:t>:/</w:t>
            </w:r>
            <w:proofErr w:type="gramEnd"/>
            <w:r>
              <w:rPr>
                <w:rFonts w:ascii="Palatino Linotype" w:eastAsia="Palatino Linotype" w:hAnsi="Palatino Linotype" w:cs="Palatino Linotype"/>
                <w:i/>
                <w:sz w:val="22"/>
                <w:szCs w:val="22"/>
              </w:rPr>
              <w:t>/tultepec.gob.mx/uploads/PLAN-DE-DESARROLLO-TULTEPEC.pdf, Sin más por el momento, quedo de Usted. Atentamente el Titular de la Unidad de Transparencia del Ayuntamiento de Tultepec.</w:t>
            </w:r>
          </w:p>
        </w:tc>
      </w:tr>
      <w:tr w:rsidR="00DF0936">
        <w:trPr>
          <w:trHeight w:val="375"/>
          <w:jc w:val="center"/>
        </w:trPr>
        <w:tc>
          <w:tcPr>
            <w:tcW w:w="10500" w:type="dxa"/>
            <w:vAlign w:val="center"/>
          </w:tcPr>
          <w:p w:rsidR="00DF0936" w:rsidRDefault="00DF0936">
            <w:pPr>
              <w:ind w:left="1418" w:right="480"/>
              <w:rPr>
                <w:rFonts w:ascii="Palatino Linotype" w:eastAsia="Palatino Linotype" w:hAnsi="Palatino Linotype" w:cs="Palatino Linotype"/>
                <w:i/>
                <w:sz w:val="22"/>
                <w:szCs w:val="22"/>
              </w:rPr>
            </w:pPr>
          </w:p>
        </w:tc>
      </w:tr>
      <w:tr w:rsidR="00DF0936">
        <w:trPr>
          <w:trHeight w:val="150"/>
          <w:jc w:val="center"/>
        </w:trPr>
        <w:tc>
          <w:tcPr>
            <w:tcW w:w="10500" w:type="dxa"/>
            <w:vAlign w:val="center"/>
          </w:tcPr>
          <w:p w:rsidR="00DF0936" w:rsidRDefault="00DF0936">
            <w:pPr>
              <w:ind w:left="1418" w:right="480"/>
              <w:jc w:val="center"/>
              <w:rPr>
                <w:rFonts w:ascii="Palatino Linotype" w:eastAsia="Palatino Linotype" w:hAnsi="Palatino Linotype" w:cs="Palatino Linotype"/>
                <w:i/>
                <w:sz w:val="22"/>
                <w:szCs w:val="22"/>
              </w:rPr>
            </w:pPr>
          </w:p>
        </w:tc>
      </w:tr>
      <w:tr w:rsidR="00DF0936">
        <w:trPr>
          <w:trHeight w:val="150"/>
          <w:jc w:val="center"/>
        </w:trPr>
        <w:tc>
          <w:tcPr>
            <w:tcW w:w="10500" w:type="dxa"/>
            <w:vAlign w:val="center"/>
          </w:tcPr>
          <w:p w:rsidR="00DF0936" w:rsidRDefault="00DF0936">
            <w:pPr>
              <w:ind w:left="1418" w:right="480"/>
              <w:rPr>
                <w:rFonts w:ascii="Palatino Linotype" w:eastAsia="Palatino Linotype" w:hAnsi="Palatino Linotype" w:cs="Palatino Linotype"/>
                <w:i/>
                <w:sz w:val="22"/>
                <w:szCs w:val="22"/>
              </w:rPr>
            </w:pPr>
          </w:p>
        </w:tc>
      </w:tr>
      <w:tr w:rsidR="00DF0936">
        <w:trPr>
          <w:trHeight w:val="150"/>
          <w:jc w:val="center"/>
        </w:trPr>
        <w:tc>
          <w:tcPr>
            <w:tcW w:w="10500" w:type="dxa"/>
            <w:vAlign w:val="center"/>
          </w:tcPr>
          <w:p w:rsidR="00DF0936" w:rsidRDefault="00F46011">
            <w:pPr>
              <w:ind w:left="1418" w:right="480"/>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DF0936">
        <w:trPr>
          <w:trHeight w:val="225"/>
          <w:jc w:val="center"/>
        </w:trPr>
        <w:tc>
          <w:tcPr>
            <w:tcW w:w="10500" w:type="dxa"/>
            <w:vAlign w:val="center"/>
          </w:tcPr>
          <w:p w:rsidR="00DF0936" w:rsidRDefault="00DF0936">
            <w:pPr>
              <w:ind w:left="1418" w:right="480"/>
              <w:rPr>
                <w:rFonts w:ascii="Palatino Linotype" w:eastAsia="Palatino Linotype" w:hAnsi="Palatino Linotype" w:cs="Palatino Linotype"/>
                <w:i/>
                <w:sz w:val="22"/>
                <w:szCs w:val="22"/>
              </w:rPr>
            </w:pPr>
          </w:p>
        </w:tc>
      </w:tr>
      <w:tr w:rsidR="00DF0936">
        <w:trPr>
          <w:trHeight w:val="150"/>
          <w:jc w:val="center"/>
        </w:trPr>
        <w:tc>
          <w:tcPr>
            <w:tcW w:w="10500" w:type="dxa"/>
            <w:vAlign w:val="center"/>
          </w:tcPr>
          <w:p w:rsidR="00DF0936" w:rsidRDefault="00F46011">
            <w:pPr>
              <w:ind w:left="1418" w:right="480"/>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LUIS FERNANDO HURTADO ADUNA</w:t>
            </w:r>
          </w:p>
        </w:tc>
      </w:tr>
    </w:tbl>
    <w:p w:rsidR="00DF0936" w:rsidRDefault="00DF0936">
      <w:pPr>
        <w:pBdr>
          <w:top w:val="nil"/>
          <w:left w:val="nil"/>
          <w:bottom w:val="nil"/>
          <w:right w:val="nil"/>
          <w:between w:val="nil"/>
        </w:pBdr>
        <w:tabs>
          <w:tab w:val="left" w:pos="284"/>
        </w:tabs>
        <w:spacing w:line="360" w:lineRule="auto"/>
        <w:ind w:left="708" w:right="-734"/>
        <w:jc w:val="both"/>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tabs>
          <w:tab w:val="left" w:pos="284"/>
        </w:tabs>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Derivado de la respuesta, el veinticuatro de agosto de dos mil veinticuatro, el particular interpuso  recurso de revisión señalando:</w:t>
      </w:r>
    </w:p>
    <w:p w:rsidR="00DF0936" w:rsidRDefault="00F46011">
      <w:pPr>
        <w:numPr>
          <w:ilvl w:val="0"/>
          <w:numId w:val="1"/>
        </w:numPr>
        <w:pBdr>
          <w:top w:val="nil"/>
          <w:left w:val="nil"/>
          <w:bottom w:val="nil"/>
          <w:right w:val="nil"/>
          <w:between w:val="nil"/>
        </w:pBdr>
        <w:tabs>
          <w:tab w:val="left" w:pos="426"/>
          <w:tab w:val="left" w:pos="993"/>
        </w:tabs>
        <w:spacing w:line="360" w:lineRule="auto"/>
        <w:ind w:right="115"/>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i/>
          <w:color w:val="000000"/>
          <w:sz w:val="22"/>
          <w:szCs w:val="22"/>
        </w:rPr>
        <w:t>: “la respuesta dada no fue la solicitada” (Sic).</w:t>
      </w:r>
    </w:p>
    <w:p w:rsidR="00DF0936" w:rsidRDefault="00F46011">
      <w:pPr>
        <w:numPr>
          <w:ilvl w:val="0"/>
          <w:numId w:val="1"/>
        </w:numPr>
        <w:pBdr>
          <w:top w:val="nil"/>
          <w:left w:val="nil"/>
          <w:bottom w:val="nil"/>
          <w:right w:val="nil"/>
          <w:between w:val="nil"/>
        </w:pBdr>
        <w:tabs>
          <w:tab w:val="left" w:pos="426"/>
          <w:tab w:val="left" w:pos="993"/>
        </w:tabs>
        <w:spacing w:line="360" w:lineRule="auto"/>
        <w:ind w:right="11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“se le solicito el marco </w:t>
      </w:r>
      <w:proofErr w:type="spellStart"/>
      <w:r>
        <w:rPr>
          <w:rFonts w:ascii="Palatino Linotype" w:eastAsia="Palatino Linotype" w:hAnsi="Palatino Linotype" w:cs="Palatino Linotype"/>
          <w:i/>
          <w:color w:val="000000"/>
          <w:sz w:val="22"/>
          <w:szCs w:val="22"/>
        </w:rPr>
        <w:t>juridico</w:t>
      </w:r>
      <w:proofErr w:type="spellEnd"/>
      <w:r>
        <w:rPr>
          <w:rFonts w:ascii="Palatino Linotype" w:eastAsia="Palatino Linotype" w:hAnsi="Palatino Linotype" w:cs="Palatino Linotype"/>
          <w:i/>
          <w:color w:val="000000"/>
          <w:sz w:val="22"/>
          <w:szCs w:val="22"/>
        </w:rPr>
        <w:t xml:space="preserve"> de la </w:t>
      </w:r>
      <w:proofErr w:type="spellStart"/>
      <w:r>
        <w:rPr>
          <w:rFonts w:ascii="Palatino Linotype" w:eastAsia="Palatino Linotype" w:hAnsi="Palatino Linotype" w:cs="Palatino Linotype"/>
          <w:i/>
          <w:color w:val="000000"/>
          <w:sz w:val="22"/>
          <w:szCs w:val="22"/>
        </w:rPr>
        <w:t>planeacion</w:t>
      </w:r>
      <w:proofErr w:type="spellEnd"/>
      <w:r>
        <w:rPr>
          <w:rFonts w:ascii="Palatino Linotype" w:eastAsia="Palatino Linotype" w:hAnsi="Palatino Linotype" w:cs="Palatino Linotype"/>
          <w:i/>
          <w:color w:val="000000"/>
          <w:sz w:val="22"/>
          <w:szCs w:val="22"/>
        </w:rPr>
        <w:t xml:space="preserve"> municipal, no el plan de desarrollo” (Sic).</w:t>
      </w:r>
      <w:r>
        <w:rPr>
          <w:rFonts w:ascii="Palatino Linotype" w:eastAsia="Palatino Linotype" w:hAnsi="Palatino Linotype" w:cs="Palatino Linotype"/>
          <w:i/>
          <w:color w:val="000000"/>
          <w:sz w:val="22"/>
          <w:szCs w:val="22"/>
        </w:rPr>
        <w:tab/>
      </w:r>
    </w:p>
    <w:p w:rsidR="00DF0936" w:rsidRDefault="00DF0936">
      <w:pPr>
        <w:spacing w:line="276" w:lineRule="auto"/>
        <w:ind w:right="-734"/>
        <w:jc w:val="both"/>
        <w:rPr>
          <w:rFonts w:ascii="Palatino Linotype" w:eastAsia="Palatino Linotype" w:hAnsi="Palatino Linotype" w:cs="Palatino Linotype"/>
          <w:b/>
          <w:color w:val="000000"/>
        </w:rPr>
      </w:pPr>
    </w:p>
    <w:p w:rsidR="00DF0936" w:rsidRDefault="00F46011">
      <w:pPr>
        <w:numPr>
          <w:ilvl w:val="0"/>
          <w:numId w:val="2"/>
        </w:numPr>
        <w:pBdr>
          <w:top w:val="nil"/>
          <w:left w:val="nil"/>
          <w:bottom w:val="nil"/>
          <w:right w:val="nil"/>
          <w:between w:val="nil"/>
        </w:pBdr>
        <w:tabs>
          <w:tab w:val="left" w:pos="284"/>
        </w:tabs>
        <w:spacing w:before="240" w:line="360" w:lineRule="auto"/>
        <w:ind w:left="0" w:right="-734" w:firstLine="0"/>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w:t>
      </w:r>
      <w:r>
        <w:rPr>
          <w:rFonts w:ascii="Palatino Linotype" w:eastAsia="Palatino Linotype" w:hAnsi="Palatino Linotype" w:cs="Palatino Linotype"/>
          <w:b/>
          <w:color w:val="000000"/>
        </w:rPr>
        <w:lastRenderedPageBreak/>
        <w:t>Transparencia y Acceso a la Información Pública del Estado de México y Municipios</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para su análisis.</w:t>
      </w:r>
    </w:p>
    <w:p w:rsidR="00DF0936" w:rsidRDefault="00DF0936">
      <w:pPr>
        <w:pBdr>
          <w:top w:val="nil"/>
          <w:left w:val="nil"/>
          <w:bottom w:val="nil"/>
          <w:right w:val="nil"/>
          <w:between w:val="nil"/>
        </w:pBdr>
        <w:tabs>
          <w:tab w:val="left" w:pos="284"/>
        </w:tabs>
        <w:spacing w:line="360" w:lineRule="auto"/>
        <w:ind w:right="-734"/>
        <w:jc w:val="both"/>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tabs>
          <w:tab w:val="left" w:pos="284"/>
        </w:tabs>
        <w:spacing w:line="360" w:lineRule="auto"/>
        <w:ind w:left="0" w:right="-734"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veintiséis de agosto de dos mil veinticuatro, puso a disposición de las partes el expediente electrónico vía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correspondiera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 </w:t>
      </w:r>
    </w:p>
    <w:p w:rsidR="00DF0936" w:rsidRDefault="00DF0936">
      <w:pPr>
        <w:pBdr>
          <w:top w:val="nil"/>
          <w:left w:val="nil"/>
          <w:bottom w:val="nil"/>
          <w:right w:val="nil"/>
          <w:between w:val="nil"/>
        </w:pBdr>
        <w:tabs>
          <w:tab w:val="left" w:pos="284"/>
        </w:tabs>
        <w:spacing w:after="240" w:line="360" w:lineRule="auto"/>
        <w:ind w:right="-734"/>
        <w:jc w:val="both"/>
        <w:rPr>
          <w:rFonts w:ascii="Palatino Linotype" w:eastAsia="Palatino Linotype" w:hAnsi="Palatino Linotype" w:cs="Palatino Linotype"/>
          <w:color w:val="000000"/>
        </w:rPr>
      </w:pPr>
    </w:p>
    <w:p w:rsidR="00DF0936" w:rsidRDefault="00F46011">
      <w:pPr>
        <w:numPr>
          <w:ilvl w:val="0"/>
          <w:numId w:val="2"/>
        </w:numPr>
        <w:spacing w:line="360" w:lineRule="auto"/>
        <w:ind w:left="0" w:right="-734" w:firstLine="0"/>
        <w:jc w:val="both"/>
      </w:pPr>
      <w:r>
        <w:rPr>
          <w:rFonts w:ascii="Palatino Linotype" w:eastAsia="Palatino Linotype" w:hAnsi="Palatino Linotype" w:cs="Palatino Linotype"/>
        </w:rPr>
        <w:t>De lo anterior, se advierte del Sistema de Acceso a la Información Mexiquense que el SUJETO OBLIGADO fue omiso de realizar su informe justificado, mientras que EL RECURRENTE no realizó manifestaciones.</w:t>
      </w:r>
    </w:p>
    <w:p w:rsidR="00DF0936" w:rsidRDefault="00DF0936">
      <w:pPr>
        <w:pBdr>
          <w:top w:val="nil"/>
          <w:left w:val="nil"/>
          <w:bottom w:val="nil"/>
          <w:right w:val="nil"/>
          <w:between w:val="nil"/>
        </w:pBdr>
        <w:tabs>
          <w:tab w:val="left" w:pos="284"/>
        </w:tabs>
        <w:spacing w:line="360" w:lineRule="auto"/>
        <w:ind w:left="284" w:right="-734"/>
        <w:jc w:val="both"/>
        <w:rPr>
          <w:rFonts w:ascii="Palatino Linotype" w:eastAsia="Palatino Linotype" w:hAnsi="Palatino Linotype" w:cs="Palatino Linotype"/>
        </w:rPr>
      </w:pPr>
    </w:p>
    <w:p w:rsidR="00DF0936" w:rsidRDefault="00F46011">
      <w:pPr>
        <w:numPr>
          <w:ilvl w:val="0"/>
          <w:numId w:val="2"/>
        </w:numPr>
        <w:tabs>
          <w:tab w:val="left" w:pos="284"/>
        </w:tabs>
        <w:spacing w:line="360" w:lineRule="auto"/>
        <w:ind w:right="-734"/>
        <w:jc w:val="both"/>
      </w:pPr>
      <w:r>
        <w:rPr>
          <w:rFonts w:ascii="Palatino Linotype" w:eastAsia="Palatino Linotype" w:hAnsi="Palatino Linotype" w:cs="Palatino Linotype"/>
        </w:rPr>
        <w:t xml:space="preserve">El siete de septiembre de dos mil veinticuatro, el Recurrente desistió del recurso de revisión. </w:t>
      </w:r>
    </w:p>
    <w:p w:rsidR="00DF0936" w:rsidRDefault="00DF0936">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bookmarkStart w:id="2" w:name="_heading=h.30j0zll" w:colFirst="0" w:colLast="0"/>
      <w:bookmarkEnd w:id="2"/>
    </w:p>
    <w:p w:rsidR="00DF0936" w:rsidRDefault="00F46011">
      <w:pPr>
        <w:numPr>
          <w:ilvl w:val="0"/>
          <w:numId w:val="2"/>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 xml:space="preserve">La Comisionada Ponente, notificó el acuerdo de cierre de instrucción en fecha </w:t>
      </w:r>
      <w:r>
        <w:rPr>
          <w:rFonts w:ascii="Palatino Linotype" w:eastAsia="Palatino Linotype" w:hAnsi="Palatino Linotype" w:cs="Palatino Linotype"/>
        </w:rPr>
        <w:t xml:space="preserve">doce </w:t>
      </w:r>
      <w:r>
        <w:rPr>
          <w:rFonts w:ascii="Palatino Linotype" w:eastAsia="Palatino Linotype" w:hAnsi="Palatino Linotype" w:cs="Palatino Linotype"/>
          <w:color w:val="000000"/>
        </w:rPr>
        <w:t xml:space="preserve">de septiembre de dos mil veinticuatro. </w:t>
      </w:r>
    </w:p>
    <w:p w:rsidR="00DF0936" w:rsidRDefault="00DF0936">
      <w:pPr>
        <w:tabs>
          <w:tab w:val="left" w:pos="284"/>
        </w:tabs>
        <w:spacing w:line="360" w:lineRule="auto"/>
        <w:ind w:left="360" w:right="-734"/>
        <w:jc w:val="both"/>
        <w:rPr>
          <w:rFonts w:ascii="Palatino Linotype" w:eastAsia="Palatino Linotype" w:hAnsi="Palatino Linotype" w:cs="Palatino Linotype"/>
        </w:rPr>
      </w:pPr>
    </w:p>
    <w:p w:rsidR="00257EEB" w:rsidRDefault="00257EEB">
      <w:pPr>
        <w:tabs>
          <w:tab w:val="left" w:pos="284"/>
        </w:tabs>
        <w:spacing w:line="360" w:lineRule="auto"/>
        <w:ind w:left="360" w:right="-734"/>
        <w:jc w:val="both"/>
        <w:rPr>
          <w:rFonts w:ascii="Palatino Linotype" w:eastAsia="Palatino Linotype" w:hAnsi="Palatino Linotype" w:cs="Palatino Linotype"/>
        </w:rPr>
      </w:pPr>
    </w:p>
    <w:p w:rsidR="00DF0936" w:rsidRDefault="00DF0936">
      <w:pPr>
        <w:tabs>
          <w:tab w:val="left" w:pos="284"/>
        </w:tabs>
        <w:spacing w:line="360" w:lineRule="auto"/>
        <w:ind w:left="360" w:right="-734"/>
        <w:jc w:val="both"/>
        <w:rPr>
          <w:rFonts w:ascii="Palatino Linotype" w:eastAsia="Palatino Linotype" w:hAnsi="Palatino Linotype" w:cs="Palatino Linotype"/>
        </w:rPr>
      </w:pPr>
    </w:p>
    <w:p w:rsidR="00DF0936" w:rsidRDefault="00F46011">
      <w:pPr>
        <w:keepNext/>
        <w:keepLines/>
        <w:pBdr>
          <w:top w:val="nil"/>
          <w:left w:val="nil"/>
          <w:bottom w:val="nil"/>
          <w:right w:val="nil"/>
          <w:between w:val="nil"/>
        </w:pBdr>
        <w:spacing w:before="40"/>
        <w:ind w:right="-734"/>
        <w:jc w:val="center"/>
        <w:rPr>
          <w:rFonts w:ascii="Palatino Linotype" w:eastAsia="Palatino Linotype" w:hAnsi="Palatino Linotype" w:cs="Palatino Linotype"/>
          <w:b/>
          <w:color w:val="000000"/>
        </w:rPr>
      </w:pPr>
      <w:bookmarkStart w:id="3" w:name="_heading=h.1fob9te" w:colFirst="0" w:colLast="0"/>
      <w:bookmarkEnd w:id="3"/>
      <w:r>
        <w:rPr>
          <w:rFonts w:ascii="Palatino Linotype" w:eastAsia="Palatino Linotype" w:hAnsi="Palatino Linotype" w:cs="Palatino Linotype"/>
          <w:b/>
          <w:color w:val="000000"/>
        </w:rPr>
        <w:lastRenderedPageBreak/>
        <w:t>C O N S I D E R A N D O</w:t>
      </w:r>
    </w:p>
    <w:p w:rsidR="00DF0936" w:rsidRDefault="00DF0936">
      <w:pPr>
        <w:ind w:right="-734"/>
      </w:pPr>
    </w:p>
    <w:p w:rsidR="00DF0936" w:rsidRDefault="00F46011">
      <w:pPr>
        <w:keepNext/>
        <w:keepLines/>
        <w:pBdr>
          <w:top w:val="nil"/>
          <w:left w:val="nil"/>
          <w:bottom w:val="nil"/>
          <w:right w:val="nil"/>
          <w:between w:val="nil"/>
        </w:pBdr>
        <w:spacing w:before="40" w:line="360" w:lineRule="auto"/>
        <w:ind w:right="-734"/>
        <w:rPr>
          <w:rFonts w:ascii="Palatino Linotype" w:eastAsia="Palatino Linotype" w:hAnsi="Palatino Linotype" w:cs="Palatino Linotype"/>
          <w:b/>
          <w:color w:val="000000"/>
        </w:rPr>
      </w:pPr>
      <w:bookmarkStart w:id="4" w:name="_heading=h.3znysh7" w:colFirst="0" w:colLast="0"/>
      <w:bookmarkEnd w:id="4"/>
      <w:r>
        <w:rPr>
          <w:rFonts w:ascii="Palatino Linotype" w:eastAsia="Palatino Linotype" w:hAnsi="Palatino Linotype" w:cs="Palatino Linotype"/>
          <w:b/>
          <w:color w:val="000000"/>
        </w:rPr>
        <w:t>PRIMERO. De la competencia</w:t>
      </w:r>
    </w:p>
    <w:p w:rsidR="00DF0936" w:rsidRDefault="00F46011">
      <w:pPr>
        <w:numPr>
          <w:ilvl w:val="0"/>
          <w:numId w:val="2"/>
        </w:numPr>
        <w:spacing w:line="360" w:lineRule="auto"/>
        <w:ind w:left="0" w:right="-734" w:firstLine="0"/>
        <w:jc w:val="both"/>
      </w:pPr>
      <w:r>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DF0936" w:rsidRDefault="00DF0936">
      <w:pPr>
        <w:pBdr>
          <w:top w:val="nil"/>
          <w:left w:val="nil"/>
          <w:bottom w:val="nil"/>
          <w:right w:val="nil"/>
          <w:between w:val="nil"/>
        </w:pBdr>
        <w:tabs>
          <w:tab w:val="left" w:pos="284"/>
          <w:tab w:val="left" w:pos="426"/>
        </w:tabs>
        <w:spacing w:line="360" w:lineRule="auto"/>
        <w:ind w:right="-734"/>
        <w:jc w:val="both"/>
        <w:rPr>
          <w:rFonts w:ascii="Palatino Linotype" w:eastAsia="Palatino Linotype" w:hAnsi="Palatino Linotype" w:cs="Palatino Linotype"/>
          <w:b/>
          <w:color w:val="000000"/>
        </w:rPr>
      </w:pPr>
    </w:p>
    <w:p w:rsidR="00DF0936" w:rsidRDefault="00F46011">
      <w:pPr>
        <w:keepNext/>
        <w:keepLines/>
        <w:pBdr>
          <w:top w:val="nil"/>
          <w:left w:val="nil"/>
          <w:bottom w:val="nil"/>
          <w:right w:val="nil"/>
          <w:between w:val="nil"/>
        </w:pBdr>
        <w:tabs>
          <w:tab w:val="left" w:pos="284"/>
          <w:tab w:val="left" w:pos="426"/>
        </w:tabs>
        <w:spacing w:before="40" w:line="360" w:lineRule="auto"/>
        <w:ind w:right="-734"/>
        <w:rPr>
          <w:rFonts w:ascii="Palatino Linotype" w:eastAsia="Palatino Linotype" w:hAnsi="Palatino Linotype" w:cs="Palatino Linotype"/>
          <w:b/>
          <w:color w:val="000000"/>
        </w:rPr>
      </w:pPr>
      <w:bookmarkStart w:id="5" w:name="_heading=h.2et92p0" w:colFirst="0" w:colLast="0"/>
      <w:bookmarkEnd w:id="5"/>
      <w:r>
        <w:rPr>
          <w:rFonts w:ascii="Palatino Linotype" w:eastAsia="Palatino Linotype" w:hAnsi="Palatino Linotype" w:cs="Palatino Linotype"/>
          <w:b/>
          <w:color w:val="000000"/>
        </w:rPr>
        <w:t>SEGUNDO. De la oportunidad y procedencia.</w:t>
      </w:r>
    </w:p>
    <w:p w:rsidR="00DF0936" w:rsidRDefault="00F46011">
      <w:pPr>
        <w:numPr>
          <w:ilvl w:val="0"/>
          <w:numId w:val="2"/>
        </w:numPr>
        <w:spacing w:line="360" w:lineRule="auto"/>
        <w:ind w:left="0" w:right="-734" w:firstLine="0"/>
        <w:jc w:val="both"/>
      </w:pPr>
      <w:bookmarkStart w:id="6" w:name="_heading=h.tyjcwt" w:colFirst="0" w:colLast="0"/>
      <w:bookmarkEnd w:id="6"/>
      <w:r>
        <w:rPr>
          <w:rFonts w:ascii="Palatino Linotype" w:eastAsia="Palatino Linotype" w:hAnsi="Palatino Linotype" w:cs="Palatino Linotype"/>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DF0936" w:rsidRDefault="00F46011">
      <w:pPr>
        <w:numPr>
          <w:ilvl w:val="0"/>
          <w:numId w:val="2"/>
        </w:numPr>
        <w:spacing w:line="360" w:lineRule="auto"/>
        <w:ind w:left="0" w:right="-734" w:firstLine="0"/>
        <w:jc w:val="both"/>
      </w:pPr>
      <w:r>
        <w:rPr>
          <w:rFonts w:ascii="Palatino Linotype" w:eastAsia="Palatino Linotype" w:hAnsi="Palatino Linotype" w:cs="Palatino Linotype"/>
        </w:rPr>
        <w:t xml:space="preserve">En el presente caso, no se actualiza ninguna de las causales de improcedencia establecidas en el ordenamiento jurídico previamente señalado, en sus fracciones I, II, de la </w:t>
      </w:r>
      <w:r>
        <w:rPr>
          <w:rFonts w:ascii="Palatino Linotype" w:eastAsia="Palatino Linotype" w:hAnsi="Palatino Linotype" w:cs="Palatino Linotype"/>
        </w:rPr>
        <w:lastRenderedPageBreak/>
        <w:t>IV a la VII, toda vez que: este Instituto no tiene conocimiento de que se haya presentado el Recurso de manera extemporánea; se encuentre en trámite algún medio de defensa presentado por el Recurrente ante otra instancia; no existió prevención alguna; la veracidad de la respuesta no formó parte del agravio; ni se realizó una consulta o trámite mediante el pedimento de información, o bien, que el Solicitante haya ampliado la solicitud.</w:t>
      </w:r>
    </w:p>
    <w:p w:rsidR="00DF0936" w:rsidRDefault="00DF0936">
      <w:pPr>
        <w:spacing w:line="360" w:lineRule="auto"/>
        <w:ind w:left="360" w:right="-734"/>
        <w:jc w:val="both"/>
        <w:rPr>
          <w:rFonts w:ascii="Palatino Linotype" w:eastAsia="Palatino Linotype" w:hAnsi="Palatino Linotype" w:cs="Palatino Linotype"/>
        </w:rPr>
      </w:pPr>
    </w:p>
    <w:p w:rsidR="00DF0936" w:rsidRDefault="00F46011">
      <w:pPr>
        <w:keepNext/>
        <w:keepLines/>
        <w:pBdr>
          <w:top w:val="nil"/>
          <w:left w:val="nil"/>
          <w:bottom w:val="nil"/>
          <w:right w:val="nil"/>
          <w:between w:val="nil"/>
        </w:pBdr>
        <w:tabs>
          <w:tab w:val="left" w:pos="284"/>
          <w:tab w:val="left" w:pos="426"/>
        </w:tabs>
        <w:spacing w:before="240" w:line="360" w:lineRule="auto"/>
        <w:ind w:right="-734"/>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TERCERO. De las causales del sobreseimiento.</w:t>
      </w:r>
    </w:p>
    <w:p w:rsidR="00DF0936" w:rsidRDefault="00F46011">
      <w:pPr>
        <w:numPr>
          <w:ilvl w:val="0"/>
          <w:numId w:val="2"/>
        </w:numPr>
        <w:pBdr>
          <w:top w:val="nil"/>
          <w:left w:val="nil"/>
          <w:bottom w:val="nil"/>
          <w:right w:val="nil"/>
          <w:between w:val="nil"/>
        </w:pBdr>
        <w:tabs>
          <w:tab w:val="left" w:pos="284"/>
          <w:tab w:val="left" w:pos="426"/>
        </w:tabs>
        <w:spacing w:before="240" w:line="360" w:lineRule="auto"/>
        <w:ind w:left="0" w:right="-734" w:firstLine="0"/>
        <w:jc w:val="both"/>
        <w:rPr>
          <w:color w:val="000000"/>
        </w:rPr>
      </w:pPr>
      <w:bookmarkStart w:id="7" w:name="_heading=h.3dy6vkm" w:colFirst="0" w:colLast="0"/>
      <w:bookmarkEnd w:id="7"/>
      <w:r>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Pr>
          <w:rFonts w:ascii="Palatino Linotype" w:eastAsia="Palatino Linotype" w:hAnsi="Palatino Linotype" w:cs="Palatino Linotype"/>
          <w:color w:val="000000"/>
        </w:rPr>
        <w:t>desechamiento</w:t>
      </w:r>
      <w:proofErr w:type="spellEnd"/>
      <w:r>
        <w:rPr>
          <w:rFonts w:ascii="Palatino Linotype" w:eastAsia="Palatino Linotype" w:hAnsi="Palatino Linotype" w:cs="Palatino Linotype"/>
          <w:color w:val="000000"/>
        </w:rPr>
        <w:t xml:space="preserve"> o </w:t>
      </w:r>
      <w:r>
        <w:rPr>
          <w:rFonts w:ascii="Palatino Linotype" w:eastAsia="Palatino Linotype" w:hAnsi="Palatino Linotype" w:cs="Palatino Linotype"/>
          <w:b/>
          <w:color w:val="000000"/>
          <w:u w:val="single"/>
        </w:rPr>
        <w:t>sobreseimiento</w:t>
      </w:r>
      <w:r>
        <w:rPr>
          <w:rFonts w:ascii="Palatino Linotype" w:eastAsia="Palatino Linotype" w:hAnsi="Palatino Linotype" w:cs="Palatino Linotype"/>
          <w:color w:val="000000"/>
        </w:rPr>
        <w:t xml:space="preserve">; y, en su caso, ordenar la entrega de la información respecto a la falta de respuesta por parte del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w:t>
      </w:r>
    </w:p>
    <w:p w:rsidR="00DF0936" w:rsidRDefault="00DF0936">
      <w:pPr>
        <w:pBdr>
          <w:top w:val="nil"/>
          <w:left w:val="nil"/>
          <w:bottom w:val="nil"/>
          <w:right w:val="nil"/>
          <w:between w:val="nil"/>
        </w:pBdr>
        <w:tabs>
          <w:tab w:val="left" w:pos="284"/>
          <w:tab w:val="left" w:pos="426"/>
        </w:tabs>
        <w:spacing w:line="360" w:lineRule="auto"/>
        <w:ind w:right="-734"/>
        <w:jc w:val="both"/>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tabs>
          <w:tab w:val="left" w:pos="284"/>
          <w:tab w:val="left" w:pos="426"/>
        </w:tabs>
        <w:spacing w:line="360" w:lineRule="auto"/>
        <w:ind w:left="0" w:right="-734" w:firstLine="0"/>
        <w:jc w:val="both"/>
        <w:rPr>
          <w:color w:val="000000"/>
        </w:rPr>
      </w:pPr>
      <w:r>
        <w:rPr>
          <w:rFonts w:ascii="Palatino Linotype" w:eastAsia="Palatino Linotype" w:hAnsi="Palatino Linotype" w:cs="Palatino Linotype"/>
          <w:color w:val="000000"/>
        </w:rPr>
        <w:t xml:space="preserve">Asimismo, es de señalar que para actualizar el sobreseimiento de un recurso de revisión,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puede entregar o completar la información al momento de rendir su informe justificado o, dentro de los siete días previstos para manifestar lo que a su derecho convenga, ofrecer pruebas y alegatos; como se refiriera en párrafos anteriores.</w:t>
      </w:r>
    </w:p>
    <w:p w:rsidR="00DF0936" w:rsidRDefault="00DF0936">
      <w:pPr>
        <w:pBdr>
          <w:top w:val="nil"/>
          <w:left w:val="nil"/>
          <w:bottom w:val="nil"/>
          <w:right w:val="nil"/>
          <w:between w:val="nil"/>
        </w:pBdr>
        <w:ind w:right="-734"/>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tabs>
          <w:tab w:val="left" w:pos="0"/>
          <w:tab w:val="left" w:pos="284"/>
        </w:tabs>
        <w:spacing w:after="240" w:line="360" w:lineRule="auto"/>
        <w:ind w:left="0" w:right="-734" w:firstLine="0"/>
        <w:jc w:val="both"/>
        <w:rPr>
          <w:color w:val="000000"/>
        </w:rPr>
      </w:pPr>
      <w:bookmarkStart w:id="8" w:name="_heading=h.1t3h5sf" w:colFirst="0" w:colLast="0"/>
      <w:bookmarkEnd w:id="8"/>
      <w:r>
        <w:rPr>
          <w:rFonts w:ascii="Palatino Linotype" w:eastAsia="Palatino Linotype" w:hAnsi="Palatino Linotype" w:cs="Palatino Linotype"/>
          <w:color w:val="000000"/>
        </w:rPr>
        <w:t xml:space="preserve">Cabe destacar que el motivo de inconformidad del RECURRENTE, actualiza la causal de procedencia contenida en la fracción VI, del artículo 179, de la Ley de Transparencia y Acceso a la Información Pública del Estado de México y Municipios, por lo que este Órgano Garante estaría en la posibilidad de analizar  el presente asunto; sin embargo, será </w:t>
      </w:r>
      <w:r>
        <w:rPr>
          <w:rFonts w:ascii="Palatino Linotype" w:eastAsia="Palatino Linotype" w:hAnsi="Palatino Linotype" w:cs="Palatino Linotype"/>
        </w:rPr>
        <w:lastRenderedPageBreak/>
        <w:t>eminentemente</w:t>
      </w:r>
      <w:r>
        <w:rPr>
          <w:rFonts w:ascii="Palatino Linotype" w:eastAsia="Palatino Linotype" w:hAnsi="Palatino Linotype" w:cs="Palatino Linotype"/>
          <w:color w:val="000000"/>
        </w:rPr>
        <w:t xml:space="preserve"> excusado el ingreso al estudio y análisis de la controversia en consecuencia de que, como quedara establecido, el particular, por propio derecho, </w:t>
      </w:r>
      <w:r>
        <w:rPr>
          <w:rFonts w:ascii="Palatino Linotype" w:eastAsia="Palatino Linotype" w:hAnsi="Palatino Linotype" w:cs="Palatino Linotype"/>
          <w:b/>
          <w:color w:val="000000"/>
        </w:rPr>
        <w:t>se desistió del recurso de revisión</w:t>
      </w:r>
      <w:r>
        <w:rPr>
          <w:rFonts w:ascii="Palatino Linotype" w:eastAsia="Palatino Linotype" w:hAnsi="Palatino Linotype" w:cs="Palatino Linotype"/>
          <w:color w:val="000000"/>
        </w:rPr>
        <w:t xml:space="preserve"> que nos ocupa, vía SAIMEX, el diecinueve de julio</w:t>
      </w:r>
      <w:r>
        <w:rPr>
          <w:rFonts w:ascii="Century Gothic" w:eastAsia="Century Gothic" w:hAnsi="Century Gothic" w:cs="Century Gothic"/>
          <w:color w:val="000000"/>
        </w:rPr>
        <w:t xml:space="preserve"> </w:t>
      </w:r>
      <w:r>
        <w:rPr>
          <w:rFonts w:ascii="Palatino Linotype" w:eastAsia="Palatino Linotype" w:hAnsi="Palatino Linotype" w:cs="Palatino Linotype"/>
          <w:color w:val="000000"/>
        </w:rPr>
        <w:t>de dos mil veinticuatro, como se ilustra a continuación:</w:t>
      </w:r>
    </w:p>
    <w:p w:rsidR="00DF0936" w:rsidRDefault="00F46011">
      <w:pPr>
        <w:pBdr>
          <w:top w:val="nil"/>
          <w:left w:val="nil"/>
          <w:bottom w:val="nil"/>
          <w:right w:val="nil"/>
          <w:between w:val="nil"/>
        </w:pBdr>
        <w:tabs>
          <w:tab w:val="left" w:pos="0"/>
          <w:tab w:val="left" w:pos="284"/>
        </w:tabs>
        <w:spacing w:before="240" w:line="360" w:lineRule="auto"/>
        <w:ind w:left="360" w:right="-734"/>
        <w:jc w:val="both"/>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extent cx="5740739" cy="2306215"/>
            <wp:effectExtent l="0" t="0" r="0" b="0"/>
            <wp:docPr id="8242313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4215" t="39316" r="24591" b="24120"/>
                    <a:stretch>
                      <a:fillRect/>
                    </a:stretch>
                  </pic:blipFill>
                  <pic:spPr>
                    <a:xfrm>
                      <a:off x="0" y="0"/>
                      <a:ext cx="5740739" cy="2306215"/>
                    </a:xfrm>
                    <a:prstGeom prst="rect">
                      <a:avLst/>
                    </a:prstGeom>
                    <a:ln/>
                  </pic:spPr>
                </pic:pic>
              </a:graphicData>
            </a:graphic>
          </wp:inline>
        </w:drawing>
      </w:r>
      <w:r>
        <w:rPr>
          <w:rFonts w:ascii="Palatino Linotype" w:eastAsia="Palatino Linotype" w:hAnsi="Palatino Linotype" w:cs="Palatino Linotype"/>
          <w:color w:val="000000"/>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330200</wp:posOffset>
                </wp:positionH>
                <wp:positionV relativeFrom="paragraph">
                  <wp:posOffset>1765300</wp:posOffset>
                </wp:positionV>
                <wp:extent cx="5537200" cy="323850"/>
                <wp:effectExtent l="0" t="0" r="0" b="0"/>
                <wp:wrapNone/>
                <wp:docPr id="824231383" name="Rectángulo redondeado 824231383"/>
                <wp:cNvGraphicFramePr/>
                <a:graphic xmlns:a="http://schemas.openxmlformats.org/drawingml/2006/main">
                  <a:graphicData uri="http://schemas.microsoft.com/office/word/2010/wordprocessingShape">
                    <wps:wsp>
                      <wps:cNvSpPr/>
                      <wps:spPr>
                        <a:xfrm>
                          <a:off x="2618675" y="3659350"/>
                          <a:ext cx="5454650" cy="241300"/>
                        </a:xfrm>
                        <a:prstGeom prst="roundRect">
                          <a:avLst>
                            <a:gd name="adj" fmla="val 16667"/>
                          </a:avLst>
                        </a:prstGeom>
                        <a:noFill/>
                        <a:ln w="41275" cap="flat" cmpd="sng">
                          <a:solidFill>
                            <a:srgbClr val="FF0000"/>
                          </a:solidFill>
                          <a:prstDash val="solid"/>
                          <a:miter lim="800000"/>
                          <a:headEnd type="none" w="sm" len="sm"/>
                          <a:tailEnd type="none" w="sm" len="sm"/>
                        </a:ln>
                      </wps:spPr>
                      <wps:txbx>
                        <w:txbxContent>
                          <w:p w:rsidR="00DF0936" w:rsidRDefault="00DF0936">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1765300</wp:posOffset>
                </wp:positionV>
                <wp:extent cx="5537200" cy="323850"/>
                <wp:effectExtent b="0" l="0" r="0" t="0"/>
                <wp:wrapNone/>
                <wp:docPr id="82423138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537200" cy="323850"/>
                        </a:xfrm>
                        <a:prstGeom prst="rect"/>
                        <a:ln/>
                      </pic:spPr>
                    </pic:pic>
                  </a:graphicData>
                </a:graphic>
              </wp:anchor>
            </w:drawing>
          </mc:Fallback>
        </mc:AlternateContent>
      </w:r>
    </w:p>
    <w:p w:rsidR="00DF0936" w:rsidRDefault="00DF0936">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spacing w:after="240" w:line="360" w:lineRule="auto"/>
        <w:ind w:left="0" w:right="-734" w:firstLine="0"/>
        <w:jc w:val="both"/>
        <w:rPr>
          <w:color w:val="000000"/>
        </w:rPr>
      </w:pPr>
      <w:r>
        <w:rPr>
          <w:rFonts w:ascii="Palatino Linotype" w:eastAsia="Palatino Linotype" w:hAnsi="Palatino Linotype" w:cs="Palatino Linotype"/>
          <w:color w:val="000000"/>
        </w:rPr>
        <w:t xml:space="preserve">De la imagen, se advierte que efectivamente el particular hizo uso de la opción </w:t>
      </w:r>
      <w:r>
        <w:rPr>
          <w:rFonts w:ascii="Palatino Linotype" w:eastAsia="Palatino Linotype" w:hAnsi="Palatino Linotype" w:cs="Palatino Linotype"/>
          <w:b/>
          <w:i/>
          <w:color w:val="000000"/>
        </w:rPr>
        <w:t>“Desistir”</w:t>
      </w:r>
      <w:r>
        <w:rPr>
          <w:rFonts w:ascii="Palatino Linotype" w:eastAsia="Palatino Linotype" w:hAnsi="Palatino Linotype" w:cs="Palatino Linotype"/>
          <w:color w:val="000000"/>
        </w:rPr>
        <w:t xml:space="preserve"> al recurso de revisión en el propio </w:t>
      </w:r>
      <w:r>
        <w:rPr>
          <w:rFonts w:ascii="Palatino Linotype" w:eastAsia="Palatino Linotype" w:hAnsi="Palatino Linotype" w:cs="Palatino Linotype"/>
          <w:i/>
          <w:color w:val="000000"/>
        </w:rPr>
        <w:t>SAIMEX</w:t>
      </w:r>
      <w:r>
        <w:rPr>
          <w:rFonts w:ascii="Palatino Linotype" w:eastAsia="Palatino Linotype" w:hAnsi="Palatino Linotype" w:cs="Palatino Linotype"/>
          <w:color w:val="000000"/>
        </w:rPr>
        <w:t xml:space="preserve">, opción que </w:t>
      </w:r>
      <w:r>
        <w:rPr>
          <w:rFonts w:ascii="Palatino Linotype" w:eastAsia="Palatino Linotype" w:hAnsi="Palatino Linotype" w:cs="Palatino Linotype"/>
          <w:b/>
          <w:color w:val="000000"/>
          <w:u w:val="single"/>
        </w:rPr>
        <w:t>ÚNICAMENTE</w:t>
      </w:r>
      <w:r>
        <w:rPr>
          <w:rFonts w:ascii="Palatino Linotype" w:eastAsia="Palatino Linotype" w:hAnsi="Palatino Linotype" w:cs="Palatino Linotype"/>
          <w:color w:val="000000"/>
        </w:rPr>
        <w:t xml:space="preserve"> puede hacer uso el usuario dueño de la cuenta, previo ingreso de su nombre de usuario y contraseña; así las cosas, cabe resaltar de igual manera que, al seleccionar la opción de </w:t>
      </w:r>
      <w:r>
        <w:rPr>
          <w:rFonts w:ascii="Palatino Linotype" w:eastAsia="Palatino Linotype" w:hAnsi="Palatino Linotype" w:cs="Palatino Linotype"/>
          <w:b/>
          <w:color w:val="000000"/>
        </w:rPr>
        <w:t>desistimiento</w:t>
      </w:r>
      <w:r>
        <w:rPr>
          <w:rFonts w:ascii="Palatino Linotype" w:eastAsia="Palatino Linotype" w:hAnsi="Palatino Linotype" w:cs="Palatino Linotype"/>
          <w:color w:val="000000"/>
        </w:rPr>
        <w:t xml:space="preserve">, aparece al usuario una ventana de alerta con el objeto de que confirme que efectivamente es su deseo </w:t>
      </w:r>
      <w:r>
        <w:rPr>
          <w:rFonts w:ascii="Palatino Linotype" w:eastAsia="Palatino Linotype" w:hAnsi="Palatino Linotype" w:cs="Palatino Linotype"/>
          <w:b/>
          <w:color w:val="000000"/>
        </w:rPr>
        <w:t>desistirse</w:t>
      </w:r>
      <w:r>
        <w:rPr>
          <w:rFonts w:ascii="Palatino Linotype" w:eastAsia="Palatino Linotype" w:hAnsi="Palatino Linotype" w:cs="Palatino Linotype"/>
          <w:color w:val="000000"/>
        </w:rPr>
        <w:t xml:space="preserve"> del recurso; </w:t>
      </w:r>
      <w:r>
        <w:rPr>
          <w:rFonts w:ascii="Palatino Linotype" w:eastAsia="Palatino Linotype" w:hAnsi="Palatino Linotype" w:cs="Palatino Linotype"/>
          <w:b/>
          <w:color w:val="000000"/>
        </w:rPr>
        <w:t>luego entonces no es hacedero suponer que fue por error involuntario, lo que se constituye como un desistimiento expreso</w:t>
      </w:r>
      <w:r>
        <w:rPr>
          <w:rFonts w:ascii="Palatino Linotype" w:eastAsia="Palatino Linotype" w:hAnsi="Palatino Linotype" w:cs="Palatino Linotype"/>
          <w:color w:val="000000"/>
        </w:rPr>
        <w:t>.</w:t>
      </w:r>
    </w:p>
    <w:p w:rsidR="00DF0936" w:rsidRDefault="00DF0936">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 xml:space="preserve">En ese orden de ideas el </w:t>
      </w:r>
      <w:r>
        <w:rPr>
          <w:rFonts w:ascii="Palatino Linotype" w:eastAsia="Palatino Linotype" w:hAnsi="Palatino Linotype" w:cs="Palatino Linotype"/>
        </w:rPr>
        <w:t>artículo</w:t>
      </w:r>
      <w:r>
        <w:rPr>
          <w:rFonts w:ascii="Palatino Linotype" w:eastAsia="Palatino Linotype" w:hAnsi="Palatino Linotype" w:cs="Palatino Linotype"/>
          <w:color w:val="000000"/>
        </w:rPr>
        <w:t xml:space="preserve"> 192</w:t>
      </w:r>
      <w:r>
        <w:rPr>
          <w:rFonts w:ascii="Century Gothic" w:eastAsia="Century Gothic" w:hAnsi="Century Gothic" w:cs="Century Gothic"/>
          <w:color w:val="000000"/>
        </w:rPr>
        <w:t xml:space="preserve"> </w:t>
      </w:r>
      <w:r>
        <w:rPr>
          <w:rFonts w:ascii="Palatino Linotype" w:eastAsia="Palatino Linotype" w:hAnsi="Palatino Linotype" w:cs="Palatino Linotype"/>
          <w:color w:val="000000"/>
        </w:rPr>
        <w:t>Ley de Transparencia y Acceso a la Información Pública del Estado de México y Municipios, establece lo siguiente:</w:t>
      </w:r>
    </w:p>
    <w:p w:rsidR="00DF0936" w:rsidRDefault="00F46011">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Artículo 192.</w:t>
      </w:r>
      <w:r>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rsidR="00DF0936" w:rsidRDefault="00F46011">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El recurrente se desista expresamente del recurso;</w:t>
      </w:r>
    </w:p>
    <w:p w:rsidR="00DF0936" w:rsidRDefault="00F46011">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DF0936" w:rsidRDefault="00DF0936">
      <w:pPr>
        <w:pBdr>
          <w:top w:val="nil"/>
          <w:left w:val="nil"/>
          <w:bottom w:val="nil"/>
          <w:right w:val="nil"/>
          <w:between w:val="nil"/>
        </w:pBdr>
        <w:spacing w:line="360" w:lineRule="auto"/>
        <w:ind w:left="426" w:right="-734"/>
        <w:jc w:val="both"/>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tabs>
          <w:tab w:val="left" w:pos="426"/>
        </w:tabs>
        <w:spacing w:after="240" w:line="360" w:lineRule="auto"/>
        <w:ind w:left="0" w:right="-734" w:firstLine="0"/>
        <w:jc w:val="both"/>
        <w:rPr>
          <w:color w:val="000000"/>
        </w:rPr>
      </w:pPr>
      <w:r>
        <w:rPr>
          <w:rFonts w:ascii="Palatino Linotype" w:eastAsia="Palatino Linotype" w:hAnsi="Palatino Linotype" w:cs="Palatino Linotype"/>
          <w:color w:val="000000"/>
        </w:rPr>
        <w:t>Robustece lo anterior la tesis aislada I.15o.T.2 K (10a.), del Décimo Quinto Tribunal Colegiado en Materia de Trabajo del Primer Circuito, misma que se anexa a continuación:</w:t>
      </w:r>
    </w:p>
    <w:p w:rsidR="00DF0936" w:rsidRDefault="00F46011">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DESISTIMIENTO DEL RECURSO DE REVISIÓN EN AMPARO INDIRECTO. ES INNECESARIO QUE SE RATIFIQUE EL ESCRITO CORRESPONDIENTE, CUANDO SU REQUERIMIENTO SE NOTIFICÓ PERSONALMENTE.</w:t>
      </w:r>
      <w:r>
        <w:rPr>
          <w:rFonts w:ascii="Palatino Linotype" w:eastAsia="Palatino Linotype" w:hAnsi="Palatino Linotype" w:cs="Palatino Linotype"/>
          <w:i/>
          <w:color w:val="000000"/>
          <w:sz w:val="22"/>
          <w:szCs w:val="22"/>
        </w:rPr>
        <w:t xml:space="preserve"> “Si el quejoso en un juicio de amparo indirecto interpone recurso de revisión contra la sentencia dictada por el Juez de Distrito y una vez que el asunto se encuentra radicado ante el Tribunal Colegiado de Circuito competente, se desiste de dicho medio de defensa, es innecesario que ratifique el escrito relativo ante el órgano revisor, siempre y cuando el requerimiento en que se solicitó su presencia a efecto de que lo ratifique, se haya notificado personalmente, pues con ello se cumplió el artículo 26, fracción I, inciso d), de la Ley de Amparo; por lo que si no acudió a ratificar el citado escrito, su voluntad de desistir del recurso interpuesto debe seguir prevaleciendo, pues sólo tiene como consecuencia la firmeza de la sentencia impugnada, máxime si se le apercibió con tenerlo por ratificado en caso de no acudir; además, esa circunstancia no soslaya el artículo 63, fracción I, de la citada ley, toda vez que esa disposición se refiere a la hipótesis en que el quejoso se desiste de la demanda de amparo, entendiéndose tal aspecto como el desistimiento de la acción que originó el juicio constitucional, lo cual conduce a decretar el sobreseimiento.”</w:t>
      </w:r>
    </w:p>
    <w:p w:rsidR="00DF0936" w:rsidRDefault="00DF0936">
      <w:pPr>
        <w:pBdr>
          <w:top w:val="nil"/>
          <w:left w:val="nil"/>
          <w:bottom w:val="nil"/>
          <w:right w:val="nil"/>
          <w:between w:val="nil"/>
        </w:pBdr>
        <w:spacing w:line="360" w:lineRule="auto"/>
        <w:ind w:left="567" w:right="-734"/>
        <w:jc w:val="both"/>
        <w:rPr>
          <w:rFonts w:ascii="Palatino Linotype" w:eastAsia="Palatino Linotype" w:hAnsi="Palatino Linotype" w:cs="Palatino Linotype"/>
          <w:i/>
          <w:color w:val="000000"/>
        </w:rPr>
      </w:pPr>
    </w:p>
    <w:p w:rsidR="00DF0936" w:rsidRDefault="00F46011">
      <w:pPr>
        <w:numPr>
          <w:ilvl w:val="0"/>
          <w:numId w:val="2"/>
        </w:numPr>
        <w:pBdr>
          <w:top w:val="nil"/>
          <w:left w:val="nil"/>
          <w:bottom w:val="nil"/>
          <w:right w:val="nil"/>
          <w:between w:val="nil"/>
        </w:pBdr>
        <w:tabs>
          <w:tab w:val="left" w:pos="426"/>
        </w:tabs>
        <w:spacing w:before="240" w:line="360" w:lineRule="auto"/>
        <w:ind w:left="0" w:right="-734" w:firstLine="0"/>
        <w:jc w:val="both"/>
        <w:rPr>
          <w:color w:val="000000"/>
        </w:rPr>
      </w:pPr>
      <w:r>
        <w:rPr>
          <w:rFonts w:ascii="Palatino Linotype" w:eastAsia="Palatino Linotype" w:hAnsi="Palatino Linotype" w:cs="Palatino Linotype"/>
          <w:color w:val="000000"/>
        </w:rPr>
        <w:t xml:space="preserve">Por consiguiente, al existir un desistimiento expreso por parte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este Pleno determina el </w:t>
      </w:r>
      <w:r>
        <w:rPr>
          <w:rFonts w:ascii="Palatino Linotype" w:eastAsia="Palatino Linotype" w:hAnsi="Palatino Linotype" w:cs="Palatino Linotype"/>
          <w:b/>
          <w:color w:val="000000"/>
        </w:rPr>
        <w:t>SOBRESEIMIENTO</w:t>
      </w:r>
      <w:r>
        <w:rPr>
          <w:rFonts w:ascii="Palatino Linotype" w:eastAsia="Palatino Linotype" w:hAnsi="Palatino Linotype" w:cs="Palatino Linotype"/>
          <w:color w:val="000000"/>
        </w:rPr>
        <w:t xml:space="preserve"> del recurso de revisión.</w:t>
      </w:r>
    </w:p>
    <w:p w:rsidR="00DF0936" w:rsidRDefault="00DF0936">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tabs>
          <w:tab w:val="left" w:pos="426"/>
        </w:tabs>
        <w:spacing w:line="360" w:lineRule="auto"/>
        <w:ind w:left="0" w:right="-734" w:firstLine="0"/>
        <w:jc w:val="both"/>
        <w:rPr>
          <w:color w:val="000000"/>
        </w:rPr>
      </w:pPr>
      <w:r>
        <w:rPr>
          <w:rFonts w:ascii="Palatino Linotype" w:eastAsia="Palatino Linotype" w:hAnsi="Palatino Linotype" w:cs="Palatino Linotype"/>
          <w:color w:val="000000"/>
        </w:rPr>
        <w:t xml:space="preserve">Bajo ese tenor y, en términos del artículo 186, fracción I, de la Ley de Transparencia y Acceso a la Información Pública del Estado de México y Municipios, este Pleno determina el </w:t>
      </w:r>
      <w:r>
        <w:rPr>
          <w:rFonts w:ascii="Palatino Linotype" w:eastAsia="Palatino Linotype" w:hAnsi="Palatino Linotype" w:cs="Palatino Linotype"/>
          <w:b/>
          <w:color w:val="000000"/>
        </w:rPr>
        <w:t xml:space="preserve">SOBRESEIMIENTO </w:t>
      </w:r>
      <w:r>
        <w:rPr>
          <w:rFonts w:ascii="Palatino Linotype" w:eastAsia="Palatino Linotype" w:hAnsi="Palatino Linotype" w:cs="Palatino Linotype"/>
          <w:color w:val="000000"/>
        </w:rPr>
        <w:t>del presente recurso de revisión, por resultar improcedente, en términos de la fracción I, del artículo 192, de la Ley de Transparencia y Acceso a la Información Pública Estatal.</w:t>
      </w:r>
    </w:p>
    <w:p w:rsidR="00DF0936" w:rsidRDefault="00DF0936">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rsidR="00DF0936" w:rsidRDefault="00F46011">
      <w:pPr>
        <w:numPr>
          <w:ilvl w:val="0"/>
          <w:numId w:val="2"/>
        </w:numPr>
        <w:pBdr>
          <w:top w:val="nil"/>
          <w:left w:val="nil"/>
          <w:bottom w:val="nil"/>
          <w:right w:val="nil"/>
          <w:between w:val="nil"/>
        </w:pBdr>
        <w:tabs>
          <w:tab w:val="left" w:pos="426"/>
        </w:tabs>
        <w:spacing w:after="240" w:line="360" w:lineRule="auto"/>
        <w:ind w:left="0" w:right="-734" w:firstLine="0"/>
        <w:jc w:val="both"/>
        <w:rPr>
          <w:color w:val="000000"/>
        </w:rPr>
      </w:pPr>
      <w:r>
        <w:rPr>
          <w:rFonts w:ascii="Palatino Linotype" w:eastAsia="Palatino Linotype" w:hAnsi="Palatino Linotype" w:cs="Palatino Linotype"/>
          <w:color w:val="000000"/>
        </w:rPr>
        <w:t xml:space="preserve">Por lo anteriormente expuesto, este Órgano Garante emite los siguientes: </w:t>
      </w:r>
    </w:p>
    <w:p w:rsidR="00DF0936" w:rsidRDefault="00DF0936">
      <w:pPr>
        <w:pBdr>
          <w:top w:val="nil"/>
          <w:left w:val="nil"/>
          <w:bottom w:val="nil"/>
          <w:right w:val="nil"/>
          <w:between w:val="nil"/>
        </w:pBdr>
        <w:ind w:left="720" w:right="-734"/>
        <w:rPr>
          <w:rFonts w:ascii="Palatino Linotype" w:eastAsia="Palatino Linotype" w:hAnsi="Palatino Linotype" w:cs="Palatino Linotype"/>
          <w:color w:val="000000"/>
        </w:rPr>
      </w:pPr>
    </w:p>
    <w:p w:rsidR="00DF0936" w:rsidRDefault="00F46011">
      <w:pPr>
        <w:keepNext/>
        <w:keepLines/>
        <w:pBdr>
          <w:top w:val="nil"/>
          <w:left w:val="nil"/>
          <w:bottom w:val="nil"/>
          <w:right w:val="nil"/>
          <w:between w:val="nil"/>
        </w:pBdr>
        <w:spacing w:before="240" w:line="360" w:lineRule="auto"/>
        <w:ind w:right="-734"/>
        <w:jc w:val="center"/>
        <w:rPr>
          <w:rFonts w:ascii="Palatino Linotype" w:eastAsia="Palatino Linotype" w:hAnsi="Palatino Linotype" w:cs="Palatino Linotype"/>
          <w:b/>
          <w:color w:val="000000"/>
        </w:rPr>
      </w:pPr>
      <w:bookmarkStart w:id="9" w:name="_heading=h.4d34og8" w:colFirst="0" w:colLast="0"/>
      <w:bookmarkEnd w:id="9"/>
      <w:r>
        <w:rPr>
          <w:rFonts w:ascii="Palatino Linotype" w:eastAsia="Palatino Linotype" w:hAnsi="Palatino Linotype" w:cs="Palatino Linotype"/>
          <w:b/>
          <w:color w:val="000000"/>
        </w:rPr>
        <w:t>R E S O L U T I V O S</w:t>
      </w:r>
    </w:p>
    <w:p w:rsidR="00DF0936" w:rsidRDefault="00DF0936">
      <w:pPr>
        <w:ind w:right="-734"/>
      </w:pPr>
    </w:p>
    <w:p w:rsidR="00DF0936" w:rsidRDefault="00F46011">
      <w:pPr>
        <w:spacing w:after="240"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w:t>
      </w:r>
      <w:r>
        <w:rPr>
          <w:rFonts w:ascii="Verdana" w:eastAsia="Verdana" w:hAnsi="Verdana" w:cs="Verdana"/>
          <w:b/>
          <w:color w:val="FF0000"/>
        </w:rPr>
        <w:t xml:space="preserve"> </w:t>
      </w:r>
      <w:r>
        <w:rPr>
          <w:rFonts w:ascii="Palatino Linotype" w:eastAsia="Palatino Linotype" w:hAnsi="Palatino Linotype" w:cs="Palatino Linotype"/>
          <w:b/>
        </w:rPr>
        <w:t xml:space="preserve">05118/INFOEM/IP/RR/2024, </w:t>
      </w:r>
      <w:r>
        <w:rPr>
          <w:rFonts w:ascii="Palatino Linotype" w:eastAsia="Palatino Linotype" w:hAnsi="Palatino Linotype" w:cs="Palatino Linotype"/>
        </w:rPr>
        <w:t>en términos de lo establecido en el artículo 192, fracción I, de la Ley de Transparencia y Acceso a la Información Pública del Estado de México y Municipios, por haberse desistido expresamente</w:t>
      </w:r>
      <w:r>
        <w:rPr>
          <w:rFonts w:ascii="Palatino Linotype" w:eastAsia="Palatino Linotype" w:hAnsi="Palatino Linotype" w:cs="Palatino Linotype"/>
          <w:b/>
        </w:rPr>
        <w:t xml:space="preserve"> el</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w:t>
      </w:r>
      <w:r>
        <w:rPr>
          <w:rFonts w:ascii="Palatino Linotype" w:eastAsia="Palatino Linotype" w:hAnsi="Palatino Linotype" w:cs="Palatino Linotype"/>
          <w:b/>
        </w:rPr>
        <w:t>considerando TERCERO</w:t>
      </w:r>
      <w:r>
        <w:rPr>
          <w:rFonts w:ascii="Palatino Linotype" w:eastAsia="Palatino Linotype" w:hAnsi="Palatino Linotype" w:cs="Palatino Linotype"/>
        </w:rPr>
        <w:t xml:space="preserve"> de la presente resolución.</w:t>
      </w:r>
    </w:p>
    <w:p w:rsidR="00DF0936" w:rsidRDefault="00F46011">
      <w:pPr>
        <w:pBdr>
          <w:top w:val="nil"/>
          <w:left w:val="nil"/>
          <w:bottom w:val="nil"/>
          <w:right w:val="nil"/>
          <w:between w:val="nil"/>
        </w:pBdr>
        <w:spacing w:after="240" w:line="360" w:lineRule="auto"/>
        <w:ind w:right="-73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SEGUNDO. REMÍTASE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SUJETO OBLIGADO. </w:t>
      </w:r>
    </w:p>
    <w:p w:rsidR="00DF0936" w:rsidRDefault="00F46011">
      <w:pPr>
        <w:pBdr>
          <w:top w:val="nil"/>
          <w:left w:val="nil"/>
          <w:bottom w:val="nil"/>
          <w:right w:val="nil"/>
          <w:between w:val="nil"/>
        </w:pBdr>
        <w:spacing w:after="240"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TERCERO. Notifíquese al RECURRENTE </w:t>
      </w:r>
      <w:r>
        <w:rPr>
          <w:rFonts w:ascii="Palatino Linotype" w:eastAsia="Palatino Linotype" w:hAnsi="Palatino Linotype" w:cs="Palatino Linotype"/>
          <w:color w:val="000000"/>
        </w:rPr>
        <w:t>la presente resolución vía SAIMEX.</w:t>
      </w:r>
    </w:p>
    <w:p w:rsidR="00DF0936" w:rsidRDefault="00F4601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CUARTO.</w:t>
      </w:r>
      <w:r>
        <w:rPr>
          <w:rFonts w:ascii="Palatino Linotype" w:eastAsia="Palatino Linotype" w:hAnsi="Palatino Linotype" w:cs="Palatino Linotype"/>
          <w:color w:val="000000"/>
        </w:rPr>
        <w:t xml:space="preserve"> Se hace del conocimiento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w:t>
      </w:r>
      <w:r>
        <w:rPr>
          <w:rFonts w:ascii="Palatino Linotype" w:eastAsia="Palatino Linotype" w:hAnsi="Palatino Linotype" w:cs="Palatino Linotype"/>
          <w:color w:val="000000"/>
        </w:rPr>
        <w:lastRenderedPageBreak/>
        <w:t xml:space="preserve">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rsidR="00DF0936" w:rsidRDefault="00DF0936">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1F4F24" w:rsidRDefault="001F4F24" w:rsidP="00257EEB">
      <w:pPr>
        <w:spacing w:line="360" w:lineRule="auto"/>
        <w:ind w:left="-142" w:right="-737"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Default="00257EEB" w:rsidP="00257EEB">
      <w:pPr>
        <w:spacing w:line="360" w:lineRule="auto"/>
        <w:ind w:left="-142" w:right="-737" w:firstLine="1"/>
        <w:jc w:val="both"/>
        <w:rPr>
          <w:rFonts w:ascii="Palatino Linotype" w:hAnsi="Palatino Linotype"/>
        </w:rPr>
      </w:pPr>
    </w:p>
    <w:p w:rsidR="00257EEB" w:rsidRPr="003C7186" w:rsidRDefault="00257EEB" w:rsidP="00257EEB">
      <w:pPr>
        <w:spacing w:line="360" w:lineRule="auto"/>
        <w:ind w:left="-142" w:right="-737" w:firstLine="1"/>
        <w:jc w:val="both"/>
        <w:rPr>
          <w:rFonts w:ascii="Palatino Linotype" w:hAnsi="Palatino Linotype"/>
        </w:rPr>
      </w:pPr>
    </w:p>
    <w:p w:rsidR="001F4F24" w:rsidRPr="00902BA4" w:rsidRDefault="001F4F24" w:rsidP="001F4F24">
      <w:pPr>
        <w:widowControl w:val="0"/>
        <w:autoSpaceDE w:val="0"/>
        <w:autoSpaceDN w:val="0"/>
        <w:adjustRightInd w:val="0"/>
        <w:spacing w:after="200" w:line="276" w:lineRule="auto"/>
        <w:ind w:left="-142" w:right="-234"/>
        <w:rPr>
          <w:rFonts w:ascii="Calibri" w:hAnsi="Calibri" w:cs="Calibri"/>
        </w:rPr>
      </w:pPr>
    </w:p>
    <w:p w:rsidR="00DF0936" w:rsidRDefault="00DF0936">
      <w:pPr>
        <w:spacing w:before="240" w:after="240" w:line="360" w:lineRule="auto"/>
        <w:ind w:right="-734"/>
        <w:jc w:val="both"/>
        <w:rPr>
          <w:rFonts w:ascii="Palatino Linotype" w:eastAsia="Palatino Linotype" w:hAnsi="Palatino Linotype" w:cs="Palatino Linotype"/>
        </w:rPr>
      </w:pPr>
    </w:p>
    <w:p w:rsidR="00DF0936" w:rsidRDefault="00DF0936">
      <w:pPr>
        <w:spacing w:before="240" w:after="240" w:line="360" w:lineRule="auto"/>
        <w:ind w:right="-734"/>
        <w:jc w:val="both"/>
        <w:rPr>
          <w:rFonts w:ascii="Palatino Linotype" w:eastAsia="Palatino Linotype" w:hAnsi="Palatino Linotype" w:cs="Palatino Linotype"/>
        </w:rPr>
      </w:pPr>
    </w:p>
    <w:p w:rsidR="00DF0936" w:rsidRDefault="00DF0936">
      <w:pPr>
        <w:ind w:right="-734"/>
      </w:pPr>
    </w:p>
    <w:p w:rsidR="00DF0936" w:rsidRDefault="00DF0936">
      <w:pPr>
        <w:ind w:right="-734"/>
      </w:pPr>
    </w:p>
    <w:p w:rsidR="00DF0936" w:rsidRDefault="00DF0936">
      <w:pPr>
        <w:ind w:right="-734"/>
      </w:pPr>
    </w:p>
    <w:p w:rsidR="00DF0936" w:rsidRDefault="00DF0936">
      <w:pPr>
        <w:ind w:right="-734"/>
      </w:pPr>
    </w:p>
    <w:sectPr w:rsidR="00DF0936">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3F" w:rsidRDefault="00664E3F">
      <w:r>
        <w:separator/>
      </w:r>
    </w:p>
  </w:endnote>
  <w:endnote w:type="continuationSeparator" w:id="0">
    <w:p w:rsidR="00664E3F" w:rsidRDefault="0066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36" w:rsidRDefault="00F4601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529A5">
      <w:rPr>
        <w:b/>
        <w:noProof/>
        <w:color w:val="000000"/>
      </w:rPr>
      <w:t>10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529A5">
      <w:rPr>
        <w:b/>
        <w:noProof/>
        <w:color w:val="000000"/>
      </w:rPr>
      <w:t>10</w:t>
    </w:r>
    <w:r>
      <w:rPr>
        <w:b/>
        <w:color w:val="000000"/>
      </w:rPr>
      <w:fldChar w:fldCharType="end"/>
    </w:r>
  </w:p>
  <w:p w:rsidR="00DF0936" w:rsidRDefault="00DF093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36" w:rsidRDefault="00F4601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529A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529A5">
      <w:rPr>
        <w:b/>
        <w:noProof/>
        <w:color w:val="000000"/>
      </w:rPr>
      <w:t>10</w:t>
    </w:r>
    <w:r>
      <w:rPr>
        <w:b/>
        <w:color w:val="000000"/>
      </w:rPr>
      <w:fldChar w:fldCharType="end"/>
    </w:r>
  </w:p>
  <w:p w:rsidR="00DF0936" w:rsidRDefault="00DF093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3F" w:rsidRDefault="00664E3F">
      <w:r>
        <w:separator/>
      </w:r>
    </w:p>
  </w:footnote>
  <w:footnote w:type="continuationSeparator" w:id="0">
    <w:p w:rsidR="00664E3F" w:rsidRDefault="00664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36" w:rsidRDefault="00664E3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36" w:rsidRDefault="00DF0936">
    <w:pPr>
      <w:widowControl w:val="0"/>
      <w:pBdr>
        <w:top w:val="nil"/>
        <w:left w:val="nil"/>
        <w:bottom w:val="nil"/>
        <w:right w:val="nil"/>
        <w:between w:val="nil"/>
      </w:pBdr>
      <w:spacing w:line="276" w:lineRule="auto"/>
      <w:rPr>
        <w:color w:val="000000"/>
      </w:rPr>
    </w:pPr>
  </w:p>
  <w:tbl>
    <w:tblPr>
      <w:tblStyle w:val="aa"/>
      <w:tblW w:w="9214" w:type="dxa"/>
      <w:tblInd w:w="0" w:type="dxa"/>
      <w:tblLayout w:type="fixed"/>
      <w:tblLook w:val="0400" w:firstRow="0" w:lastRow="0" w:firstColumn="0" w:lastColumn="0" w:noHBand="0" w:noVBand="1"/>
    </w:tblPr>
    <w:tblGrid>
      <w:gridCol w:w="2268"/>
      <w:gridCol w:w="6946"/>
    </w:tblGrid>
    <w:tr w:rsidR="00DF0936">
      <w:trPr>
        <w:trHeight w:val="1435"/>
      </w:trPr>
      <w:tc>
        <w:tcPr>
          <w:tcW w:w="2268" w:type="dxa"/>
          <w:shd w:val="clear" w:color="auto" w:fill="auto"/>
        </w:tcPr>
        <w:p w:rsidR="00DF0936" w:rsidRDefault="00DF0936">
          <w:pPr>
            <w:tabs>
              <w:tab w:val="right" w:pos="4273"/>
            </w:tabs>
            <w:rPr>
              <w:rFonts w:ascii="Garamond" w:eastAsia="Garamond" w:hAnsi="Garamond" w:cs="Garamond"/>
              <w:sz w:val="16"/>
              <w:szCs w:val="16"/>
            </w:rPr>
          </w:pPr>
        </w:p>
      </w:tc>
      <w:tc>
        <w:tcPr>
          <w:tcW w:w="6946" w:type="dxa"/>
          <w:shd w:val="clear" w:color="auto" w:fill="auto"/>
        </w:tcPr>
        <w:p w:rsidR="00DF0936" w:rsidRDefault="00DF0936">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b"/>
            <w:tblW w:w="6660" w:type="dxa"/>
            <w:tblInd w:w="1019" w:type="dxa"/>
            <w:tblLayout w:type="fixed"/>
            <w:tblLook w:val="0400" w:firstRow="0" w:lastRow="0" w:firstColumn="0" w:lastColumn="0" w:noHBand="0" w:noVBand="1"/>
          </w:tblPr>
          <w:tblGrid>
            <w:gridCol w:w="2672"/>
            <w:gridCol w:w="3988"/>
          </w:tblGrid>
          <w:tr w:rsidR="00DF0936">
            <w:trPr>
              <w:trHeight w:val="150"/>
            </w:trPr>
            <w:tc>
              <w:tcPr>
                <w:tcW w:w="2672" w:type="dxa"/>
                <w:shd w:val="clear" w:color="auto" w:fill="auto"/>
              </w:tcPr>
              <w:p w:rsidR="00DF0936" w:rsidRDefault="00F460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88" w:type="dxa"/>
                <w:shd w:val="clear" w:color="auto" w:fill="auto"/>
              </w:tcPr>
              <w:p w:rsidR="00DF0936" w:rsidRDefault="00F46011">
                <w:pPr>
                  <w:tabs>
                    <w:tab w:val="right" w:pos="8838"/>
                  </w:tabs>
                  <w:ind w:left="-141"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05118/INFOEM/IP/RR/2024</w:t>
                </w:r>
              </w:p>
            </w:tc>
          </w:tr>
          <w:tr w:rsidR="00DF0936">
            <w:trPr>
              <w:trHeight w:val="295"/>
            </w:trPr>
            <w:tc>
              <w:tcPr>
                <w:tcW w:w="2672" w:type="dxa"/>
                <w:shd w:val="clear" w:color="auto" w:fill="auto"/>
              </w:tcPr>
              <w:p w:rsidR="00DF0936" w:rsidRDefault="00F460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88" w:type="dxa"/>
                <w:shd w:val="clear" w:color="auto" w:fill="auto"/>
              </w:tcPr>
              <w:p w:rsidR="00DF0936" w:rsidRDefault="00F46011">
                <w:pPr>
                  <w:ind w:left="-14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Tultepec</w:t>
                </w:r>
              </w:p>
            </w:tc>
          </w:tr>
          <w:tr w:rsidR="00DF0936">
            <w:trPr>
              <w:trHeight w:val="295"/>
            </w:trPr>
            <w:tc>
              <w:tcPr>
                <w:tcW w:w="2672" w:type="dxa"/>
                <w:shd w:val="clear" w:color="auto" w:fill="auto"/>
              </w:tcPr>
              <w:p w:rsidR="00DF0936" w:rsidRDefault="00F4601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988" w:type="dxa"/>
                <w:shd w:val="clear" w:color="auto" w:fill="auto"/>
              </w:tcPr>
              <w:p w:rsidR="00DF0936" w:rsidRDefault="00F46011">
                <w:pPr>
                  <w:tabs>
                    <w:tab w:val="right" w:pos="8838"/>
                  </w:tabs>
                  <w:ind w:left="-141"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DF0936" w:rsidRDefault="00DF0936">
                <w:pPr>
                  <w:tabs>
                    <w:tab w:val="right" w:pos="8838"/>
                  </w:tabs>
                  <w:ind w:left="-141" w:right="171"/>
                  <w:jc w:val="both"/>
                  <w:rPr>
                    <w:rFonts w:ascii="Palatino Linotype" w:eastAsia="Palatino Linotype" w:hAnsi="Palatino Linotype" w:cs="Palatino Linotype"/>
                    <w:b/>
                    <w:sz w:val="22"/>
                    <w:szCs w:val="22"/>
                  </w:rPr>
                </w:pPr>
              </w:p>
            </w:tc>
          </w:tr>
        </w:tbl>
        <w:p w:rsidR="00DF0936" w:rsidRDefault="00DF0936">
          <w:pPr>
            <w:tabs>
              <w:tab w:val="right" w:pos="8838"/>
            </w:tabs>
            <w:ind w:left="-28"/>
            <w:jc w:val="both"/>
            <w:rPr>
              <w:rFonts w:ascii="Arial" w:eastAsia="Arial" w:hAnsi="Arial" w:cs="Arial"/>
              <w:b/>
              <w:sz w:val="22"/>
              <w:szCs w:val="22"/>
            </w:rPr>
          </w:pPr>
        </w:p>
      </w:tc>
    </w:tr>
  </w:tbl>
  <w:p w:rsidR="00DF0936" w:rsidRDefault="00664E3F">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36" w:rsidRDefault="00DF0936">
    <w:pPr>
      <w:widowControl w:val="0"/>
      <w:pBdr>
        <w:top w:val="nil"/>
        <w:left w:val="nil"/>
        <w:bottom w:val="nil"/>
        <w:right w:val="nil"/>
        <w:between w:val="nil"/>
      </w:pBdr>
      <w:spacing w:line="276" w:lineRule="auto"/>
      <w:rPr>
        <w:color w:val="000000"/>
        <w:sz w:val="14"/>
        <w:szCs w:val="14"/>
      </w:rPr>
    </w:pPr>
  </w:p>
  <w:tbl>
    <w:tblPr>
      <w:tblStyle w:val="ac"/>
      <w:tblW w:w="9072" w:type="dxa"/>
      <w:tblInd w:w="0" w:type="dxa"/>
      <w:tblLayout w:type="fixed"/>
      <w:tblLook w:val="0400" w:firstRow="0" w:lastRow="0" w:firstColumn="0" w:lastColumn="0" w:noHBand="0" w:noVBand="1"/>
    </w:tblPr>
    <w:tblGrid>
      <w:gridCol w:w="2268"/>
      <w:gridCol w:w="6804"/>
    </w:tblGrid>
    <w:tr w:rsidR="00DF0936">
      <w:trPr>
        <w:trHeight w:val="1435"/>
      </w:trPr>
      <w:tc>
        <w:tcPr>
          <w:tcW w:w="2268" w:type="dxa"/>
          <w:shd w:val="clear" w:color="auto" w:fill="auto"/>
        </w:tcPr>
        <w:p w:rsidR="00DF0936" w:rsidRDefault="00DF0936">
          <w:pPr>
            <w:tabs>
              <w:tab w:val="right" w:pos="4273"/>
            </w:tabs>
            <w:rPr>
              <w:rFonts w:ascii="Garamond" w:eastAsia="Garamond" w:hAnsi="Garamond" w:cs="Garamond"/>
              <w:sz w:val="22"/>
              <w:szCs w:val="22"/>
            </w:rPr>
          </w:pPr>
        </w:p>
      </w:tc>
      <w:tc>
        <w:tcPr>
          <w:tcW w:w="6804" w:type="dxa"/>
          <w:shd w:val="clear" w:color="auto" w:fill="auto"/>
        </w:tcPr>
        <w:p w:rsidR="00DF0936" w:rsidRDefault="00DF0936">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d"/>
            <w:tblW w:w="6662" w:type="dxa"/>
            <w:tblInd w:w="878" w:type="dxa"/>
            <w:tblLayout w:type="fixed"/>
            <w:tblLook w:val="0400" w:firstRow="0" w:lastRow="0" w:firstColumn="0" w:lastColumn="0" w:noHBand="0" w:noVBand="1"/>
          </w:tblPr>
          <w:tblGrid>
            <w:gridCol w:w="2444"/>
            <w:gridCol w:w="4218"/>
          </w:tblGrid>
          <w:tr w:rsidR="00DF0936">
            <w:trPr>
              <w:trHeight w:val="144"/>
            </w:trPr>
            <w:tc>
              <w:tcPr>
                <w:tcW w:w="2444" w:type="dxa"/>
                <w:shd w:val="clear" w:color="auto" w:fill="auto"/>
              </w:tcPr>
              <w:p w:rsidR="00DF0936" w:rsidRDefault="00F46011">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DF0936" w:rsidRDefault="00F4601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05118/INFOEM/IP/RR/2024</w:t>
                </w:r>
              </w:p>
            </w:tc>
          </w:tr>
          <w:tr w:rsidR="00DF0936">
            <w:trPr>
              <w:trHeight w:val="144"/>
            </w:trPr>
            <w:tc>
              <w:tcPr>
                <w:tcW w:w="2444" w:type="dxa"/>
                <w:shd w:val="clear" w:color="auto" w:fill="auto"/>
              </w:tcPr>
              <w:p w:rsidR="00DF0936" w:rsidRDefault="00F460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DF0936" w:rsidRDefault="00DF0936">
                <w:pPr>
                  <w:tabs>
                    <w:tab w:val="left" w:pos="3122"/>
                    <w:tab w:val="right" w:pos="8838"/>
                  </w:tabs>
                  <w:ind w:left="-74" w:right="-105"/>
                  <w:jc w:val="both"/>
                  <w:rPr>
                    <w:rFonts w:ascii="Palatino Linotype" w:eastAsia="Palatino Linotype" w:hAnsi="Palatino Linotype" w:cs="Palatino Linotype"/>
                    <w:sz w:val="22"/>
                    <w:szCs w:val="22"/>
                  </w:rPr>
                </w:pPr>
              </w:p>
            </w:tc>
          </w:tr>
          <w:tr w:rsidR="00DF0936">
            <w:trPr>
              <w:trHeight w:val="283"/>
            </w:trPr>
            <w:tc>
              <w:tcPr>
                <w:tcW w:w="2444" w:type="dxa"/>
                <w:shd w:val="clear" w:color="auto" w:fill="auto"/>
              </w:tcPr>
              <w:p w:rsidR="00DF0936" w:rsidRDefault="00F460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DF0936" w:rsidRDefault="00F46011">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Tultepec</w:t>
                </w:r>
              </w:p>
            </w:tc>
          </w:tr>
          <w:tr w:rsidR="00DF0936">
            <w:trPr>
              <w:trHeight w:val="283"/>
            </w:trPr>
            <w:tc>
              <w:tcPr>
                <w:tcW w:w="2444" w:type="dxa"/>
                <w:shd w:val="clear" w:color="auto" w:fill="auto"/>
              </w:tcPr>
              <w:p w:rsidR="00DF0936" w:rsidRDefault="00F4601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rsidR="00DF0936" w:rsidRDefault="00F46011">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DF0936" w:rsidRDefault="00DF0936">
                <w:pPr>
                  <w:tabs>
                    <w:tab w:val="right" w:pos="8838"/>
                  </w:tabs>
                  <w:ind w:left="-74" w:right="-105"/>
                  <w:jc w:val="both"/>
                  <w:rPr>
                    <w:rFonts w:ascii="Palatino Linotype" w:eastAsia="Palatino Linotype" w:hAnsi="Palatino Linotype" w:cs="Palatino Linotype"/>
                    <w:b/>
                    <w:sz w:val="22"/>
                    <w:szCs w:val="22"/>
                  </w:rPr>
                </w:pPr>
              </w:p>
            </w:tc>
          </w:tr>
        </w:tbl>
        <w:p w:rsidR="00DF0936" w:rsidRDefault="00DF0936">
          <w:pPr>
            <w:tabs>
              <w:tab w:val="right" w:pos="8838"/>
            </w:tabs>
            <w:ind w:left="-28"/>
            <w:jc w:val="both"/>
            <w:rPr>
              <w:rFonts w:ascii="Arial" w:eastAsia="Arial" w:hAnsi="Arial" w:cs="Arial"/>
              <w:b/>
              <w:sz w:val="22"/>
              <w:szCs w:val="22"/>
            </w:rPr>
          </w:pPr>
        </w:p>
      </w:tc>
    </w:tr>
  </w:tbl>
  <w:p w:rsidR="00DF0936" w:rsidRDefault="00664E3F">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D3D8D"/>
    <w:multiLevelType w:val="multilevel"/>
    <w:tmpl w:val="F73EC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7914F0B"/>
    <w:multiLevelType w:val="multilevel"/>
    <w:tmpl w:val="270C3C7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36"/>
    <w:rsid w:val="001F4F24"/>
    <w:rsid w:val="00257EEB"/>
    <w:rsid w:val="003529A5"/>
    <w:rsid w:val="00422DD9"/>
    <w:rsid w:val="00664E3F"/>
    <w:rsid w:val="00DF0936"/>
    <w:rsid w:val="00F46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2F1C75B-E588-4D2C-B5A8-7F41CF33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1E"/>
  </w:style>
  <w:style w:type="paragraph" w:styleId="Ttulo1">
    <w:name w:val="heading 1"/>
    <w:basedOn w:val="Normal"/>
    <w:next w:val="Normal"/>
    <w:link w:val="Ttulo1Car"/>
    <w:uiPriority w:val="9"/>
    <w:qFormat/>
    <w:rsid w:val="00E02D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02D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02D1E"/>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E02D1E"/>
    <w:rPr>
      <w:rFonts w:asciiTheme="majorHAnsi" w:eastAsiaTheme="majorEastAsia" w:hAnsiTheme="majorHAnsi" w:cstheme="majorBidi"/>
      <w:color w:val="2E74B5" w:themeColor="accent1" w:themeShade="BF"/>
      <w:sz w:val="26"/>
      <w:szCs w:val="26"/>
      <w:lang w:val="es-MX" w:eastAsia="es-MX"/>
    </w:rPr>
  </w:style>
  <w:style w:type="paragraph" w:styleId="Encabezado">
    <w:name w:val="header"/>
    <w:basedOn w:val="Normal"/>
    <w:link w:val="EncabezadoCar"/>
    <w:uiPriority w:val="99"/>
    <w:unhideWhenUsed/>
    <w:rsid w:val="00E02D1E"/>
    <w:pPr>
      <w:tabs>
        <w:tab w:val="center" w:pos="4419"/>
        <w:tab w:val="right" w:pos="8838"/>
      </w:tabs>
    </w:pPr>
  </w:style>
  <w:style w:type="character" w:customStyle="1" w:styleId="EncabezadoCar">
    <w:name w:val="Encabezado Car"/>
    <w:basedOn w:val="Fuentedeprrafopredeter"/>
    <w:link w:val="Encabezado"/>
    <w:uiPriority w:val="99"/>
    <w:rsid w:val="00E02D1E"/>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02D1E"/>
    <w:pPr>
      <w:tabs>
        <w:tab w:val="center" w:pos="4419"/>
        <w:tab w:val="right" w:pos="8838"/>
      </w:tabs>
    </w:pPr>
  </w:style>
  <w:style w:type="character" w:customStyle="1" w:styleId="PiedepginaCar">
    <w:name w:val="Pie de página Car"/>
    <w:basedOn w:val="Fuentedeprrafopredeter"/>
    <w:link w:val="Piedepgina"/>
    <w:uiPriority w:val="99"/>
    <w:rsid w:val="00E02D1E"/>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02D1E"/>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02D1E"/>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02D1E"/>
    <w:rPr>
      <w:color w:val="0563C1"/>
      <w:u w:val="single"/>
    </w:rPr>
  </w:style>
  <w:style w:type="paragraph" w:styleId="Sinespaciado">
    <w:name w:val="No Spacing"/>
    <w:aliases w:val="Francesa"/>
    <w:link w:val="SinespaciadoCar"/>
    <w:uiPriority w:val="1"/>
    <w:qFormat/>
    <w:rsid w:val="00E02D1E"/>
    <w:rPr>
      <w:rFonts w:eastAsiaTheme="minorEastAsia"/>
      <w:lang w:val="es-ES_tradnl" w:eastAsia="es-ES"/>
    </w:rPr>
  </w:style>
  <w:style w:type="character" w:customStyle="1" w:styleId="SinespaciadoCar">
    <w:name w:val="Sin espaciado Car"/>
    <w:aliases w:val="Francesa Car"/>
    <w:link w:val="Sinespaciado"/>
    <w:uiPriority w:val="1"/>
    <w:locked/>
    <w:rsid w:val="00E02D1E"/>
    <w:rPr>
      <w:rFonts w:eastAsiaTheme="minorEastAsia"/>
      <w:sz w:val="24"/>
      <w:szCs w:val="24"/>
      <w:lang w:val="es-ES_tradnl" w:eastAsia="es-ES"/>
    </w:rPr>
  </w:style>
  <w:style w:type="character" w:styleId="Referenciasutil">
    <w:name w:val="Subtle Reference"/>
    <w:basedOn w:val="Fuentedeprrafopredeter"/>
    <w:uiPriority w:val="31"/>
    <w:qFormat/>
    <w:rsid w:val="00146A3B"/>
    <w:rPr>
      <w:rFonts w:cs="Times New Roman"/>
      <w:smallCaps/>
      <w:color w:val="5A5A5A" w:themeColor="text1" w:themeTint="A5"/>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 w:type="table" w:customStyle="1" w:styleId="a2">
    <w:basedOn w:val="TableNormal1"/>
    <w:tblPr>
      <w:tblStyleRowBandSize w:val="1"/>
      <w:tblStyleColBandSize w:val="1"/>
      <w:tblCellMar>
        <w:top w:w="0" w:type="dxa"/>
        <w:left w:w="115" w:type="dxa"/>
        <w:bottom w:w="0" w:type="dxa"/>
        <w:right w:w="115" w:type="dxa"/>
      </w:tblCellMar>
    </w:tblPr>
  </w:style>
  <w:style w:type="table" w:customStyle="1" w:styleId="a3">
    <w:basedOn w:val="TableNormal1"/>
    <w:tblPr>
      <w:tblStyleRowBandSize w:val="1"/>
      <w:tblStyleColBandSize w:val="1"/>
      <w:tblCellMar>
        <w:top w:w="0" w:type="dxa"/>
        <w:left w:w="115" w:type="dxa"/>
        <w:bottom w:w="0" w:type="dxa"/>
        <w:right w:w="115" w:type="dxa"/>
      </w:tblCellMar>
    </w:tblPr>
  </w:style>
  <w:style w:type="table" w:customStyle="1" w:styleId="a4">
    <w:basedOn w:val="TableNormal1"/>
    <w:tblPr>
      <w:tblStyleRowBandSize w:val="1"/>
      <w:tblStyleColBandSize w:val="1"/>
      <w:tblCellMar>
        <w:top w:w="0" w:type="dxa"/>
        <w:left w:w="115" w:type="dxa"/>
        <w:bottom w:w="0" w:type="dxa"/>
        <w:right w:w="115" w:type="dxa"/>
      </w:tblCellMar>
    </w:tblPr>
  </w:style>
  <w:style w:type="table" w:customStyle="1" w:styleId="a5">
    <w:basedOn w:val="TableNormal1"/>
    <w:tblPr>
      <w:tblStyleRowBandSize w:val="1"/>
      <w:tblStyleColBandSize w:val="1"/>
      <w:tblCellMar>
        <w:top w:w="0" w:type="dxa"/>
        <w:left w:w="115" w:type="dxa"/>
        <w:bottom w:w="0" w:type="dxa"/>
        <w:right w:w="115" w:type="dxa"/>
      </w:tblCellMar>
    </w:tblPr>
  </w:style>
  <w:style w:type="table" w:customStyle="1" w:styleId="a6">
    <w:basedOn w:val="TableNormal1"/>
    <w:tblPr>
      <w:tblStyleRowBandSize w:val="1"/>
      <w:tblStyleColBandSize w:val="1"/>
      <w:tblCellMar>
        <w:top w:w="0" w:type="dxa"/>
        <w:left w:w="115" w:type="dxa"/>
        <w:bottom w:w="0" w:type="dxa"/>
        <w:right w:w="115" w:type="dxa"/>
      </w:tblCellMar>
    </w:tblPr>
  </w:style>
  <w:style w:type="table" w:customStyle="1" w:styleId="a7">
    <w:basedOn w:val="TableNormal1"/>
    <w:tblPr>
      <w:tblStyleRowBandSize w:val="1"/>
      <w:tblStyleColBandSize w:val="1"/>
      <w:tblCellMar>
        <w:top w:w="0" w:type="dxa"/>
        <w:left w:w="115" w:type="dxa"/>
        <w:bottom w:w="0" w:type="dxa"/>
        <w:right w:w="115" w:type="dxa"/>
      </w:tblCellMar>
    </w:tblPr>
  </w:style>
  <w:style w:type="table" w:customStyle="1" w:styleId="a8">
    <w:basedOn w:val="TableNormal1"/>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2rtEG04+NeXVZFb+kWz8fgINOQ==">CgMxLjAyCGguZ2pkZ3hzMgloLjMwajB6bGwyCWguMWZvYjl0ZTIJaC4zem55c2g3MgloLjJldDkycDAyCGgudHlqY3d0MgloLjNkeTZ2a20yCWguMXQzaDVzZjIJaC40ZDM0b2c4OAByITE4R2pvWUlsUXp5b2JHRTN4dDZ5SktEQ1AtYTYyRjQ4Yg==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1873</Words>
  <Characters>10303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2024-09-26T19:22:00Z</cp:lastPrinted>
  <dcterms:created xsi:type="dcterms:W3CDTF">2024-08-08T18:59:00Z</dcterms:created>
  <dcterms:modified xsi:type="dcterms:W3CDTF">2024-09-26T19:22:00Z</dcterms:modified>
</cp:coreProperties>
</file>