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B70" w:rsidRDefault="00447B70">
      <w:pPr>
        <w:widowControl w:val="0"/>
        <w:pBdr>
          <w:top w:val="nil"/>
          <w:left w:val="nil"/>
          <w:bottom w:val="nil"/>
          <w:right w:val="nil"/>
          <w:between w:val="nil"/>
        </w:pBdr>
        <w:spacing w:after="0" w:line="276" w:lineRule="auto"/>
      </w:pPr>
      <w:bookmarkStart w:id="0" w:name="_GoBack"/>
      <w:bookmarkEnd w:id="0"/>
    </w:p>
    <w:p w:rsidR="00447B70" w:rsidRDefault="00BF208B">
      <w:pPr>
        <w:tabs>
          <w:tab w:val="left" w:pos="3465"/>
        </w:tabs>
        <w:spacing w:line="360" w:lineRule="auto"/>
        <w:ind w:right="-929"/>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veinticinco (25) de septiembre de dos mil veinticuatro.</w:t>
      </w:r>
    </w:p>
    <w:p w:rsidR="00747963" w:rsidRDefault="00747963">
      <w:pPr>
        <w:tabs>
          <w:tab w:val="left" w:pos="3465"/>
        </w:tabs>
        <w:spacing w:line="360" w:lineRule="auto"/>
        <w:ind w:right="-929"/>
        <w:jc w:val="both"/>
        <w:rPr>
          <w:rFonts w:ascii="Palatino Linotype" w:eastAsia="Palatino Linotype" w:hAnsi="Palatino Linotype" w:cs="Palatino Linotype"/>
          <w:sz w:val="24"/>
          <w:szCs w:val="24"/>
        </w:rPr>
      </w:pPr>
    </w:p>
    <w:p w:rsidR="00447B70" w:rsidRDefault="00BF208B">
      <w:pPr>
        <w:tabs>
          <w:tab w:val="left" w:pos="3969"/>
        </w:tabs>
        <w:spacing w:line="360" w:lineRule="auto"/>
        <w:ind w:right="-92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VISTO</w:t>
      </w:r>
      <w:r>
        <w:rPr>
          <w:rFonts w:ascii="Palatino Linotype" w:eastAsia="Palatino Linotype" w:hAnsi="Palatino Linotype" w:cs="Palatino Linotype"/>
          <w:sz w:val="24"/>
          <w:szCs w:val="24"/>
        </w:rPr>
        <w:t xml:space="preserve"> el expediente electrónico formado con motivo del recurso de revisión </w:t>
      </w:r>
      <w:r>
        <w:rPr>
          <w:rFonts w:ascii="Palatino Linotype" w:eastAsia="Palatino Linotype" w:hAnsi="Palatino Linotype" w:cs="Palatino Linotype"/>
          <w:b/>
          <w:sz w:val="24"/>
          <w:szCs w:val="24"/>
        </w:rPr>
        <w:t>04913/INFOEM/IP/RR/2024</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promovido por </w:t>
      </w:r>
      <w:r>
        <w:rPr>
          <w:rFonts w:ascii="Palatino Linotype" w:eastAsia="Palatino Linotype" w:hAnsi="Palatino Linotype" w:cs="Palatino Linotype"/>
          <w:b/>
          <w:sz w:val="24"/>
          <w:szCs w:val="24"/>
        </w:rPr>
        <w:t>una persona que no registró nombre alguno,</w:t>
      </w:r>
      <w:r>
        <w:rPr>
          <w:rFonts w:ascii="Palatino Linotype" w:eastAsia="Palatino Linotype" w:hAnsi="Palatino Linotype" w:cs="Palatino Linotype"/>
          <w:sz w:val="24"/>
          <w:szCs w:val="24"/>
        </w:rPr>
        <w:t xml:space="preserve"> a quien en lo sucesivo se le identificará como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de la </w:t>
      </w:r>
      <w:r>
        <w:rPr>
          <w:rFonts w:ascii="Palatino Linotype" w:eastAsia="Palatino Linotype" w:hAnsi="Palatino Linotype" w:cs="Palatino Linotype"/>
          <w:b/>
          <w:sz w:val="24"/>
          <w:szCs w:val="24"/>
        </w:rPr>
        <w:t xml:space="preserve">Secretaría de la Contraloría, </w:t>
      </w:r>
      <w:r>
        <w:rPr>
          <w:rFonts w:ascii="Palatino Linotype" w:eastAsia="Palatino Linotype" w:hAnsi="Palatino Linotype" w:cs="Palatino Linotype"/>
          <w:sz w:val="24"/>
          <w:szCs w:val="24"/>
        </w:rPr>
        <w:t>en adelante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se procede a dictar la presente resolución, con base en los siguientes:</w:t>
      </w:r>
    </w:p>
    <w:p w:rsidR="00447B70" w:rsidRDefault="00447B70">
      <w:pPr>
        <w:spacing w:line="360" w:lineRule="auto"/>
        <w:ind w:right="-929"/>
        <w:jc w:val="both"/>
        <w:rPr>
          <w:rFonts w:ascii="Palatino Linotype" w:eastAsia="Palatino Linotype" w:hAnsi="Palatino Linotype" w:cs="Palatino Linotype"/>
          <w:b/>
          <w:sz w:val="24"/>
          <w:szCs w:val="24"/>
        </w:rPr>
      </w:pPr>
    </w:p>
    <w:p w:rsidR="00447B70" w:rsidRDefault="00BF208B">
      <w:pPr>
        <w:keepNext/>
        <w:keepLines/>
        <w:pBdr>
          <w:top w:val="nil"/>
          <w:left w:val="nil"/>
          <w:bottom w:val="nil"/>
          <w:right w:val="nil"/>
          <w:between w:val="nil"/>
        </w:pBdr>
        <w:spacing w:after="0" w:line="360" w:lineRule="auto"/>
        <w:ind w:right="-929"/>
        <w:jc w:val="center"/>
        <w:rPr>
          <w:rFonts w:ascii="Palatino Linotype" w:eastAsia="Palatino Linotype" w:hAnsi="Palatino Linotype" w:cs="Palatino Linotype"/>
          <w:b/>
          <w:color w:val="000000"/>
          <w:sz w:val="24"/>
          <w:szCs w:val="24"/>
        </w:rPr>
      </w:pPr>
      <w:bookmarkStart w:id="2" w:name="_heading=h.30j0zll" w:colFirst="0" w:colLast="0"/>
      <w:bookmarkEnd w:id="2"/>
      <w:r>
        <w:rPr>
          <w:rFonts w:ascii="Palatino Linotype" w:eastAsia="Palatino Linotype" w:hAnsi="Palatino Linotype" w:cs="Palatino Linotype"/>
          <w:b/>
          <w:color w:val="000000"/>
          <w:sz w:val="24"/>
          <w:szCs w:val="24"/>
        </w:rPr>
        <w:t>A N T E C E D E N T E S</w:t>
      </w:r>
    </w:p>
    <w:p w:rsidR="00447B70" w:rsidRDefault="00447B70">
      <w:pPr>
        <w:ind w:right="-929"/>
        <w:rPr>
          <w:sz w:val="24"/>
          <w:szCs w:val="24"/>
        </w:rPr>
      </w:pP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El día </w:t>
      </w:r>
      <w:r>
        <w:rPr>
          <w:rFonts w:ascii="Palatino Linotype" w:eastAsia="Palatino Linotype" w:hAnsi="Palatino Linotype" w:cs="Palatino Linotype"/>
          <w:b/>
          <w:color w:val="000000"/>
          <w:sz w:val="24"/>
          <w:szCs w:val="24"/>
        </w:rPr>
        <w:t xml:space="preserve">nueve de agosto de dos mil veinticuatro, </w:t>
      </w:r>
      <w:r>
        <w:rPr>
          <w:rFonts w:ascii="Palatino Linotype" w:eastAsia="Palatino Linotype" w:hAnsi="Palatino Linotype" w:cs="Palatino Linotype"/>
          <w:color w:val="000000"/>
          <w:sz w:val="24"/>
          <w:szCs w:val="24"/>
        </w:rPr>
        <w:t xml:space="preserve">se presentó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vía Sistema de Acceso a la Información, la solicitud de información pública registrada con el número</w:t>
      </w:r>
      <w:r>
        <w:rPr>
          <w:rFonts w:ascii="Palatino Linotype" w:eastAsia="Palatino Linotype" w:hAnsi="Palatino Linotype" w:cs="Palatino Linotype"/>
          <w:b/>
          <w:color w:val="000000"/>
          <w:sz w:val="24"/>
          <w:szCs w:val="24"/>
        </w:rPr>
        <w:t xml:space="preserve"> 00295/SECOGEM/IP/2024; </w:t>
      </w:r>
      <w:r>
        <w:rPr>
          <w:rFonts w:ascii="Palatino Linotype" w:eastAsia="Palatino Linotype" w:hAnsi="Palatino Linotype" w:cs="Palatino Linotype"/>
          <w:sz w:val="24"/>
          <w:szCs w:val="24"/>
        </w:rPr>
        <w:t>en la que</w:t>
      </w:r>
      <w:r>
        <w:rPr>
          <w:rFonts w:ascii="Palatino Linotype" w:eastAsia="Palatino Linotype" w:hAnsi="Palatino Linotype" w:cs="Palatino Linotype"/>
          <w:color w:val="000000"/>
          <w:sz w:val="24"/>
          <w:szCs w:val="24"/>
        </w:rPr>
        <w:t xml:space="preserve"> se solicitó la siguiente información:</w:t>
      </w:r>
    </w:p>
    <w:p w:rsidR="00447B70" w:rsidRDefault="00447B70">
      <w:pPr>
        <w:pBdr>
          <w:top w:val="nil"/>
          <w:left w:val="nil"/>
          <w:bottom w:val="nil"/>
          <w:right w:val="nil"/>
          <w:between w:val="nil"/>
        </w:pBdr>
        <w:spacing w:after="0" w:line="360" w:lineRule="auto"/>
        <w:ind w:right="-929"/>
        <w:jc w:val="both"/>
        <w:rPr>
          <w:rFonts w:ascii="Palatino Linotype" w:eastAsia="Palatino Linotype" w:hAnsi="Palatino Linotype" w:cs="Palatino Linotype"/>
          <w:color w:val="000000"/>
          <w:sz w:val="24"/>
          <w:szCs w:val="24"/>
        </w:rPr>
      </w:pPr>
    </w:p>
    <w:p w:rsidR="00447B70" w:rsidRDefault="00BF208B">
      <w:pPr>
        <w:pBdr>
          <w:top w:val="nil"/>
          <w:left w:val="nil"/>
          <w:bottom w:val="nil"/>
          <w:right w:val="nil"/>
          <w:between w:val="nil"/>
        </w:pBdr>
        <w:spacing w:after="0" w:line="240" w:lineRule="auto"/>
        <w:ind w:left="1134" w:right="-92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 xml:space="preserve">“solcito el recibo de </w:t>
      </w:r>
      <w:proofErr w:type="spellStart"/>
      <w:r>
        <w:rPr>
          <w:rFonts w:ascii="Palatino Linotype" w:eastAsia="Palatino Linotype" w:hAnsi="Palatino Linotype" w:cs="Palatino Linotype"/>
          <w:i/>
          <w:color w:val="000000"/>
          <w:sz w:val="24"/>
          <w:szCs w:val="24"/>
        </w:rPr>
        <w:t>nomina</w:t>
      </w:r>
      <w:proofErr w:type="spellEnd"/>
      <w:r>
        <w:rPr>
          <w:rFonts w:ascii="Palatino Linotype" w:eastAsia="Palatino Linotype" w:hAnsi="Palatino Linotype" w:cs="Palatino Linotype"/>
          <w:i/>
          <w:color w:val="000000"/>
          <w:sz w:val="24"/>
          <w:szCs w:val="24"/>
        </w:rPr>
        <w:t xml:space="preserve"> de todo el personal de Órgano Interno de Control de la Comisión del Agua del Estado de </w:t>
      </w:r>
      <w:proofErr w:type="spellStart"/>
      <w:r>
        <w:rPr>
          <w:rFonts w:ascii="Palatino Linotype" w:eastAsia="Palatino Linotype" w:hAnsi="Palatino Linotype" w:cs="Palatino Linotype"/>
          <w:i/>
          <w:color w:val="000000"/>
          <w:sz w:val="24"/>
          <w:szCs w:val="24"/>
        </w:rPr>
        <w:t>Mexico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asi</w:t>
      </w:r>
      <w:proofErr w:type="spellEnd"/>
      <w:r>
        <w:rPr>
          <w:rFonts w:ascii="Palatino Linotype" w:eastAsia="Palatino Linotype" w:hAnsi="Palatino Linotype" w:cs="Palatino Linotype"/>
          <w:i/>
          <w:color w:val="000000"/>
          <w:sz w:val="24"/>
          <w:szCs w:val="24"/>
        </w:rPr>
        <w:t xml:space="preserve"> como copia de sus credenciales de trabajo.”</w:t>
      </w:r>
    </w:p>
    <w:p w:rsidR="00447B70" w:rsidRDefault="00447B70">
      <w:pPr>
        <w:pBdr>
          <w:top w:val="nil"/>
          <w:left w:val="nil"/>
          <w:bottom w:val="nil"/>
          <w:right w:val="nil"/>
          <w:between w:val="nil"/>
        </w:pBdr>
        <w:spacing w:after="0" w:line="360" w:lineRule="auto"/>
        <w:ind w:left="851" w:right="-929"/>
        <w:jc w:val="both"/>
        <w:rPr>
          <w:rFonts w:ascii="Palatino Linotype" w:eastAsia="Palatino Linotype" w:hAnsi="Palatino Linotype" w:cs="Palatino Linotype"/>
          <w:color w:val="000000"/>
          <w:sz w:val="24"/>
          <w:szCs w:val="24"/>
        </w:rPr>
      </w:pPr>
    </w:p>
    <w:p w:rsidR="00447B70" w:rsidRDefault="00BF208B">
      <w:pPr>
        <w:numPr>
          <w:ilvl w:val="0"/>
          <w:numId w:val="1"/>
        </w:numPr>
        <w:pBdr>
          <w:top w:val="nil"/>
          <w:left w:val="nil"/>
          <w:bottom w:val="nil"/>
          <w:right w:val="nil"/>
          <w:between w:val="nil"/>
        </w:pBdr>
        <w:spacing w:after="0" w:line="360" w:lineRule="auto"/>
        <w:ind w:left="851" w:right="-92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Se eligió como modalidad de entrega de la información: </w:t>
      </w:r>
      <w:r>
        <w:rPr>
          <w:rFonts w:ascii="Palatino Linotype" w:eastAsia="Palatino Linotype" w:hAnsi="Palatino Linotype" w:cs="Palatino Linotype"/>
          <w:b/>
          <w:color w:val="000000"/>
          <w:sz w:val="24"/>
          <w:szCs w:val="24"/>
        </w:rPr>
        <w:t>vía SAIMEX.</w:t>
      </w:r>
    </w:p>
    <w:p w:rsidR="00447B70" w:rsidRDefault="00447B70">
      <w:pPr>
        <w:pBdr>
          <w:top w:val="nil"/>
          <w:left w:val="nil"/>
          <w:bottom w:val="nil"/>
          <w:right w:val="nil"/>
          <w:between w:val="nil"/>
        </w:pBdr>
        <w:spacing w:after="0" w:line="360" w:lineRule="auto"/>
        <w:ind w:right="-929"/>
        <w:jc w:val="both"/>
        <w:rPr>
          <w:rFonts w:ascii="Palatino Linotype" w:eastAsia="Palatino Linotype" w:hAnsi="Palatino Linotype" w:cs="Palatino Linotype"/>
          <w:color w:val="000000"/>
          <w:sz w:val="24"/>
          <w:szCs w:val="24"/>
        </w:rPr>
      </w:pPr>
    </w:p>
    <w:p w:rsidR="00447B70" w:rsidRDefault="00BF208B">
      <w:pPr>
        <w:numPr>
          <w:ilvl w:val="0"/>
          <w:numId w:val="4"/>
        </w:numPr>
        <w:pBdr>
          <w:top w:val="nil"/>
          <w:left w:val="nil"/>
          <w:bottom w:val="nil"/>
          <w:right w:val="nil"/>
          <w:between w:val="nil"/>
        </w:pBdr>
        <w:tabs>
          <w:tab w:val="left" w:pos="0"/>
        </w:tabs>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nueve de agosto de dos mil veinticuatro</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subió dos documentos en formato PDF, cuyo contenido toral es el siguiente: </w:t>
      </w: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ACUERDO DE ORIENTACIÓN_1.PDF: </w:t>
      </w:r>
      <w:r>
        <w:rPr>
          <w:rFonts w:ascii="Palatino Linotype" w:eastAsia="Palatino Linotype" w:hAnsi="Palatino Linotype" w:cs="Palatino Linotype"/>
          <w:i/>
          <w:color w:val="000000"/>
        </w:rPr>
        <w:t xml:space="preserve">contestación constante de tres fojas en el que el </w:t>
      </w:r>
      <w:r>
        <w:rPr>
          <w:rFonts w:ascii="Palatino Linotype" w:eastAsia="Palatino Linotype" w:hAnsi="Palatino Linotype" w:cs="Palatino Linotype"/>
          <w:b/>
          <w:i/>
          <w:color w:val="000000"/>
        </w:rPr>
        <w:t>SUJETO OBLIGADO</w:t>
      </w:r>
      <w:r>
        <w:rPr>
          <w:rFonts w:ascii="Palatino Linotype" w:eastAsia="Palatino Linotype" w:hAnsi="Palatino Linotype" w:cs="Palatino Linotype"/>
          <w:i/>
          <w:color w:val="000000"/>
        </w:rPr>
        <w:t xml:space="preserve">  informa al particular que no cuenta con la información solicitada toda vez que le corresponde a la Comisión del Agua del Estado de México, por lo que, le hace de conocimiento al solicitante que dirija la solicitud de información a dicho </w:t>
      </w:r>
      <w:r>
        <w:rPr>
          <w:rFonts w:ascii="Palatino Linotype" w:eastAsia="Palatino Linotype" w:hAnsi="Palatino Linotype" w:cs="Palatino Linotype"/>
          <w:b/>
          <w:i/>
          <w:color w:val="000000"/>
        </w:rPr>
        <w:t xml:space="preserve">SUJETO OBLIGADO </w:t>
      </w:r>
    </w:p>
    <w:p w:rsidR="00447B70" w:rsidRDefault="00447B70">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i/>
          <w:color w:val="000000"/>
        </w:rPr>
      </w:pP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t>OFICIO DE RESPUESTA UT_1.PDF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escrito de respuesta de fecha nueve de agosto de dos mil veinticuatro, mediante el cual el Encargado de Despacho de la Unidad de Prevención de la Corrupción y Responsable de la Unidad de Transparencia, notifica al Particular el Acuerdo de Orientación de que la información está en poder de otro </w:t>
      </w:r>
      <w:r>
        <w:rPr>
          <w:rFonts w:ascii="Palatino Linotype" w:eastAsia="Palatino Linotype" w:hAnsi="Palatino Linotype" w:cs="Palatino Linotype"/>
          <w:b/>
          <w:i/>
          <w:color w:val="000000"/>
        </w:rPr>
        <w:t>SUJETO OBLIGADO.</w:t>
      </w:r>
    </w:p>
    <w:p w:rsidR="00447B70" w:rsidRDefault="00447B70">
      <w:pPr>
        <w:pBdr>
          <w:top w:val="nil"/>
          <w:left w:val="nil"/>
          <w:bottom w:val="nil"/>
          <w:right w:val="nil"/>
          <w:between w:val="nil"/>
        </w:pBdr>
        <w:tabs>
          <w:tab w:val="left" w:pos="0"/>
        </w:tabs>
        <w:spacing w:after="0" w:line="360" w:lineRule="auto"/>
        <w:ind w:right="-929"/>
        <w:jc w:val="both"/>
        <w:rPr>
          <w:rFonts w:ascii="Palatino Linotype" w:eastAsia="Palatino Linotype" w:hAnsi="Palatino Linotype" w:cs="Palatino Linotype"/>
          <w:b/>
          <w:i/>
          <w:color w:val="000000"/>
          <w:sz w:val="24"/>
          <w:szCs w:val="24"/>
        </w:rPr>
      </w:pPr>
    </w:p>
    <w:p w:rsidR="00447B70" w:rsidRDefault="00BF208B">
      <w:pPr>
        <w:numPr>
          <w:ilvl w:val="0"/>
          <w:numId w:val="4"/>
        </w:numPr>
        <w:pBdr>
          <w:top w:val="nil"/>
          <w:left w:val="nil"/>
          <w:bottom w:val="nil"/>
          <w:right w:val="nil"/>
          <w:between w:val="nil"/>
        </w:pBdr>
        <w:tabs>
          <w:tab w:val="left" w:pos="0"/>
        </w:tabs>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De la incompetencia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diecinueve de agosto de dos mil veinticuatro</w:t>
      </w:r>
      <w:r>
        <w:rPr>
          <w:rFonts w:ascii="Palatino Linotype" w:eastAsia="Palatino Linotype" w:hAnsi="Palatino Linotype" w:cs="Palatino Linotype"/>
          <w:color w:val="000000"/>
          <w:sz w:val="24"/>
          <w:szCs w:val="24"/>
        </w:rPr>
        <w:t>, el particular interpuso el recurso de revisión, manifestando las siguientes razones y motivos de inconformidad:</w:t>
      </w:r>
    </w:p>
    <w:p w:rsidR="00447B70" w:rsidRDefault="00BF208B">
      <w:pPr>
        <w:numPr>
          <w:ilvl w:val="0"/>
          <w:numId w:val="1"/>
        </w:numPr>
        <w:pBdr>
          <w:top w:val="nil"/>
          <w:left w:val="nil"/>
          <w:bottom w:val="nil"/>
          <w:right w:val="nil"/>
          <w:between w:val="nil"/>
        </w:pBdr>
        <w:spacing w:after="0" w:line="360" w:lineRule="auto"/>
        <w:ind w:left="993" w:right="62"/>
        <w:jc w:val="both"/>
        <w:rPr>
          <w:rFonts w:ascii="Palatino Linotype" w:eastAsia="Palatino Linotype" w:hAnsi="Palatino Linotype" w:cs="Palatino Linotype"/>
          <w:i/>
          <w:color w:val="000000"/>
          <w:sz w:val="24"/>
          <w:szCs w:val="24"/>
        </w:rPr>
      </w:pPr>
      <w:bookmarkStart w:id="3" w:name="_heading=h.1fob9te" w:colFirst="0" w:colLast="0"/>
      <w:bookmarkEnd w:id="3"/>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sz w:val="24"/>
          <w:szCs w:val="24"/>
        </w:rPr>
        <w:t xml:space="preserve">“al depender de la </w:t>
      </w:r>
      <w:proofErr w:type="spellStart"/>
      <w:r>
        <w:rPr>
          <w:rFonts w:ascii="Palatino Linotype" w:eastAsia="Palatino Linotype" w:hAnsi="Palatino Linotype" w:cs="Palatino Linotype"/>
          <w:i/>
          <w:color w:val="000000"/>
          <w:sz w:val="24"/>
          <w:szCs w:val="24"/>
        </w:rPr>
        <w:t>secretarai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deberia</w:t>
      </w:r>
      <w:proofErr w:type="spellEnd"/>
      <w:r>
        <w:rPr>
          <w:rFonts w:ascii="Palatino Linotype" w:eastAsia="Palatino Linotype" w:hAnsi="Palatino Linotype" w:cs="Palatino Linotype"/>
          <w:i/>
          <w:color w:val="000000"/>
          <w:sz w:val="24"/>
          <w:szCs w:val="24"/>
        </w:rPr>
        <w:t xml:space="preserve"> tenerlos ya que la CAEM se niega a entregarlos”</w:t>
      </w:r>
    </w:p>
    <w:p w:rsidR="00447B70" w:rsidRDefault="00BF208B">
      <w:pPr>
        <w:numPr>
          <w:ilvl w:val="0"/>
          <w:numId w:val="1"/>
        </w:numPr>
        <w:pBdr>
          <w:top w:val="nil"/>
          <w:left w:val="nil"/>
          <w:bottom w:val="nil"/>
          <w:right w:val="nil"/>
          <w:between w:val="nil"/>
        </w:pBdr>
        <w:spacing w:after="0" w:line="360" w:lineRule="auto"/>
        <w:ind w:left="993" w:right="62"/>
        <w:jc w:val="both"/>
        <w:rPr>
          <w:rFonts w:ascii="Palatino Linotype" w:eastAsia="Palatino Linotype" w:hAnsi="Palatino Linotype" w:cs="Palatino Linotype"/>
          <w:i/>
          <w:color w:val="000000"/>
          <w:sz w:val="24"/>
          <w:szCs w:val="24"/>
        </w:rPr>
      </w:pPr>
      <w:bookmarkStart w:id="4" w:name="_heading=h.3znysh7" w:colFirst="0" w:colLast="0"/>
      <w:bookmarkEnd w:id="4"/>
      <w:r>
        <w:rPr>
          <w:rFonts w:ascii="Palatino Linotype" w:eastAsia="Palatino Linotype" w:hAnsi="Palatino Linotype" w:cs="Palatino Linotype"/>
          <w:b/>
          <w:color w:val="000000"/>
          <w:sz w:val="24"/>
          <w:szCs w:val="24"/>
        </w:rPr>
        <w:t>Razones o Motivos de inconformidad: “</w:t>
      </w:r>
      <w:r>
        <w:rPr>
          <w:rFonts w:ascii="Palatino Linotype" w:eastAsia="Palatino Linotype" w:hAnsi="Palatino Linotype" w:cs="Palatino Linotype"/>
          <w:i/>
          <w:color w:val="000000"/>
          <w:sz w:val="24"/>
          <w:szCs w:val="24"/>
        </w:rPr>
        <w:t xml:space="preserve">al depender de la </w:t>
      </w:r>
      <w:proofErr w:type="spellStart"/>
      <w:r>
        <w:rPr>
          <w:rFonts w:ascii="Palatino Linotype" w:eastAsia="Palatino Linotype" w:hAnsi="Palatino Linotype" w:cs="Palatino Linotype"/>
          <w:i/>
          <w:color w:val="000000"/>
          <w:sz w:val="24"/>
          <w:szCs w:val="24"/>
        </w:rPr>
        <w:t>secretarai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deberia</w:t>
      </w:r>
      <w:proofErr w:type="spellEnd"/>
      <w:r>
        <w:rPr>
          <w:rFonts w:ascii="Palatino Linotype" w:eastAsia="Palatino Linotype" w:hAnsi="Palatino Linotype" w:cs="Palatino Linotype"/>
          <w:i/>
          <w:color w:val="000000"/>
          <w:sz w:val="24"/>
          <w:szCs w:val="24"/>
        </w:rPr>
        <w:t xml:space="preserve"> tenerlos ya que la CAEM se niega a entregarlos”</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i/>
          <w:color w:val="000000"/>
          <w:sz w:val="24"/>
          <w:szCs w:val="24"/>
        </w:rPr>
      </w:pP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sz w:val="24"/>
          <w:szCs w:val="24"/>
        </w:rPr>
        <w:t>veintidós de agosto de dos mil veinticuatro</w:t>
      </w:r>
      <w:r>
        <w:rPr>
          <w:rFonts w:ascii="Palatino Linotype" w:eastAsia="Palatino Linotype" w:hAnsi="Palatino Linotype" w:cs="Palatino Linotype"/>
          <w:color w:val="000000"/>
          <w:sz w:val="24"/>
          <w:szCs w:val="24"/>
        </w:rPr>
        <w:t xml:space="preserve">, puso a disposición de las partes el expediente electrónico vía </w:t>
      </w:r>
      <w:r>
        <w:rPr>
          <w:rFonts w:ascii="Palatino Linotype" w:eastAsia="Palatino Linotype" w:hAnsi="Palatino Linotype" w:cs="Palatino Linotype"/>
          <w:b/>
          <w:color w:val="000000"/>
          <w:sz w:val="24"/>
          <w:szCs w:val="24"/>
        </w:rPr>
        <w:t xml:space="preserve">SAIMEX </w:t>
      </w:r>
      <w:r>
        <w:rPr>
          <w:rFonts w:ascii="Palatino Linotype" w:eastAsia="Palatino Linotype" w:hAnsi="Palatino Linotype" w:cs="Palatino Linotype"/>
          <w:color w:val="000000"/>
          <w:sz w:val="24"/>
          <w:szCs w:val="24"/>
        </w:rPr>
        <w:t xml:space="preserve">a efecto de que en un plazo máximo de siete días </w:t>
      </w:r>
      <w:r>
        <w:rPr>
          <w:rFonts w:ascii="Palatino Linotype" w:eastAsia="Palatino Linotype" w:hAnsi="Palatino Linotype" w:cs="Palatino Linotype"/>
          <w:sz w:val="24"/>
          <w:szCs w:val="24"/>
        </w:rPr>
        <w:t>manifestara</w:t>
      </w:r>
      <w:r>
        <w:rPr>
          <w:rFonts w:ascii="Palatino Linotype" w:eastAsia="Palatino Linotype" w:hAnsi="Palatino Linotype" w:cs="Palatino Linotype"/>
          <w:color w:val="000000"/>
          <w:sz w:val="24"/>
          <w:szCs w:val="24"/>
        </w:rPr>
        <w:t xml:space="preserve"> lo que a su derecho conviniera, </w:t>
      </w:r>
      <w:r>
        <w:rPr>
          <w:rFonts w:ascii="Palatino Linotype" w:eastAsia="Palatino Linotype" w:hAnsi="Palatino Linotype" w:cs="Palatino Linotype"/>
          <w:sz w:val="24"/>
          <w:szCs w:val="24"/>
        </w:rPr>
        <w:lastRenderedPageBreak/>
        <w:t>ofreciera</w:t>
      </w:r>
      <w:r>
        <w:rPr>
          <w:rFonts w:ascii="Palatino Linotype" w:eastAsia="Palatino Linotype" w:hAnsi="Palatino Linotype" w:cs="Palatino Linotype"/>
          <w:color w:val="000000"/>
          <w:sz w:val="24"/>
          <w:szCs w:val="24"/>
        </w:rPr>
        <w:t xml:space="preserve"> pruebas y alegatos según corresponda a los casos concretos, y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presentará el Informe Justificado procedente.</w:t>
      </w:r>
    </w:p>
    <w:p w:rsidR="00447B70" w:rsidRDefault="00BF208B">
      <w:pPr>
        <w:numPr>
          <w:ilvl w:val="0"/>
          <w:numId w:val="4"/>
        </w:numPr>
        <w:pBdr>
          <w:top w:val="nil"/>
          <w:left w:val="nil"/>
          <w:bottom w:val="nil"/>
          <w:right w:val="nil"/>
          <w:between w:val="nil"/>
        </w:pBdr>
        <w:spacing w:after="0" w:line="360" w:lineRule="auto"/>
        <w:ind w:left="0" w:right="62" w:firstLine="0"/>
        <w:jc w:val="both"/>
        <w:rPr>
          <w:color w:val="000000"/>
        </w:rPr>
      </w:pPr>
      <w:r>
        <w:rPr>
          <w:rFonts w:ascii="Palatino Linotype" w:eastAsia="Palatino Linotype" w:hAnsi="Palatino Linotype" w:cs="Palatino Linotype"/>
          <w:color w:val="000000"/>
          <w:sz w:val="24"/>
          <w:szCs w:val="24"/>
        </w:rPr>
        <w:t xml:space="preserve">De lo anterior, en fecha </w:t>
      </w:r>
      <w:r>
        <w:rPr>
          <w:rFonts w:ascii="Palatino Linotype" w:eastAsia="Palatino Linotype" w:hAnsi="Palatino Linotype" w:cs="Palatino Linotype"/>
          <w:b/>
          <w:color w:val="000000"/>
          <w:sz w:val="24"/>
          <w:szCs w:val="24"/>
        </w:rPr>
        <w:t xml:space="preserve">veintinueve de agosto de dos mil veinticuatro,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rindió su informe justificado mediante un archivo electrónico en formato </w:t>
      </w:r>
      <w:proofErr w:type="spellStart"/>
      <w:r>
        <w:rPr>
          <w:rFonts w:ascii="Palatino Linotype" w:eastAsia="Palatino Linotype" w:hAnsi="Palatino Linotype" w:cs="Palatino Linotype"/>
          <w:color w:val="000000"/>
          <w:sz w:val="24"/>
          <w:szCs w:val="24"/>
        </w:rPr>
        <w:t>pdf</w:t>
      </w:r>
      <w:proofErr w:type="spellEnd"/>
      <w:r>
        <w:rPr>
          <w:rFonts w:ascii="Palatino Linotype" w:eastAsia="Palatino Linotype" w:hAnsi="Palatino Linotype" w:cs="Palatino Linotype"/>
          <w:color w:val="000000"/>
          <w:sz w:val="24"/>
          <w:szCs w:val="24"/>
        </w:rPr>
        <w:t xml:space="preserve">, cuyo contenido grosso modo es el siguiente: </w:t>
      </w: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INFORME JUSTIFICADO 04913.pdf: </w:t>
      </w:r>
      <w:r>
        <w:rPr>
          <w:rFonts w:ascii="Palatino Linotype" w:eastAsia="Palatino Linotype" w:hAnsi="Palatino Linotype" w:cs="Palatino Linotype"/>
          <w:i/>
          <w:color w:val="000000"/>
        </w:rPr>
        <w:t xml:space="preserve">documento de fecha veintinueve de agosto de dos mil veinticuatro, mediante el cual el </w:t>
      </w:r>
      <w:r>
        <w:rPr>
          <w:rFonts w:ascii="Palatino Linotype" w:eastAsia="Palatino Linotype" w:hAnsi="Palatino Linotype" w:cs="Palatino Linotype"/>
          <w:b/>
          <w:i/>
          <w:color w:val="000000"/>
        </w:rPr>
        <w:t xml:space="preserve">SUJETO OBLIGADO </w:t>
      </w:r>
      <w:r>
        <w:rPr>
          <w:rFonts w:ascii="Palatino Linotype" w:eastAsia="Palatino Linotype" w:hAnsi="Palatino Linotype" w:cs="Palatino Linotype"/>
          <w:i/>
          <w:color w:val="000000"/>
        </w:rPr>
        <w:t xml:space="preserve"> reitera que no es competente para atender la solicitud de información hecha por el particular.</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b/>
          <w:sz w:val="24"/>
          <w:szCs w:val="24"/>
        </w:rPr>
      </w:pP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b/>
          <w:sz w:val="24"/>
          <w:szCs w:val="24"/>
        </w:rPr>
      </w:pP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Por su parte </w:t>
      </w:r>
      <w:r>
        <w:rPr>
          <w:rFonts w:ascii="Palatino Linotype" w:eastAsia="Palatino Linotype" w:hAnsi="Palatino Linotype" w:cs="Palatino Linotype"/>
          <w:b/>
          <w:color w:val="000000"/>
          <w:sz w:val="24"/>
          <w:szCs w:val="24"/>
        </w:rPr>
        <w:t xml:space="preserve">el PARTICULAR </w:t>
      </w:r>
      <w:r>
        <w:rPr>
          <w:rFonts w:ascii="Palatino Linotype" w:eastAsia="Palatino Linotype" w:hAnsi="Palatino Linotype" w:cs="Palatino Linotype"/>
          <w:sz w:val="24"/>
          <w:szCs w:val="24"/>
        </w:rPr>
        <w:t>dejó</w:t>
      </w:r>
      <w:r>
        <w:rPr>
          <w:rFonts w:ascii="Palatino Linotype" w:eastAsia="Palatino Linotype" w:hAnsi="Palatino Linotype" w:cs="Palatino Linotype"/>
          <w:color w:val="000000"/>
          <w:sz w:val="24"/>
          <w:szCs w:val="24"/>
        </w:rPr>
        <w:t xml:space="preserve"> de realizar manifestaciones que a su derecho conviniera y asistiera, tal y como se muestra en la siguiente captura.</w:t>
      </w:r>
    </w:p>
    <w:p w:rsidR="00447B70" w:rsidRDefault="00BF208B">
      <w:pPr>
        <w:pBdr>
          <w:top w:val="nil"/>
          <w:left w:val="nil"/>
          <w:bottom w:val="nil"/>
          <w:right w:val="nil"/>
          <w:between w:val="nil"/>
        </w:pBdr>
        <w:spacing w:after="0" w:line="360" w:lineRule="auto"/>
        <w:ind w:left="720" w:right="-929"/>
        <w:jc w:val="center"/>
        <w:rPr>
          <w:rFonts w:ascii="Palatino Linotype" w:eastAsia="Palatino Linotype" w:hAnsi="Palatino Linotype" w:cs="Palatino Linotype"/>
          <w:color w:val="000000"/>
          <w:sz w:val="24"/>
          <w:szCs w:val="24"/>
        </w:rPr>
      </w:pPr>
      <w:r>
        <w:rPr>
          <w:noProof/>
          <w:color w:val="000000"/>
          <w:sz w:val="24"/>
          <w:szCs w:val="24"/>
          <w:lang w:val="es-MX"/>
        </w:rPr>
        <w:drawing>
          <wp:inline distT="0" distB="0" distL="0" distR="0">
            <wp:extent cx="4256985" cy="363433"/>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4654" t="39744" r="24861" b="52593"/>
                    <a:stretch>
                      <a:fillRect/>
                    </a:stretch>
                  </pic:blipFill>
                  <pic:spPr>
                    <a:xfrm>
                      <a:off x="0" y="0"/>
                      <a:ext cx="4256985" cy="363433"/>
                    </a:xfrm>
                    <a:prstGeom prst="rect">
                      <a:avLst/>
                    </a:prstGeom>
                    <a:ln/>
                  </pic:spPr>
                </pic:pic>
              </a:graphicData>
            </a:graphic>
          </wp:inline>
        </w:drawing>
      </w:r>
    </w:p>
    <w:p w:rsidR="00447B70" w:rsidRDefault="00447B70">
      <w:pPr>
        <w:pBdr>
          <w:top w:val="nil"/>
          <w:left w:val="nil"/>
          <w:bottom w:val="nil"/>
          <w:right w:val="nil"/>
          <w:between w:val="nil"/>
        </w:pBdr>
        <w:spacing w:after="0" w:line="360" w:lineRule="auto"/>
        <w:ind w:right="-929"/>
        <w:jc w:val="both"/>
        <w:rPr>
          <w:rFonts w:ascii="Palatino Linotype" w:eastAsia="Palatino Linotype" w:hAnsi="Palatino Linotype" w:cs="Palatino Linotype"/>
          <w:b/>
          <w:color w:val="000000"/>
          <w:sz w:val="24"/>
          <w:szCs w:val="24"/>
        </w:rPr>
      </w:pP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highlight w:val="white"/>
        </w:rPr>
      </w:pPr>
      <w:bookmarkStart w:id="5" w:name="_heading=h.2et92p0" w:colFirst="0" w:colLast="0"/>
      <w:bookmarkEnd w:id="5"/>
      <w:r>
        <w:rPr>
          <w:rFonts w:ascii="Palatino Linotype" w:eastAsia="Palatino Linotype" w:hAnsi="Palatino Linotype" w:cs="Palatino Linotype"/>
          <w:color w:val="000000"/>
          <w:sz w:val="24"/>
          <w:szCs w:val="24"/>
          <w:highlight w:val="white"/>
        </w:rPr>
        <w:t xml:space="preserve">Seguidamente, mediante acuerdo de fecha </w:t>
      </w:r>
      <w:r>
        <w:rPr>
          <w:rFonts w:ascii="Palatino Linotype" w:eastAsia="Palatino Linotype" w:hAnsi="Palatino Linotype" w:cs="Palatino Linotype"/>
          <w:b/>
          <w:color w:val="000000"/>
          <w:sz w:val="24"/>
          <w:szCs w:val="24"/>
          <w:highlight w:val="white"/>
        </w:rPr>
        <w:t>dieciocho de septiembre de dos mil veinticuatro</w:t>
      </w:r>
      <w:r>
        <w:rPr>
          <w:rFonts w:ascii="Palatino Linotype" w:eastAsia="Palatino Linotype" w:hAnsi="Palatino Linotype" w:cs="Palatino Linotype"/>
          <w:color w:val="000000"/>
          <w:sz w:val="24"/>
          <w:szCs w:val="24"/>
          <w:highlight w:val="white"/>
        </w:rPr>
        <w:t>, se  decretó el cierre de instrucción, por lo que no habiendo más que hacer constar, y-------------------------------------------------------------------------------------------------------------</w:t>
      </w:r>
    </w:p>
    <w:p w:rsidR="00447B70" w:rsidRDefault="00447B70">
      <w:pPr>
        <w:pBdr>
          <w:top w:val="nil"/>
          <w:left w:val="nil"/>
          <w:bottom w:val="nil"/>
          <w:right w:val="nil"/>
          <w:between w:val="nil"/>
        </w:pBdr>
        <w:spacing w:after="0" w:line="360" w:lineRule="auto"/>
        <w:ind w:left="360" w:right="-929"/>
        <w:jc w:val="both"/>
        <w:rPr>
          <w:rFonts w:ascii="Palatino Linotype" w:eastAsia="Palatino Linotype" w:hAnsi="Palatino Linotype" w:cs="Palatino Linotype"/>
          <w:sz w:val="24"/>
          <w:szCs w:val="24"/>
          <w:highlight w:val="white"/>
        </w:rPr>
      </w:pPr>
      <w:bookmarkStart w:id="6" w:name="_heading=h.w6z1cnje2paq" w:colFirst="0" w:colLast="0"/>
      <w:bookmarkEnd w:id="6"/>
    </w:p>
    <w:p w:rsidR="00447B70" w:rsidRDefault="00BF208B">
      <w:pPr>
        <w:pBdr>
          <w:top w:val="nil"/>
          <w:left w:val="nil"/>
          <w:bottom w:val="nil"/>
          <w:right w:val="nil"/>
          <w:between w:val="nil"/>
        </w:pBdr>
        <w:spacing w:after="0" w:line="360" w:lineRule="auto"/>
        <w:ind w:right="-929"/>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 O N S I D E R A N D O</w:t>
      </w:r>
    </w:p>
    <w:p w:rsidR="00447B70" w:rsidRDefault="00447B70">
      <w:pPr>
        <w:pBdr>
          <w:top w:val="nil"/>
          <w:left w:val="nil"/>
          <w:bottom w:val="nil"/>
          <w:right w:val="nil"/>
          <w:between w:val="nil"/>
        </w:pBdr>
        <w:spacing w:after="0" w:line="360" w:lineRule="auto"/>
        <w:ind w:right="-929"/>
        <w:jc w:val="center"/>
        <w:rPr>
          <w:rFonts w:ascii="Palatino Linotype" w:eastAsia="Palatino Linotype" w:hAnsi="Palatino Linotype" w:cs="Palatino Linotype"/>
          <w:b/>
          <w:color w:val="000000"/>
          <w:sz w:val="24"/>
          <w:szCs w:val="24"/>
        </w:rPr>
      </w:pPr>
    </w:p>
    <w:p w:rsidR="00447B70" w:rsidRDefault="00BF208B">
      <w:pPr>
        <w:keepNext/>
        <w:keepLines/>
        <w:pBdr>
          <w:top w:val="nil"/>
          <w:left w:val="nil"/>
          <w:bottom w:val="nil"/>
          <w:right w:val="nil"/>
          <w:between w:val="nil"/>
        </w:pBdr>
        <w:spacing w:after="0" w:line="360" w:lineRule="auto"/>
        <w:ind w:right="-929"/>
        <w:rPr>
          <w:rFonts w:ascii="Palatino Linotype" w:eastAsia="Palatino Linotype" w:hAnsi="Palatino Linotype" w:cs="Palatino Linotype"/>
          <w:b/>
          <w:color w:val="000000"/>
          <w:sz w:val="24"/>
          <w:szCs w:val="24"/>
        </w:rPr>
      </w:pPr>
      <w:bookmarkStart w:id="7" w:name="_heading=h.tyjcwt" w:colFirst="0" w:colLast="0"/>
      <w:bookmarkEnd w:id="7"/>
      <w:r>
        <w:rPr>
          <w:rFonts w:ascii="Palatino Linotype" w:eastAsia="Palatino Linotype" w:hAnsi="Palatino Linotype" w:cs="Palatino Linotype"/>
          <w:b/>
          <w:color w:val="000000"/>
          <w:sz w:val="24"/>
          <w:szCs w:val="24"/>
        </w:rPr>
        <w:t>PRIMERO. De la competencia</w:t>
      </w: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w:t>
      </w:r>
      <w:r>
        <w:rPr>
          <w:rFonts w:ascii="Palatino Linotype" w:eastAsia="Palatino Linotype" w:hAnsi="Palatino Linotype" w:cs="Palatino Linotype"/>
          <w:color w:val="000000"/>
          <w:sz w:val="24"/>
          <w:szCs w:val="24"/>
        </w:rPr>
        <w:lastRenderedPageBreak/>
        <w:t>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447B70" w:rsidRDefault="00447B70">
      <w:pPr>
        <w:pBdr>
          <w:top w:val="nil"/>
          <w:left w:val="nil"/>
          <w:bottom w:val="nil"/>
          <w:right w:val="nil"/>
          <w:between w:val="nil"/>
        </w:pBdr>
        <w:spacing w:after="0" w:line="360" w:lineRule="auto"/>
        <w:ind w:right="-929"/>
        <w:jc w:val="both"/>
        <w:rPr>
          <w:rFonts w:ascii="Palatino Linotype" w:eastAsia="Palatino Linotype" w:hAnsi="Palatino Linotype" w:cs="Palatino Linotype"/>
          <w:color w:val="000000"/>
          <w:sz w:val="24"/>
          <w:szCs w:val="24"/>
        </w:rPr>
      </w:pPr>
    </w:p>
    <w:p w:rsidR="00447B70" w:rsidRDefault="00BF208B">
      <w:pPr>
        <w:keepNext/>
        <w:keepLines/>
        <w:pBdr>
          <w:top w:val="nil"/>
          <w:left w:val="nil"/>
          <w:bottom w:val="nil"/>
          <w:right w:val="nil"/>
          <w:between w:val="nil"/>
        </w:pBdr>
        <w:spacing w:after="0" w:line="360" w:lineRule="auto"/>
        <w:ind w:right="-929"/>
        <w:rPr>
          <w:rFonts w:ascii="Palatino Linotype" w:eastAsia="Palatino Linotype" w:hAnsi="Palatino Linotype" w:cs="Palatino Linotype"/>
          <w:b/>
          <w:color w:val="000000"/>
          <w:sz w:val="24"/>
          <w:szCs w:val="24"/>
        </w:rPr>
      </w:pPr>
      <w:bookmarkStart w:id="8" w:name="_heading=h.3dy6vkm" w:colFirst="0" w:colLast="0"/>
      <w:bookmarkEnd w:id="8"/>
      <w:r>
        <w:rPr>
          <w:rFonts w:ascii="Palatino Linotype" w:eastAsia="Palatino Linotype" w:hAnsi="Palatino Linotype" w:cs="Palatino Linotype"/>
          <w:b/>
          <w:color w:val="000000"/>
          <w:sz w:val="24"/>
          <w:szCs w:val="24"/>
        </w:rPr>
        <w:t>SEGUNDO. De la oportunidad y procedencia.</w:t>
      </w: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El medio de impugnación fue presentado a través del </w:t>
      </w:r>
      <w:r>
        <w:rPr>
          <w:rFonts w:ascii="Palatino Linotype" w:eastAsia="Palatino Linotype" w:hAnsi="Palatino Linotype" w:cs="Palatino Linotype"/>
          <w:b/>
          <w:color w:val="000000"/>
          <w:sz w:val="24"/>
          <w:szCs w:val="24"/>
        </w:rPr>
        <w:t>Sistema de Acceso a la Información,</w:t>
      </w:r>
      <w:r>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entregó su respuesta el </w:t>
      </w:r>
      <w:r>
        <w:rPr>
          <w:rFonts w:ascii="Palatino Linotype" w:eastAsia="Palatino Linotype" w:hAnsi="Palatino Linotype" w:cs="Palatino Linotype"/>
          <w:b/>
          <w:color w:val="000000"/>
          <w:sz w:val="24"/>
          <w:szCs w:val="24"/>
        </w:rPr>
        <w:t>nueve de agosto de dos mil veinticuatro</w:t>
      </w:r>
      <w:r>
        <w:rPr>
          <w:rFonts w:ascii="Palatino Linotype" w:eastAsia="Palatino Linotype" w:hAnsi="Palatino Linotype" w:cs="Palatino Linotype"/>
          <w:color w:val="000000"/>
          <w:sz w:val="24"/>
          <w:szCs w:val="24"/>
        </w:rPr>
        <w:t xml:space="preserve">, de tal forma que el plazo para interponer el recurso de revisión transcurrió del día </w:t>
      </w:r>
      <w:r>
        <w:rPr>
          <w:rFonts w:ascii="Palatino Linotype" w:eastAsia="Palatino Linotype" w:hAnsi="Palatino Linotype" w:cs="Palatino Linotype"/>
          <w:b/>
          <w:color w:val="000000"/>
          <w:sz w:val="24"/>
          <w:szCs w:val="24"/>
        </w:rPr>
        <w:t>doce al treinta de agosto de dos mil veinticuatro</w:t>
      </w:r>
      <w:r>
        <w:rPr>
          <w:rFonts w:ascii="Palatino Linotype" w:eastAsia="Palatino Linotype" w:hAnsi="Palatino Linotype" w:cs="Palatino Linotype"/>
          <w:color w:val="000000"/>
          <w:sz w:val="24"/>
          <w:szCs w:val="24"/>
        </w:rPr>
        <w:t xml:space="preserve">; en consecuencia, 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presentó su inconformidad el día </w:t>
      </w:r>
      <w:r>
        <w:rPr>
          <w:rFonts w:ascii="Palatino Linotype" w:eastAsia="Palatino Linotype" w:hAnsi="Palatino Linotype" w:cs="Palatino Linotype"/>
          <w:b/>
          <w:color w:val="000000"/>
          <w:sz w:val="24"/>
          <w:szCs w:val="24"/>
        </w:rPr>
        <w:t>diecinueve de agosto de dos mil veinticuatro</w:t>
      </w:r>
      <w:r>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rsidR="00447B70" w:rsidRDefault="00447B70">
      <w:pPr>
        <w:pBdr>
          <w:top w:val="nil"/>
          <w:left w:val="nil"/>
          <w:bottom w:val="nil"/>
          <w:right w:val="nil"/>
          <w:between w:val="nil"/>
        </w:pBdr>
        <w:spacing w:after="0" w:line="360" w:lineRule="auto"/>
        <w:ind w:right="-929"/>
        <w:rPr>
          <w:rFonts w:ascii="Palatino Linotype" w:eastAsia="Palatino Linotype" w:hAnsi="Palatino Linotype" w:cs="Palatino Linotype"/>
          <w:color w:val="000000"/>
          <w:sz w:val="24"/>
          <w:szCs w:val="24"/>
        </w:rPr>
      </w:pPr>
    </w:p>
    <w:p w:rsidR="00447B70" w:rsidRDefault="00BF208B">
      <w:pPr>
        <w:keepNext/>
        <w:keepLines/>
        <w:pBdr>
          <w:top w:val="nil"/>
          <w:left w:val="nil"/>
          <w:bottom w:val="nil"/>
          <w:right w:val="nil"/>
          <w:between w:val="nil"/>
        </w:pBdr>
        <w:spacing w:after="0" w:line="360" w:lineRule="auto"/>
        <w:ind w:right="-929"/>
        <w:rPr>
          <w:rFonts w:ascii="Palatino Linotype" w:eastAsia="Palatino Linotype" w:hAnsi="Palatino Linotype" w:cs="Palatino Linotype"/>
          <w:b/>
          <w:color w:val="000000"/>
          <w:sz w:val="24"/>
          <w:szCs w:val="24"/>
        </w:rPr>
      </w:pPr>
      <w:bookmarkStart w:id="9" w:name="_heading=h.1t3h5sf" w:colFirst="0" w:colLast="0"/>
      <w:bookmarkEnd w:id="9"/>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Se solicitó tener acceso, a la información que a continuación se desagrega:</w:t>
      </w:r>
    </w:p>
    <w:p w:rsidR="00447B70" w:rsidRDefault="00447B70">
      <w:pPr>
        <w:pBdr>
          <w:top w:val="nil"/>
          <w:left w:val="nil"/>
          <w:bottom w:val="nil"/>
          <w:right w:val="nil"/>
          <w:between w:val="nil"/>
        </w:pBdr>
        <w:spacing w:after="0" w:line="360" w:lineRule="auto"/>
        <w:ind w:left="1134" w:right="-929"/>
        <w:jc w:val="both"/>
        <w:rPr>
          <w:rFonts w:ascii="Palatino Linotype" w:eastAsia="Palatino Linotype" w:hAnsi="Palatino Linotype" w:cs="Palatino Linotype"/>
          <w:b/>
          <w:color w:val="000000"/>
          <w:sz w:val="24"/>
          <w:szCs w:val="24"/>
        </w:rPr>
      </w:pPr>
    </w:p>
    <w:p w:rsidR="00447B70" w:rsidRDefault="00BF208B">
      <w:pPr>
        <w:numPr>
          <w:ilvl w:val="0"/>
          <w:numId w:val="2"/>
        </w:numPr>
        <w:pBdr>
          <w:top w:val="nil"/>
          <w:left w:val="nil"/>
          <w:bottom w:val="nil"/>
          <w:right w:val="nil"/>
          <w:between w:val="nil"/>
        </w:pBdr>
        <w:spacing w:after="0" w:line="360" w:lineRule="auto"/>
        <w:ind w:right="6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Recibos de </w:t>
      </w:r>
      <w:r>
        <w:rPr>
          <w:rFonts w:ascii="Palatino Linotype" w:eastAsia="Palatino Linotype" w:hAnsi="Palatino Linotype" w:cs="Palatino Linotype"/>
          <w:b/>
        </w:rPr>
        <w:t>nómina</w:t>
      </w:r>
      <w:r>
        <w:rPr>
          <w:rFonts w:ascii="Palatino Linotype" w:eastAsia="Palatino Linotype" w:hAnsi="Palatino Linotype" w:cs="Palatino Linotype"/>
          <w:b/>
          <w:color w:val="000000"/>
        </w:rPr>
        <w:t xml:space="preserve"> y copias de las credenciales de trabajo del personal del Órgano Interno de Control de la Comisión del Agua del Estado de México.</w:t>
      </w:r>
    </w:p>
    <w:p w:rsidR="00447B70" w:rsidRDefault="00447B70">
      <w:pPr>
        <w:pBdr>
          <w:top w:val="nil"/>
          <w:left w:val="nil"/>
          <w:bottom w:val="nil"/>
          <w:right w:val="nil"/>
          <w:between w:val="nil"/>
        </w:pBdr>
        <w:spacing w:after="0" w:line="360" w:lineRule="auto"/>
        <w:ind w:left="778" w:right="62"/>
        <w:jc w:val="both"/>
        <w:rPr>
          <w:rFonts w:ascii="Palatino Linotype" w:eastAsia="Palatino Linotype" w:hAnsi="Palatino Linotype" w:cs="Palatino Linotype"/>
          <w:color w:val="000000"/>
        </w:rPr>
      </w:pPr>
    </w:p>
    <w:p w:rsidR="00447B70" w:rsidRDefault="00BF208B">
      <w:pPr>
        <w:numPr>
          <w:ilvl w:val="0"/>
          <w:numId w:val="4"/>
        </w:numPr>
        <w:pBdr>
          <w:top w:val="nil"/>
          <w:left w:val="nil"/>
          <w:bottom w:val="nil"/>
          <w:right w:val="nil"/>
          <w:between w:val="nil"/>
        </w:pBd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remitió archivos en PDF, consistente en:</w:t>
      </w: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ACUERDO DE ORIENTACIÓN_1.PDF: </w:t>
      </w:r>
      <w:r>
        <w:rPr>
          <w:rFonts w:ascii="Palatino Linotype" w:eastAsia="Palatino Linotype" w:hAnsi="Palatino Linotype" w:cs="Palatino Linotype"/>
          <w:i/>
          <w:color w:val="000000"/>
        </w:rPr>
        <w:t xml:space="preserve">contestación constante de tres fojas en el que el </w:t>
      </w:r>
      <w:r>
        <w:rPr>
          <w:rFonts w:ascii="Palatino Linotype" w:eastAsia="Palatino Linotype" w:hAnsi="Palatino Linotype" w:cs="Palatino Linotype"/>
          <w:b/>
          <w:i/>
          <w:color w:val="000000"/>
        </w:rPr>
        <w:t>SUJETO OBLIGADO</w:t>
      </w:r>
      <w:r>
        <w:rPr>
          <w:rFonts w:ascii="Palatino Linotype" w:eastAsia="Palatino Linotype" w:hAnsi="Palatino Linotype" w:cs="Palatino Linotype"/>
          <w:i/>
          <w:color w:val="000000"/>
        </w:rPr>
        <w:t xml:space="preserve">  informa al particular que no cuenta con la información solicitada toda vez que le corresponde a la Comisión del Agua del Estado de México, por lo que, le hace de conocimiento al solicitante que dirija la solicitud de información a dicho </w:t>
      </w:r>
      <w:r>
        <w:rPr>
          <w:rFonts w:ascii="Palatino Linotype" w:eastAsia="Palatino Linotype" w:hAnsi="Palatino Linotype" w:cs="Palatino Linotype"/>
          <w:b/>
          <w:i/>
          <w:color w:val="000000"/>
        </w:rPr>
        <w:t xml:space="preserve">SUJETO OBLIGADO </w:t>
      </w:r>
    </w:p>
    <w:p w:rsidR="00447B70" w:rsidRDefault="00447B70">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i/>
          <w:color w:val="000000"/>
        </w:rPr>
      </w:pP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t>OFICIO DE RESPUESTA UT_1.PDF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escrito de respuesta de fecha nueve de agosto de dos mil veinticuatro, mediante el cual el Encargado de Despacho de la Unidad de Prevención de la Corrupción y Responsable de la Unidad de Transparencia, notifica al Particular el Acuerdo de Orientación de que la información está en poder de otro </w:t>
      </w:r>
      <w:r>
        <w:rPr>
          <w:rFonts w:ascii="Palatino Linotype" w:eastAsia="Palatino Linotype" w:hAnsi="Palatino Linotype" w:cs="Palatino Linotype"/>
          <w:b/>
          <w:i/>
          <w:color w:val="000000"/>
        </w:rPr>
        <w:t>SUJETO OBLIGADO.</w:t>
      </w:r>
    </w:p>
    <w:p w:rsidR="00447B70" w:rsidRDefault="00447B70">
      <w:pPr>
        <w:ind w:right="-929"/>
        <w:rPr>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 xml:space="preserve">En dichas condiciones, la </w:t>
      </w:r>
      <w:r>
        <w:rPr>
          <w:rFonts w:ascii="Palatino Linotype" w:eastAsia="Palatino Linotype" w:hAnsi="Palatino Linotype" w:cs="Palatino Linotype"/>
          <w:i/>
          <w:sz w:val="24"/>
          <w:szCs w:val="24"/>
        </w:rPr>
        <w:t>Litis</w:t>
      </w:r>
      <w:r>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Pr>
          <w:rFonts w:ascii="Palatino Linotype" w:eastAsia="Palatino Linotype" w:hAnsi="Palatino Linotype" w:cs="Palatino Linotype"/>
          <w:b/>
          <w:sz w:val="24"/>
          <w:szCs w:val="24"/>
        </w:rPr>
        <w:t xml:space="preserve">fracción I </w:t>
      </w:r>
      <w:r>
        <w:rPr>
          <w:rFonts w:ascii="Palatino Linotype" w:eastAsia="Palatino Linotype" w:hAnsi="Palatino Linotype" w:cs="Palatino Linotype"/>
          <w:sz w:val="24"/>
          <w:szCs w:val="24"/>
        </w:rPr>
        <w:t xml:space="preserve">de la </w:t>
      </w:r>
      <w:r>
        <w:rPr>
          <w:rFonts w:ascii="Palatino Linotype" w:eastAsia="Palatino Linotype" w:hAnsi="Palatino Linotype" w:cs="Palatino Linotype"/>
          <w:b/>
          <w:sz w:val="24"/>
          <w:szCs w:val="24"/>
        </w:rPr>
        <w:t xml:space="preserve">Ley de Transparencia y Acceso a la Información Pública del Estado de </w:t>
      </w:r>
      <w:r>
        <w:rPr>
          <w:rFonts w:ascii="Palatino Linotype" w:eastAsia="Palatino Linotype" w:hAnsi="Palatino Linotype" w:cs="Palatino Linotype"/>
          <w:sz w:val="24"/>
          <w:szCs w:val="24"/>
        </w:rPr>
        <w:t>México</w:t>
      </w:r>
      <w:r>
        <w:rPr>
          <w:rFonts w:ascii="Palatino Linotype" w:eastAsia="Palatino Linotype" w:hAnsi="Palatino Linotype" w:cs="Palatino Linotype"/>
          <w:b/>
          <w:sz w:val="24"/>
          <w:szCs w:val="24"/>
        </w:rPr>
        <w:t xml:space="preserve"> y </w:t>
      </w:r>
      <w:r>
        <w:rPr>
          <w:rFonts w:ascii="Palatino Linotype" w:eastAsia="Palatino Linotype" w:hAnsi="Palatino Linotype" w:cs="Palatino Linotype"/>
          <w:sz w:val="24"/>
          <w:szCs w:val="24"/>
        </w:rPr>
        <w:t xml:space="preserve">Municipios; </w:t>
      </w:r>
      <w:r>
        <w:rPr>
          <w:rFonts w:ascii="Palatino Linotype" w:eastAsia="Palatino Linotype" w:hAnsi="Palatino Linotype" w:cs="Palatino Linotype"/>
          <w:color w:val="000000"/>
          <w:sz w:val="24"/>
          <w:szCs w:val="24"/>
        </w:rPr>
        <w:t xml:space="preserve">fracción que determina la hipótesis jurídica relativa a la falta, la negativa a la información solicitada; </w:t>
      </w:r>
      <w:r>
        <w:rPr>
          <w:rFonts w:ascii="Palatino Linotype" w:eastAsia="Palatino Linotype" w:hAnsi="Palatino Linotype" w:cs="Palatino Linotype"/>
          <w:sz w:val="24"/>
          <w:szCs w:val="24"/>
        </w:rPr>
        <w:t xml:space="preserve">contexto del cual se dolió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al momento de interponer su inconformidad.</w:t>
      </w:r>
      <w:r>
        <w:rPr>
          <w:rFonts w:ascii="Palatino Linotype" w:eastAsia="Palatino Linotype" w:hAnsi="Palatino Linotype" w:cs="Palatino Linotype"/>
          <w:color w:val="000000"/>
          <w:sz w:val="24"/>
          <w:szCs w:val="24"/>
        </w:rPr>
        <w:t xml:space="preserve"> De modo tal que el presente recurso de revisión se </w:t>
      </w:r>
      <w:r>
        <w:rPr>
          <w:rFonts w:ascii="Palatino Linotype" w:eastAsia="Palatino Linotype" w:hAnsi="Palatino Linotype" w:cs="Palatino Linotype"/>
          <w:sz w:val="24"/>
          <w:szCs w:val="24"/>
        </w:rPr>
        <w:t>abocará</w:t>
      </w:r>
      <w:r>
        <w:rPr>
          <w:rFonts w:ascii="Palatino Linotype" w:eastAsia="Palatino Linotype" w:hAnsi="Palatino Linotype" w:cs="Palatino Linotype"/>
          <w:color w:val="000000"/>
          <w:sz w:val="24"/>
          <w:szCs w:val="24"/>
        </w:rPr>
        <w:t xml:space="preserve"> en determinar si el </w:t>
      </w:r>
      <w:r>
        <w:rPr>
          <w:rFonts w:ascii="Palatino Linotype" w:eastAsia="Palatino Linotype" w:hAnsi="Palatino Linotype" w:cs="Palatino Linotype"/>
          <w:b/>
          <w:color w:val="000000"/>
          <w:sz w:val="24"/>
          <w:szCs w:val="24"/>
        </w:rPr>
        <w:t>SUJETO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OBLIGADO</w:t>
      </w:r>
      <w:r>
        <w:rPr>
          <w:rFonts w:ascii="Palatino Linotype" w:eastAsia="Palatino Linotype" w:hAnsi="Palatino Linotype" w:cs="Palatino Linotype"/>
          <w:color w:val="000000"/>
          <w:sz w:val="24"/>
          <w:szCs w:val="24"/>
        </w:rPr>
        <w:t xml:space="preserve"> con su respuesta ciertamente actualiza la causal de procedencia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antes señalada. </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keepNext/>
        <w:keepLines/>
        <w:pBdr>
          <w:top w:val="nil"/>
          <w:left w:val="nil"/>
          <w:bottom w:val="nil"/>
          <w:right w:val="nil"/>
          <w:between w:val="nil"/>
        </w:pBdr>
        <w:spacing w:after="0" w:line="360" w:lineRule="auto"/>
        <w:ind w:right="-929"/>
        <w:rPr>
          <w:rFonts w:ascii="Palatino Linotype" w:eastAsia="Palatino Linotype" w:hAnsi="Palatino Linotype" w:cs="Palatino Linotype"/>
          <w:b/>
          <w:color w:val="000000"/>
          <w:sz w:val="24"/>
          <w:szCs w:val="24"/>
        </w:rPr>
      </w:pPr>
      <w:bookmarkStart w:id="10" w:name="_heading=h.4d34og8" w:colFirst="0" w:colLast="0"/>
      <w:bookmarkEnd w:id="10"/>
      <w:r>
        <w:rPr>
          <w:rFonts w:ascii="Palatino Linotype" w:eastAsia="Palatino Linotype" w:hAnsi="Palatino Linotype" w:cs="Palatino Linotype"/>
          <w:b/>
          <w:color w:val="000000"/>
          <w:sz w:val="24"/>
          <w:szCs w:val="24"/>
        </w:rPr>
        <w:t>CUARTO. Del estudio y resolución del asunto.</w:t>
      </w:r>
    </w:p>
    <w:p w:rsidR="00447B70" w:rsidRDefault="00BF208B">
      <w:pPr>
        <w:keepNext/>
        <w:keepLines/>
        <w:numPr>
          <w:ilvl w:val="0"/>
          <w:numId w:val="3"/>
        </w:numPr>
        <w:spacing w:after="240" w:line="360" w:lineRule="auto"/>
        <w:ind w:left="786" w:right="-929"/>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Del derecho de acceso a la información.</w:t>
      </w: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447B70" w:rsidRDefault="00447B70">
      <w:pPr>
        <w:pBdr>
          <w:top w:val="nil"/>
          <w:left w:val="nil"/>
          <w:bottom w:val="nil"/>
          <w:right w:val="nil"/>
          <w:between w:val="nil"/>
        </w:pBdr>
        <w:spacing w:after="240" w:line="360" w:lineRule="auto"/>
        <w:ind w:right="-929"/>
        <w:jc w:val="both"/>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 xml:space="preserve">Definiendo el Derecho de Acceso a la Información Pública como: </w:t>
      </w:r>
      <w:r>
        <w:rPr>
          <w:rFonts w:ascii="Palatino Linotype" w:eastAsia="Palatino Linotype" w:hAnsi="Palatino Linotype" w:cs="Palatino Linotype"/>
          <w:i/>
          <w:color w:val="000000"/>
          <w:sz w:val="24"/>
          <w:szCs w:val="24"/>
        </w:rPr>
        <w:t>La igualdad de oportunidades para recibir, buscar e impartir información</w:t>
      </w:r>
      <w:r>
        <w:rPr>
          <w:rFonts w:ascii="Palatino Linotype" w:eastAsia="Palatino Linotype" w:hAnsi="Palatino Linotype" w:cs="Palatino Linotype"/>
          <w:i/>
          <w:sz w:val="24"/>
          <w:szCs w:val="24"/>
          <w:vertAlign w:val="superscript"/>
        </w:rPr>
        <w:footnoteReference w:id="1"/>
      </w:r>
      <w:r>
        <w:rPr>
          <w:rFonts w:ascii="Palatino Linotype" w:eastAsia="Palatino Linotype" w:hAnsi="Palatino Linotype" w:cs="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sz w:val="24"/>
          <w:szCs w:val="24"/>
          <w:vertAlign w:val="superscript"/>
        </w:rPr>
        <w:footnoteReference w:id="2"/>
      </w:r>
      <w:r>
        <w:rPr>
          <w:rFonts w:ascii="Palatino Linotype" w:eastAsia="Palatino Linotype" w:hAnsi="Palatino Linotype" w:cs="Palatino Linotype"/>
          <w:color w:val="000000"/>
          <w:sz w:val="24"/>
          <w:szCs w:val="24"/>
        </w:rPr>
        <w:t>que se constituye como una herramienta fundamental para ejercer</w:t>
      </w:r>
      <w:r>
        <w:rPr>
          <w:rFonts w:ascii="Palatino Linotype" w:eastAsia="Palatino Linotype" w:hAnsi="Palatino Linotype" w:cs="Palatino Linotype"/>
          <w:i/>
          <w:color w:val="000000"/>
          <w:sz w:val="24"/>
          <w:szCs w:val="24"/>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sz w:val="24"/>
          <w:szCs w:val="24"/>
          <w:vertAlign w:val="superscript"/>
        </w:rPr>
        <w:footnoteReference w:id="3"/>
      </w:r>
      <w:r>
        <w:rPr>
          <w:rFonts w:ascii="Palatino Linotype" w:eastAsia="Palatino Linotype" w:hAnsi="Palatino Linotype" w:cs="Palatino Linotype"/>
          <w:color w:val="000000"/>
          <w:sz w:val="24"/>
          <w:szCs w:val="24"/>
        </w:rPr>
        <w:t>fomentando</w:t>
      </w:r>
      <w:r>
        <w:rPr>
          <w:rFonts w:ascii="Palatino Linotype" w:eastAsia="Palatino Linotype" w:hAnsi="Palatino Linotype" w:cs="Palatino Linotype"/>
          <w:i/>
          <w:color w:val="000000"/>
          <w:sz w:val="24"/>
          <w:szCs w:val="24"/>
        </w:rPr>
        <w:t xml:space="preserve"> la transparencia de las actividades estatales y </w:t>
      </w:r>
      <w:r>
        <w:rPr>
          <w:rFonts w:ascii="Palatino Linotype" w:eastAsia="Palatino Linotype" w:hAnsi="Palatino Linotype" w:cs="Palatino Linotype"/>
          <w:color w:val="000000"/>
          <w:sz w:val="24"/>
          <w:szCs w:val="24"/>
        </w:rPr>
        <w:t>promoviendo</w:t>
      </w:r>
      <w:r>
        <w:rPr>
          <w:rFonts w:ascii="Palatino Linotype" w:eastAsia="Palatino Linotype" w:hAnsi="Palatino Linotype" w:cs="Palatino Linotype"/>
          <w:i/>
          <w:color w:val="000000"/>
          <w:sz w:val="24"/>
          <w:szCs w:val="24"/>
        </w:rPr>
        <w:t xml:space="preserve"> la responsabilidad de los funcionarios sobre su gestión pública,</w:t>
      </w:r>
      <w:r>
        <w:rPr>
          <w:rFonts w:ascii="Palatino Linotype" w:eastAsia="Palatino Linotype" w:hAnsi="Palatino Linotype" w:cs="Palatino Linotype"/>
          <w:i/>
          <w:sz w:val="24"/>
          <w:szCs w:val="24"/>
          <w:vertAlign w:val="superscript"/>
        </w:rPr>
        <w:footnoteReference w:id="4"/>
      </w:r>
      <w:r>
        <w:rPr>
          <w:rFonts w:ascii="Palatino Linotype" w:eastAsia="Palatino Linotype" w:hAnsi="Palatino Linotype" w:cs="Palatino Linotype"/>
          <w:color w:val="000000"/>
          <w:sz w:val="24"/>
          <w:szCs w:val="24"/>
        </w:rPr>
        <w:t>que permite</w:t>
      </w:r>
      <w:r>
        <w:rPr>
          <w:rFonts w:ascii="Palatino Linotype" w:eastAsia="Palatino Linotype" w:hAnsi="Palatino Linotype" w:cs="Palatino Linotype"/>
          <w:i/>
          <w:color w:val="000000"/>
          <w:sz w:val="24"/>
          <w:szCs w:val="24"/>
        </w:rPr>
        <w:t xml:space="preserve"> saber qué están haciendo los gobiernos por sus pueblos, sin lo cual la verdad languidecería y la participación en el gobierno permanecería fragmentada.</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En México, además de los derechos, están reconocidas las garantías para su protección, en ese sentido el párrafo tercero de artículo primero de la Constitución Política de los Estados Unidos Mexicanos dispone lo siguiente:</w:t>
      </w:r>
    </w:p>
    <w:p w:rsidR="00447B70" w:rsidRDefault="00BF208B">
      <w:pPr>
        <w:spacing w:after="0" w:line="240" w:lineRule="auto"/>
        <w:ind w:left="1134" w:right="-7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w:t>
      </w:r>
    </w:p>
    <w:p w:rsidR="00447B70" w:rsidRDefault="00BF208B">
      <w:pPr>
        <w:spacing w:after="0" w:line="240" w:lineRule="auto"/>
        <w:ind w:left="1134" w:right="-79"/>
        <w:jc w:val="both"/>
        <w:rPr>
          <w:rFonts w:ascii="Palatino Linotype" w:eastAsia="Palatino Linotype" w:hAnsi="Palatino Linotype" w:cs="Palatino Linotype"/>
          <w:i/>
        </w:rPr>
      </w:pPr>
      <w:r>
        <w:rPr>
          <w:rFonts w:ascii="Palatino Linotype" w:eastAsia="Palatino Linotype" w:hAnsi="Palatino Linotype" w:cs="Palatino Linotype"/>
          <w:i/>
        </w:rPr>
        <w:t>(…)</w:t>
      </w:r>
    </w:p>
    <w:p w:rsidR="00447B70" w:rsidRDefault="00BF208B">
      <w:pPr>
        <w:spacing w:after="0" w:line="240" w:lineRule="auto"/>
        <w:ind w:left="1134" w:right="-7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Todas las</w:t>
      </w:r>
      <w:r>
        <w:rPr>
          <w:rFonts w:ascii="Palatino Linotype" w:eastAsia="Palatino Linotype" w:hAnsi="Palatino Linotype" w:cs="Palatino Linotype"/>
        </w:rPr>
        <w:t xml:space="preserve"> </w:t>
      </w:r>
      <w:r>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47B70" w:rsidRDefault="00BF208B">
      <w:pPr>
        <w:spacing w:after="0" w:line="240" w:lineRule="auto"/>
        <w:ind w:left="1134" w:right="-79"/>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rPr>
        <w:t>”.</w:t>
      </w:r>
    </w:p>
    <w:p w:rsidR="00447B70" w:rsidRDefault="00447B70">
      <w:pPr>
        <w:spacing w:after="0" w:line="240" w:lineRule="auto"/>
        <w:ind w:right="-929"/>
        <w:jc w:val="both"/>
        <w:rPr>
          <w:rFonts w:ascii="Palatino Linotype" w:eastAsia="Palatino Linotype" w:hAnsi="Palatino Linotype" w:cs="Palatino Linotype"/>
          <w:b/>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447B70" w:rsidRDefault="00BF208B">
      <w:pPr>
        <w:spacing w:after="240" w:line="240" w:lineRule="auto"/>
        <w:ind w:left="1134" w:right="62"/>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 los Estados Unidos Mexicanos</w:t>
      </w:r>
    </w:p>
    <w:p w:rsidR="00447B70" w:rsidRDefault="00BF208B">
      <w:pPr>
        <w:spacing w:before="240" w:after="240" w:line="240" w:lineRule="auto"/>
        <w:ind w:left="1134" w:right="62"/>
        <w:jc w:val="both"/>
        <w:rPr>
          <w:rFonts w:ascii="Palatino Linotype" w:eastAsia="Palatino Linotype" w:hAnsi="Palatino Linotype" w:cs="Palatino Linotype"/>
          <w:b/>
          <w:i/>
        </w:rPr>
      </w:pPr>
      <w:r>
        <w:rPr>
          <w:rFonts w:ascii="Palatino Linotype" w:eastAsia="Palatino Linotype" w:hAnsi="Palatino Linotype" w:cs="Palatino Linotype"/>
          <w:b/>
          <w:i/>
        </w:rPr>
        <w:t>“Artículo 6.</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i/>
        </w:rPr>
        <w:t>(…)</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rsidR="00447B70" w:rsidRDefault="00BF208B">
      <w:pPr>
        <w:spacing w:before="240" w:after="240" w:line="240" w:lineRule="auto"/>
        <w:ind w:left="1134" w:right="62"/>
        <w:jc w:val="both"/>
        <w:rPr>
          <w:rFonts w:ascii="Palatino Linotype" w:eastAsia="Palatino Linotype" w:hAnsi="Palatino Linotype" w:cs="Palatino Linotype"/>
          <w:b/>
          <w:i/>
        </w:rPr>
      </w:pPr>
      <w:r>
        <w:rPr>
          <w:rFonts w:ascii="Palatino Linotype" w:eastAsia="Palatino Linotype" w:hAnsi="Palatino Linotype" w:cs="Palatino Linotype"/>
          <w:b/>
          <w:i/>
        </w:rPr>
        <w:t>A</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el ejercicio del derecho de acceso a la información</w:t>
      </w:r>
      <w:r>
        <w:rPr>
          <w:rFonts w:ascii="Palatino Linotype" w:eastAsia="Palatino Linotype" w:hAnsi="Palatino Linotype" w:cs="Palatino Linotype"/>
          <w:i/>
        </w:rPr>
        <w:t xml:space="preserve">, la Federación y </w:t>
      </w:r>
      <w:r>
        <w:rPr>
          <w:rFonts w:ascii="Palatino Linotype" w:eastAsia="Palatino Linotype" w:hAnsi="Palatino Linotype" w:cs="Palatino Linotype"/>
          <w:b/>
          <w:i/>
        </w:rPr>
        <w:t>las entidades federativas, en el ámbito de sus respectivas competencias, se regirán por los siguientes principios y bases:</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rPr>
        <w:tab/>
        <w:t>Toda la información en posesión de cualquier</w:t>
      </w:r>
      <w:r>
        <w:rPr>
          <w:rFonts w:ascii="Palatino Linotype" w:eastAsia="Palatino Linotype" w:hAnsi="Palatino Linotype" w:cs="Palatino Linotype"/>
          <w:i/>
        </w:rPr>
        <w:t xml:space="preserve"> </w:t>
      </w:r>
      <w:r>
        <w:rPr>
          <w:rFonts w:ascii="Palatino Linotype" w:eastAsia="Palatino Linotype" w:hAnsi="Palatino Linotype" w:cs="Palatino Linotype"/>
          <w:b/>
          <w:i/>
        </w:rPr>
        <w:t>autoridad</w:t>
      </w:r>
      <w:r>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Pr>
          <w:rFonts w:ascii="Palatino Linotype" w:eastAsia="Palatino Linotype" w:hAnsi="Palatino Linotype" w:cs="Palatino Linotype"/>
          <w:i/>
        </w:rPr>
        <w:lastRenderedPageBreak/>
        <w:t xml:space="preserve">federal, estatal y </w:t>
      </w:r>
      <w:r>
        <w:rPr>
          <w:rFonts w:ascii="Palatino Linotype" w:eastAsia="Palatino Linotype" w:hAnsi="Palatino Linotype" w:cs="Palatino Linotype"/>
          <w:b/>
          <w:i/>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rsidR="00447B70" w:rsidRDefault="00447B70">
      <w:pPr>
        <w:pBdr>
          <w:top w:val="nil"/>
          <w:left w:val="nil"/>
          <w:bottom w:val="nil"/>
          <w:right w:val="nil"/>
          <w:between w:val="nil"/>
        </w:pBdr>
        <w:tabs>
          <w:tab w:val="left" w:pos="567"/>
        </w:tabs>
        <w:spacing w:before="240" w:after="240" w:line="240" w:lineRule="auto"/>
        <w:ind w:left="1134" w:right="62"/>
        <w:jc w:val="both"/>
        <w:rPr>
          <w:rFonts w:ascii="Palatino Linotype" w:eastAsia="Palatino Linotype" w:hAnsi="Palatino Linotype" w:cs="Palatino Linotype"/>
          <w:b/>
          <w:i/>
          <w:color w:val="000000"/>
        </w:rPr>
      </w:pPr>
    </w:p>
    <w:p w:rsidR="00447B70" w:rsidRDefault="00BF208B">
      <w:pPr>
        <w:spacing w:before="240" w:after="240" w:line="240" w:lineRule="auto"/>
        <w:ind w:left="1134" w:right="62"/>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del Estado Libre y Soberano de México</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i/>
        </w:rPr>
        <w:t>(…)</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rPr>
        <w:t>.</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b/>
          <w:i/>
        </w:rPr>
        <w:t>Este derecho se regirá por los principios y bases siguientes</w:t>
      </w:r>
      <w:r>
        <w:rPr>
          <w:rFonts w:ascii="Palatino Linotype" w:eastAsia="Palatino Linotype" w:hAnsi="Palatino Linotype" w:cs="Palatino Linotype"/>
          <w:i/>
        </w:rPr>
        <w:t>:</w:t>
      </w:r>
    </w:p>
    <w:p w:rsidR="00447B70" w:rsidRDefault="00BF208B">
      <w:pPr>
        <w:spacing w:before="240" w:after="24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b/>
          <w:i/>
        </w:rPr>
        <w:t>I. Toda la información en posesión de cualquier autoridad, entidad, órgano y organismos de los</w:t>
      </w:r>
      <w:r>
        <w:rPr>
          <w:rFonts w:ascii="Palatino Linotype" w:eastAsia="Palatino Linotype" w:hAnsi="Palatino Linotype" w:cs="Palatino Linotype"/>
          <w:i/>
        </w:rPr>
        <w:t xml:space="preserve"> Poderes Ejecutivo, Legislativo y Judicial, órganos autónomos, partidos políticos, fideicomisos y fondos públicos estatales y </w:t>
      </w:r>
      <w:r>
        <w:rPr>
          <w:rFonts w:ascii="Palatino Linotype" w:eastAsia="Palatino Linotype" w:hAnsi="Palatino Linotype" w:cs="Palatino Linotype"/>
          <w:b/>
          <w:i/>
        </w:rPr>
        <w:t>municipales</w:t>
      </w:r>
      <w:r>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rPr>
        <w:t>En la interpretación de este derecho deberá prevalecer el principio de máxima publicidad</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rsidR="00447B70" w:rsidRDefault="00447B70">
      <w:pPr>
        <w:spacing w:before="240" w:after="240" w:line="240" w:lineRule="auto"/>
        <w:ind w:left="1134" w:right="-929"/>
        <w:jc w:val="both"/>
        <w:rPr>
          <w:rFonts w:ascii="Palatino Linotype" w:eastAsia="Palatino Linotype" w:hAnsi="Palatino Linotype" w:cs="Palatino Linotype"/>
          <w:i/>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sz w:val="24"/>
          <w:szCs w:val="24"/>
        </w:rPr>
        <w:t>por los principios de simplicidad, rapidez gratuidad del procedimiento, auxilio y orientación a los particulares</w:t>
      </w:r>
      <w:r>
        <w:rPr>
          <w:rFonts w:ascii="Palatino Linotype" w:eastAsia="Palatino Linotype" w:hAnsi="Palatino Linotype" w:cs="Palatino Linotype"/>
          <w:sz w:val="24"/>
          <w:szCs w:val="24"/>
        </w:rPr>
        <w:t>, contemplando el derecho de las personas con discapacidad y hablantes de lengua indígena.</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 xml:space="preserve">El Derecho de Acceso a la Información se garantiza y respeta oportunamente, y según lo que dispone la Ley, las </w:t>
      </w:r>
      <w:r>
        <w:rPr>
          <w:rFonts w:ascii="Palatino Linotype" w:eastAsia="Palatino Linotype" w:hAnsi="Palatino Linotype" w:cs="Palatino Linotype"/>
          <w:i/>
          <w:sz w:val="24"/>
          <w:szCs w:val="24"/>
        </w:rPr>
        <w:t>solicitudes de acceso a la información</w:t>
      </w:r>
      <w:r>
        <w:rPr>
          <w:rFonts w:ascii="Palatino Linotype" w:eastAsia="Palatino Linotype" w:hAnsi="Palatino Linotype" w:cs="Palatino Linotype"/>
          <w:sz w:val="24"/>
          <w:szCs w:val="24"/>
        </w:rPr>
        <w:t>.</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pPr>
      <w:bookmarkStart w:id="11" w:name="_heading=h.3rdcrjn" w:colFirst="0" w:colLast="0"/>
      <w:bookmarkEnd w:id="11"/>
      <w:r>
        <w:rPr>
          <w:rFonts w:ascii="Palatino Linotype" w:eastAsia="Palatino Linotype" w:hAnsi="Palatino Linotype" w:cs="Palatino Linotype"/>
          <w:sz w:val="24"/>
          <w:szCs w:val="24"/>
        </w:rPr>
        <w:t xml:space="preserve">Así entonces, se procede analizar, en primer lugar, si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keepNext/>
        <w:keepLines/>
        <w:spacing w:after="240" w:line="360" w:lineRule="auto"/>
        <w:ind w:right="-929"/>
        <w:rPr>
          <w:rFonts w:ascii="Palatino Linotype" w:eastAsia="Palatino Linotype" w:hAnsi="Palatino Linotype" w:cs="Palatino Linotype"/>
          <w:b/>
          <w:color w:val="000000"/>
          <w:sz w:val="24"/>
          <w:szCs w:val="24"/>
        </w:rPr>
      </w:pPr>
      <w:bookmarkStart w:id="12" w:name="_heading=h.26in1rg" w:colFirst="0" w:colLast="0"/>
      <w:bookmarkEnd w:id="12"/>
      <w:r>
        <w:rPr>
          <w:rFonts w:ascii="Palatino Linotype" w:eastAsia="Palatino Linotype" w:hAnsi="Palatino Linotype" w:cs="Palatino Linotype"/>
          <w:b/>
          <w:color w:val="000000"/>
          <w:sz w:val="24"/>
          <w:szCs w:val="24"/>
        </w:rPr>
        <w:t>II. De la información solicitada y la respuesta del SUJETO OBLIGADO</w:t>
      </w: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color w:val="000000"/>
          <w:sz w:val="24"/>
          <w:szCs w:val="24"/>
        </w:rPr>
        <w:t xml:space="preserve">Acotada la </w:t>
      </w:r>
      <w:r>
        <w:rPr>
          <w:rFonts w:ascii="Palatino Linotype" w:eastAsia="Palatino Linotype" w:hAnsi="Palatino Linotype" w:cs="Palatino Linotype"/>
          <w:i/>
          <w:color w:val="000000"/>
          <w:sz w:val="24"/>
          <w:szCs w:val="24"/>
        </w:rPr>
        <w:t>Litis</w:t>
      </w:r>
      <w:r>
        <w:rPr>
          <w:rFonts w:ascii="Palatino Linotype" w:eastAsia="Palatino Linotype" w:hAnsi="Palatino Linotype" w:cs="Palatino Linotype"/>
          <w:color w:val="000000"/>
          <w:sz w:val="24"/>
          <w:szCs w:val="24"/>
        </w:rPr>
        <w:t xml:space="preserve"> del presente asunto, primeramente es menester precisar que del escrito de inconformidad, se observa que el particular se duele por el rubro de la negativa a la información solicitada.</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 xml:space="preserve">Ahora bien, se debe señalar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en su respuesta inicial los siguientes documentos: </w:t>
      </w: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ACUERDO DE ORIENTACIÓN_1.PDF: </w:t>
      </w:r>
      <w:r>
        <w:rPr>
          <w:rFonts w:ascii="Palatino Linotype" w:eastAsia="Palatino Linotype" w:hAnsi="Palatino Linotype" w:cs="Palatino Linotype"/>
          <w:i/>
          <w:color w:val="000000"/>
        </w:rPr>
        <w:t xml:space="preserve">contestación constante de tres fojas en el que el </w:t>
      </w:r>
      <w:r>
        <w:rPr>
          <w:rFonts w:ascii="Palatino Linotype" w:eastAsia="Palatino Linotype" w:hAnsi="Palatino Linotype" w:cs="Palatino Linotype"/>
          <w:b/>
          <w:i/>
          <w:color w:val="000000"/>
        </w:rPr>
        <w:t>SUJETO OBLIGADO</w:t>
      </w:r>
      <w:r>
        <w:rPr>
          <w:rFonts w:ascii="Palatino Linotype" w:eastAsia="Palatino Linotype" w:hAnsi="Palatino Linotype" w:cs="Palatino Linotype"/>
          <w:i/>
          <w:color w:val="000000"/>
        </w:rPr>
        <w:t xml:space="preserve">  informa al particular que no cuenta con la información solicitada toda vez que le corresponde a la Comisión del Agua del Estado de México, por lo que, le hace de conocimiento al solicitante que dirija la solicitud de información a dicho </w:t>
      </w:r>
      <w:r>
        <w:rPr>
          <w:rFonts w:ascii="Palatino Linotype" w:eastAsia="Palatino Linotype" w:hAnsi="Palatino Linotype" w:cs="Palatino Linotype"/>
          <w:b/>
          <w:i/>
          <w:color w:val="000000"/>
        </w:rPr>
        <w:t xml:space="preserve">SUJETO OBLIGADO </w:t>
      </w:r>
    </w:p>
    <w:p w:rsidR="00447B70" w:rsidRDefault="00447B70">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i/>
          <w:color w:val="000000"/>
        </w:rPr>
      </w:pP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t>OFICIO DE RESPUESTA UT_1.PDF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escrito de respuesta de fecha nueve de agosto de dos mil veinticuatro, mediante el cual el Encargado de Despacho de la Unidad de Prevención de la Corrupción y Responsable de la Unidad de Transparencia, notifica al Particular el Acuerdo de Orientación de que la información está en poder de otro </w:t>
      </w:r>
      <w:r>
        <w:rPr>
          <w:rFonts w:ascii="Palatino Linotype" w:eastAsia="Palatino Linotype" w:hAnsi="Palatino Linotype" w:cs="Palatino Linotype"/>
          <w:b/>
          <w:i/>
          <w:color w:val="000000"/>
        </w:rPr>
        <w:t>SUJETO OBLIGADO.</w:t>
      </w:r>
    </w:p>
    <w:p w:rsidR="00447B70" w:rsidRDefault="00447B70">
      <w:pPr>
        <w:ind w:right="62"/>
        <w:rPr>
          <w:rFonts w:ascii="Palatino Linotype" w:eastAsia="Palatino Linotype" w:hAnsi="Palatino Linotype" w:cs="Palatino Linotype"/>
          <w:i/>
        </w:rPr>
      </w:pPr>
    </w:p>
    <w:p w:rsidR="00447B70" w:rsidRDefault="00BF208B">
      <w:pPr>
        <w:numPr>
          <w:ilvl w:val="0"/>
          <w:numId w:val="4"/>
        </w:numPr>
        <w:spacing w:after="0" w:line="360" w:lineRule="auto"/>
        <w:ind w:left="0" w:right="-929" w:firstLine="0"/>
        <w:jc w:val="both"/>
      </w:pPr>
      <w:r>
        <w:rPr>
          <w:rFonts w:ascii="Palatino Linotype" w:eastAsia="Palatino Linotype" w:hAnsi="Palatino Linotype" w:cs="Palatino Linotype"/>
          <w:sz w:val="24"/>
          <w:szCs w:val="24"/>
        </w:rPr>
        <w:t xml:space="preserve">De lo anterior, el hoy </w:t>
      </w:r>
      <w:r>
        <w:rPr>
          <w:rFonts w:ascii="Palatino Linotype" w:eastAsia="Palatino Linotype" w:hAnsi="Palatino Linotype" w:cs="Palatino Linotype"/>
          <w:b/>
          <w:sz w:val="24"/>
          <w:szCs w:val="24"/>
        </w:rPr>
        <w:t xml:space="preserve"> RECURRENTE </w:t>
      </w:r>
      <w:r>
        <w:rPr>
          <w:rFonts w:ascii="Palatino Linotype" w:eastAsia="Palatino Linotype" w:hAnsi="Palatino Linotype" w:cs="Palatino Linotype"/>
          <w:sz w:val="24"/>
          <w:szCs w:val="24"/>
        </w:rPr>
        <w:t xml:space="preserve">interpuso el recurso de revisión y posteriormente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presentó su informe justificado cuyo contenido grosso modo es el siguiente :</w:t>
      </w:r>
    </w:p>
    <w:p w:rsidR="00447B70" w:rsidRDefault="00BF208B">
      <w:pPr>
        <w:pBdr>
          <w:top w:val="nil"/>
          <w:left w:val="nil"/>
          <w:bottom w:val="nil"/>
          <w:right w:val="nil"/>
          <w:between w:val="nil"/>
        </w:pBdr>
        <w:spacing w:after="0" w:line="240" w:lineRule="auto"/>
        <w:ind w:left="1134" w:right="6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INFORME JUSTIFICADO 04913.pdf: </w:t>
      </w:r>
      <w:r>
        <w:rPr>
          <w:rFonts w:ascii="Palatino Linotype" w:eastAsia="Palatino Linotype" w:hAnsi="Palatino Linotype" w:cs="Palatino Linotype"/>
          <w:i/>
          <w:color w:val="000000"/>
        </w:rPr>
        <w:t xml:space="preserve">documento de fecha veintinueve de agosto de dos mil veinticuatro, mediante el cual el </w:t>
      </w:r>
      <w:r>
        <w:rPr>
          <w:rFonts w:ascii="Palatino Linotype" w:eastAsia="Palatino Linotype" w:hAnsi="Palatino Linotype" w:cs="Palatino Linotype"/>
          <w:b/>
          <w:i/>
          <w:color w:val="000000"/>
        </w:rPr>
        <w:t xml:space="preserve">SUJETO OBLIGADO </w:t>
      </w:r>
      <w:r>
        <w:rPr>
          <w:rFonts w:ascii="Palatino Linotype" w:eastAsia="Palatino Linotype" w:hAnsi="Palatino Linotype" w:cs="Palatino Linotype"/>
          <w:i/>
          <w:color w:val="000000"/>
        </w:rPr>
        <w:t xml:space="preserve"> reitera que no es competente para atender la solicitud de información hecha por el particular.</w:t>
      </w:r>
    </w:p>
    <w:p w:rsidR="00447B70" w:rsidRDefault="00447B70">
      <w:pPr>
        <w:spacing w:after="0" w:line="240" w:lineRule="auto"/>
        <w:ind w:right="-929"/>
        <w:jc w:val="both"/>
        <w:rPr>
          <w:rFonts w:ascii="Palatino Linotype" w:eastAsia="Palatino Linotype" w:hAnsi="Palatino Linotype" w:cs="Palatino Linotype"/>
          <w:i/>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En ese sentido, es importante traer a estudio el Manual de Organización de la Comisión del Agua del Estado de México, el cual establece que la Dirección de Administración tiene las siguientes funciones. </w:t>
      </w:r>
    </w:p>
    <w:p w:rsidR="00447B70" w:rsidRDefault="00BF208B">
      <w:pPr>
        <w:spacing w:after="0" w:line="360" w:lineRule="auto"/>
        <w:ind w:right="-929"/>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val="es-MX"/>
        </w:rPr>
        <w:lastRenderedPageBreak/>
        <w:drawing>
          <wp:inline distT="0" distB="0" distL="0" distR="0">
            <wp:extent cx="4487686" cy="4204349"/>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87686" cy="4204349"/>
                    </a:xfrm>
                    <a:prstGeom prst="rect">
                      <a:avLst/>
                    </a:prstGeom>
                    <a:ln/>
                  </pic:spPr>
                </pic:pic>
              </a:graphicData>
            </a:graphic>
          </wp:inline>
        </w:drawing>
      </w:r>
    </w:p>
    <w:p w:rsidR="00447B70" w:rsidRDefault="00447B70">
      <w:pPr>
        <w:spacing w:after="0" w:line="360" w:lineRule="auto"/>
        <w:ind w:right="-929"/>
        <w:jc w:val="center"/>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De lo anterior, se observa que la Dirección de Administración, dentro de sus funciones tiene verificar que se apliquen las normas y procedimientos establecidos para el control de nóminas. </w:t>
      </w:r>
    </w:p>
    <w:p w:rsidR="00447B70" w:rsidRDefault="00447B70">
      <w:pPr>
        <w:spacing w:after="0" w:line="360" w:lineRule="auto"/>
        <w:ind w:right="-929"/>
        <w:jc w:val="both"/>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Seguidamente la Subdirección de Administración de Personal, de conformidad con el Manual de Organización de la Comisión del Agua del Estado de México, cuenta con el siguiente objetivo y funciones. </w:t>
      </w:r>
    </w:p>
    <w:p w:rsidR="00447B70" w:rsidRDefault="00BF208B">
      <w:pPr>
        <w:pBdr>
          <w:top w:val="nil"/>
          <w:left w:val="nil"/>
          <w:bottom w:val="nil"/>
          <w:right w:val="nil"/>
          <w:between w:val="nil"/>
        </w:pBdr>
        <w:spacing w:after="0" w:line="240" w:lineRule="auto"/>
        <w:ind w:left="720" w:right="-929"/>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val="es-MX"/>
        </w:rPr>
        <w:lastRenderedPageBreak/>
        <w:drawing>
          <wp:inline distT="0" distB="0" distL="0" distR="0">
            <wp:extent cx="4043913" cy="3984888"/>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043913" cy="3984888"/>
                    </a:xfrm>
                    <a:prstGeom prst="rect">
                      <a:avLst/>
                    </a:prstGeom>
                    <a:ln/>
                  </pic:spPr>
                </pic:pic>
              </a:graphicData>
            </a:graphic>
          </wp:inline>
        </w:drawing>
      </w:r>
    </w:p>
    <w:p w:rsidR="00447B70" w:rsidRDefault="00447B70">
      <w:pPr>
        <w:pBdr>
          <w:top w:val="nil"/>
          <w:left w:val="nil"/>
          <w:bottom w:val="nil"/>
          <w:right w:val="nil"/>
          <w:between w:val="nil"/>
        </w:pBdr>
        <w:spacing w:after="0" w:line="240" w:lineRule="auto"/>
        <w:ind w:left="720" w:right="-929"/>
        <w:jc w:val="center"/>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 De lo anterior, se observa que la Subdirección de Administración de Personal, tiene en sus funciones el verificar la observancia de las políticas y normas, así como de los procedimientos para la aplicación  y control de la nómina, además de que es el área responsable de mantener actualizada la plantilla del personal para la elaboración del pago correspondiente de la nómina. </w:t>
      </w:r>
    </w:p>
    <w:p w:rsidR="00447B70" w:rsidRDefault="00447B70">
      <w:pPr>
        <w:spacing w:after="0" w:line="360" w:lineRule="auto"/>
        <w:ind w:right="-929"/>
        <w:jc w:val="both"/>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En esa línea de estudio, el Departamento de Administración de Sueldos y Salarios que pertenece a la Dirección de Administración de la Comisión Estatal del Agua del Estado de México, tiene el siguiente objetivo y las siguientes funciones. </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color w:val="000000"/>
          <w:sz w:val="24"/>
          <w:szCs w:val="24"/>
        </w:rPr>
      </w:pPr>
    </w:p>
    <w:p w:rsidR="00447B70" w:rsidRDefault="00BF208B">
      <w:pPr>
        <w:spacing w:after="0" w:line="360" w:lineRule="auto"/>
        <w:ind w:right="-929"/>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val="es-MX"/>
        </w:rPr>
        <w:lastRenderedPageBreak/>
        <w:drawing>
          <wp:inline distT="0" distB="0" distL="0" distR="0">
            <wp:extent cx="4558228" cy="5021374"/>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558228" cy="5021374"/>
                    </a:xfrm>
                    <a:prstGeom prst="rect">
                      <a:avLst/>
                    </a:prstGeom>
                    <a:ln/>
                  </pic:spPr>
                </pic:pic>
              </a:graphicData>
            </a:graphic>
          </wp:inline>
        </w:drawing>
      </w:r>
    </w:p>
    <w:p w:rsidR="00447B70" w:rsidRDefault="00447B70">
      <w:pPr>
        <w:spacing w:after="0" w:line="360" w:lineRule="auto"/>
        <w:ind w:right="-929"/>
        <w:jc w:val="center"/>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En ese sentido, se colige que el Departamento de Administración de Sueldos y Salarios, cuenta dentro de sus funciones con la elaboración y programación de pagos de los servidores públicos adscritos a la Comisión del Agua del Estado de México.</w:t>
      </w:r>
    </w:p>
    <w:p w:rsidR="00447B70" w:rsidRDefault="00447B70">
      <w:pPr>
        <w:spacing w:after="0" w:line="360" w:lineRule="auto"/>
        <w:ind w:right="-929"/>
        <w:jc w:val="both"/>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De todo lo anteriormente expuesto, se demuestra que la Comisión del Agua del Estado de México, si cuenta dentro de sus funciones con las áreas habilitadas para poder atender las </w:t>
      </w:r>
      <w:r>
        <w:rPr>
          <w:rFonts w:ascii="Palatino Linotype" w:eastAsia="Palatino Linotype" w:hAnsi="Palatino Linotype" w:cs="Palatino Linotype"/>
          <w:color w:val="000000"/>
          <w:sz w:val="24"/>
          <w:szCs w:val="24"/>
        </w:rPr>
        <w:lastRenderedPageBreak/>
        <w:t xml:space="preserve">solicitudes de información que se ingresen en materia de recibos de nómina y credenciales de identificación. </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En ese sentido, se comprueba que la Secretaría de la Contraloría del Estado de México, no es competente para atender la solicitud de información </w:t>
      </w:r>
      <w:r>
        <w:rPr>
          <w:rFonts w:ascii="Palatino Linotype" w:eastAsia="Palatino Linotype" w:hAnsi="Palatino Linotype" w:cs="Palatino Linotype"/>
          <w:b/>
          <w:color w:val="000000"/>
          <w:sz w:val="24"/>
          <w:szCs w:val="24"/>
        </w:rPr>
        <w:t xml:space="preserve"> 00295/SECOGEM/IP/2024, </w:t>
      </w:r>
      <w:r>
        <w:rPr>
          <w:rFonts w:ascii="Palatino Linotype" w:eastAsia="Palatino Linotype" w:hAnsi="Palatino Linotype" w:cs="Palatino Linotype"/>
          <w:color w:val="000000"/>
          <w:sz w:val="24"/>
          <w:szCs w:val="24"/>
        </w:rPr>
        <w:t xml:space="preserve">toda vez que 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pretende acceder a los recibos de nómina y a las credenciales del trabajo de las personas que laboral en el Órgano Interno de Control  de la Comisión del Agua del Estado de México. </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Lo anterior, se comprueba con el Padrón de Sujetos Obligados que se aprobó mediante acuerdo del Instituto de Transparencia, Acceso a la Información Pública y Protección de Datos Personales del Estado de México y Municipios. </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color w:val="000000"/>
          <w:sz w:val="24"/>
          <w:szCs w:val="24"/>
        </w:rPr>
      </w:pPr>
    </w:p>
    <w:p w:rsidR="00447B70" w:rsidRDefault="00BF208B">
      <w:pPr>
        <w:pBdr>
          <w:top w:val="nil"/>
          <w:left w:val="nil"/>
          <w:bottom w:val="nil"/>
          <w:right w:val="nil"/>
          <w:between w:val="nil"/>
        </w:pBdr>
        <w:spacing w:after="0" w:line="240" w:lineRule="auto"/>
        <w:ind w:left="720" w:right="-929"/>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val="es-MX"/>
        </w:rPr>
        <w:drawing>
          <wp:inline distT="0" distB="0" distL="0" distR="0">
            <wp:extent cx="4221127" cy="204871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221127" cy="2048715"/>
                    </a:xfrm>
                    <a:prstGeom prst="rect">
                      <a:avLst/>
                    </a:prstGeom>
                    <a:ln/>
                  </pic:spPr>
                </pic:pic>
              </a:graphicData>
            </a:graphic>
          </wp:inline>
        </w:drawing>
      </w:r>
    </w:p>
    <w:p w:rsidR="00447B70" w:rsidRDefault="00BF208B">
      <w:pPr>
        <w:pBdr>
          <w:top w:val="nil"/>
          <w:left w:val="nil"/>
          <w:bottom w:val="nil"/>
          <w:right w:val="nil"/>
          <w:between w:val="nil"/>
        </w:pBdr>
        <w:spacing w:after="0" w:line="240" w:lineRule="auto"/>
        <w:ind w:left="720" w:right="-929"/>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val="es-MX"/>
        </w:rPr>
        <w:lastRenderedPageBreak/>
        <w:drawing>
          <wp:inline distT="0" distB="0" distL="0" distR="0">
            <wp:extent cx="3255654" cy="2172842"/>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255654" cy="2172842"/>
                    </a:xfrm>
                    <a:prstGeom prst="rect">
                      <a:avLst/>
                    </a:prstGeom>
                    <a:ln/>
                  </pic:spPr>
                </pic:pic>
              </a:graphicData>
            </a:graphic>
          </wp:inline>
        </w:drawing>
      </w:r>
    </w:p>
    <w:p w:rsidR="00447B70" w:rsidRDefault="00447B70">
      <w:pPr>
        <w:pBdr>
          <w:top w:val="nil"/>
          <w:left w:val="nil"/>
          <w:bottom w:val="nil"/>
          <w:right w:val="nil"/>
          <w:between w:val="nil"/>
        </w:pBdr>
        <w:spacing w:after="0" w:line="240" w:lineRule="auto"/>
        <w:ind w:left="720" w:right="-929"/>
        <w:jc w:val="center"/>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Ahora bien, de las invocaciones normativas anteriores y de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es notorio que del estudio se deriva la incompetencia para el acceso al derecho de información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por lo que es imperativo traer a estudio lo dispuesto por el artículo 167 de la Ley de Transparencia y Acceso a la Información Pública del Estado de México y Municipios, que es de la literalidad siguiente:</w:t>
      </w:r>
    </w:p>
    <w:p w:rsidR="00447B70" w:rsidRDefault="00BF208B">
      <w:pPr>
        <w:tabs>
          <w:tab w:val="left" w:pos="142"/>
          <w:tab w:val="left" w:pos="284"/>
          <w:tab w:val="left" w:pos="993"/>
        </w:tabs>
        <w:spacing w:after="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rPr>
        <w:t>“</w:t>
      </w:r>
      <w:r>
        <w:rPr>
          <w:rFonts w:ascii="Palatino Linotype" w:eastAsia="Palatino Linotype" w:hAnsi="Palatino Linotype" w:cs="Palatino Linotype"/>
          <w:b/>
          <w:i/>
        </w:rPr>
        <w:t>Artículo 167.</w:t>
      </w:r>
      <w:r>
        <w:rPr>
          <w:rFonts w:ascii="Palatino Linotype" w:eastAsia="Palatino Linotype" w:hAnsi="Palatino Linotype" w:cs="Palatino Linotype"/>
          <w:i/>
        </w:rPr>
        <w:t xml:space="preserve"> </w:t>
      </w:r>
      <w:r>
        <w:rPr>
          <w:rFonts w:ascii="Palatino Linotype" w:eastAsia="Palatino Linotype" w:hAnsi="Palatino Linotype" w:cs="Palatino Linotype"/>
          <w:b/>
          <w:i/>
        </w:rPr>
        <w:t>Cuando las unidades de transparencia determinen la</w:t>
      </w:r>
      <w:r>
        <w:rPr>
          <w:rFonts w:ascii="Palatino Linotype" w:eastAsia="Palatino Linotype" w:hAnsi="Palatino Linotype" w:cs="Palatino Linotype"/>
          <w:i/>
        </w:rPr>
        <w:t xml:space="preserve"> notoria </w:t>
      </w:r>
      <w:r>
        <w:rPr>
          <w:rFonts w:ascii="Palatino Linotype" w:eastAsia="Palatino Linotype" w:hAnsi="Palatino Linotype" w:cs="Palatino Linotype"/>
          <w:b/>
          <w:i/>
        </w:rPr>
        <w:t>incompetencia por parte de los sujetos obligados</w:t>
      </w:r>
      <w:r>
        <w:rPr>
          <w:rFonts w:ascii="Palatino Linotype" w:eastAsia="Palatino Linotype" w:hAnsi="Palatino Linotype" w:cs="Palatino Linotype"/>
          <w:i/>
        </w:rPr>
        <w:t xml:space="preserve">, dentro del ámbito de aplicación, para atender la solicitud de acceso a la información, </w:t>
      </w:r>
      <w:r>
        <w:rPr>
          <w:rFonts w:ascii="Palatino Linotype" w:eastAsia="Palatino Linotype" w:hAnsi="Palatino Linotype" w:cs="Palatino Linotype"/>
          <w:b/>
          <w:i/>
        </w:rPr>
        <w:t>deberán comunicarlo al solicitante, dentro de los tres días hábiles posteriores a la recepción de la solicitud y, en su caso orientar al solicitante, el o los sujetos obligados competentes.</w:t>
      </w:r>
      <w:r>
        <w:rPr>
          <w:rFonts w:ascii="Palatino Linotype" w:eastAsia="Palatino Linotype" w:hAnsi="Palatino Linotype" w:cs="Palatino Linotype"/>
          <w:i/>
        </w:rPr>
        <w:t xml:space="preserve"> </w:t>
      </w:r>
    </w:p>
    <w:p w:rsidR="00447B70" w:rsidRDefault="00BF208B">
      <w:pPr>
        <w:tabs>
          <w:tab w:val="left" w:pos="142"/>
          <w:tab w:val="left" w:pos="284"/>
          <w:tab w:val="left" w:pos="993"/>
        </w:tabs>
        <w:spacing w:after="0" w:line="240" w:lineRule="auto"/>
        <w:ind w:left="1134" w:right="62"/>
        <w:jc w:val="both"/>
        <w:rPr>
          <w:rFonts w:ascii="Palatino Linotype" w:eastAsia="Palatino Linotype" w:hAnsi="Palatino Linotype" w:cs="Palatino Linotype"/>
          <w:i/>
        </w:rPr>
      </w:pPr>
      <w:r>
        <w:rPr>
          <w:rFonts w:ascii="Palatino Linotype" w:eastAsia="Palatino Linotype" w:hAnsi="Palatino Linotype" w:cs="Palatino Linotype"/>
          <w:b/>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r>
        <w:rPr>
          <w:rFonts w:ascii="Palatino Linotype" w:eastAsia="Palatino Linotype" w:hAnsi="Palatino Linotype" w:cs="Palatino Linotype"/>
          <w:i/>
        </w:rPr>
        <w:t xml:space="preserve">. </w:t>
      </w:r>
    </w:p>
    <w:p w:rsidR="00447B70" w:rsidRDefault="00BF208B">
      <w:pPr>
        <w:tabs>
          <w:tab w:val="left" w:pos="142"/>
          <w:tab w:val="left" w:pos="284"/>
          <w:tab w:val="left" w:pos="993"/>
        </w:tabs>
        <w:spacing w:after="0" w:line="240" w:lineRule="auto"/>
        <w:ind w:left="1134" w:right="62"/>
        <w:jc w:val="both"/>
        <w:rPr>
          <w:rFonts w:ascii="Palatino Linotype" w:eastAsia="Palatino Linotype" w:hAnsi="Palatino Linotype" w:cs="Palatino Linotype"/>
        </w:rPr>
      </w:pPr>
      <w:r>
        <w:rPr>
          <w:rFonts w:ascii="Palatino Linotype" w:eastAsia="Palatino Linotype" w:hAnsi="Palatino Linotype" w:cs="Palatino Linotype"/>
          <w:b/>
          <w:i/>
        </w:rPr>
        <w:t>Si transcurrido el plazo señalado en el primer párrafo de este artículo, el sujeto obligado no declina la competencia en los términos establecidos, podrá canalizar la solicitud ante el sujeto obligado competente.</w:t>
      </w:r>
      <w:r>
        <w:rPr>
          <w:rFonts w:ascii="Palatino Linotype" w:eastAsia="Palatino Linotype" w:hAnsi="Palatino Linotype" w:cs="Palatino Linotype"/>
          <w:i/>
        </w:rPr>
        <w:t>”</w:t>
      </w:r>
    </w:p>
    <w:p w:rsidR="00447B70" w:rsidRDefault="00BF208B">
      <w:pPr>
        <w:tabs>
          <w:tab w:val="left" w:pos="142"/>
          <w:tab w:val="left" w:pos="284"/>
          <w:tab w:val="left" w:pos="993"/>
        </w:tabs>
        <w:spacing w:after="0" w:line="240" w:lineRule="auto"/>
        <w:ind w:left="1134" w:right="62"/>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447B70" w:rsidRDefault="00447B70">
      <w:pPr>
        <w:tabs>
          <w:tab w:val="left" w:pos="426"/>
        </w:tabs>
        <w:spacing w:after="0" w:line="360" w:lineRule="auto"/>
        <w:ind w:right="62"/>
        <w:jc w:val="both"/>
        <w:rPr>
          <w:rFonts w:ascii="Palatino Linotype" w:eastAsia="Palatino Linotype" w:hAnsi="Palatino Linotype" w:cs="Palatino Linotype"/>
          <w:color w:val="000000"/>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lastRenderedPageBreak/>
        <w:t xml:space="preserve">De tal forma que, una vez recibida una solicitud de información,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determine que es incompetente para para poseer, generar o administrar lo solicitado, dentro de los primeros tres días posteriores a la recepción de la solicitud, deberá hacerlo del conocimiento del particular y, deberá orientarlo sobre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competente para atender lo requerido.</w:t>
      </w:r>
    </w:p>
    <w:p w:rsidR="00447B70" w:rsidRDefault="00447B70">
      <w:pPr>
        <w:tabs>
          <w:tab w:val="left" w:pos="426"/>
        </w:tabs>
        <w:spacing w:after="0" w:line="360" w:lineRule="auto"/>
        <w:ind w:right="-929"/>
        <w:jc w:val="both"/>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En el presente asunto, de constancias de autos que obran en el  expediente electrónico, se aprecia que el particular promovió su solicitud de información el </w:t>
      </w:r>
      <w:r>
        <w:rPr>
          <w:rFonts w:ascii="Palatino Linotype" w:eastAsia="Palatino Linotype" w:hAnsi="Palatino Linotype" w:cs="Palatino Linotype"/>
          <w:b/>
          <w:color w:val="000000"/>
          <w:sz w:val="24"/>
          <w:szCs w:val="24"/>
        </w:rPr>
        <w:t>nueve de agosto de dos mil veinticuatro</w:t>
      </w:r>
      <w:r>
        <w:rPr>
          <w:rFonts w:ascii="Palatino Linotype" w:eastAsia="Palatino Linotype" w:hAnsi="Palatino Linotype" w:cs="Palatino Linotype"/>
          <w:color w:val="000000"/>
          <w:sz w:val="24"/>
          <w:szCs w:val="24"/>
        </w:rPr>
        <w:t xml:space="preserve"> y,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entregó</w:t>
      </w:r>
      <w:r>
        <w:rPr>
          <w:rFonts w:ascii="Palatino Linotype" w:eastAsia="Palatino Linotype" w:hAnsi="Palatino Linotype" w:cs="Palatino Linotype"/>
          <w:color w:val="000000"/>
          <w:sz w:val="24"/>
          <w:szCs w:val="24"/>
        </w:rPr>
        <w:t xml:space="preserve"> su respuesta el </w:t>
      </w:r>
      <w:r>
        <w:rPr>
          <w:rFonts w:ascii="Palatino Linotype" w:eastAsia="Palatino Linotype" w:hAnsi="Palatino Linotype" w:cs="Palatino Linotype"/>
          <w:b/>
          <w:color w:val="000000"/>
          <w:sz w:val="24"/>
          <w:szCs w:val="24"/>
        </w:rPr>
        <w:t>nueve de agosto de dos mil veinticuatro</w:t>
      </w:r>
      <w:r>
        <w:rPr>
          <w:rFonts w:ascii="Palatino Linotype" w:eastAsia="Palatino Linotype" w:hAnsi="Palatino Linotype" w:cs="Palatino Linotype"/>
          <w:color w:val="000000"/>
          <w:sz w:val="24"/>
          <w:szCs w:val="24"/>
        </w:rPr>
        <w:t xml:space="preserve">; esto quiere decir que se declaró la incompetencia el mismo día en que </w:t>
      </w:r>
      <w:r>
        <w:rPr>
          <w:rFonts w:ascii="Palatino Linotype" w:eastAsia="Palatino Linotype" w:hAnsi="Palatino Linotype" w:cs="Palatino Linotype"/>
          <w:sz w:val="24"/>
          <w:szCs w:val="24"/>
        </w:rPr>
        <w:t>ingresó</w:t>
      </w:r>
      <w:r>
        <w:rPr>
          <w:rFonts w:ascii="Palatino Linotype" w:eastAsia="Palatino Linotype" w:hAnsi="Palatino Linotype" w:cs="Palatino Linotype"/>
          <w:color w:val="000000"/>
          <w:sz w:val="24"/>
          <w:szCs w:val="24"/>
        </w:rPr>
        <w:t xml:space="preserve"> la solicitud de información.</w:t>
      </w:r>
    </w:p>
    <w:p w:rsidR="00447B70" w:rsidRDefault="00447B70">
      <w:pPr>
        <w:ind w:right="-929"/>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De lo anterior, es necesario precisar que el </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emitió la declaración de incompetencia en tiempo, ya que como </w:t>
      </w:r>
      <w:r>
        <w:rPr>
          <w:rFonts w:ascii="Palatino Linotype" w:eastAsia="Palatino Linotype" w:hAnsi="Palatino Linotype" w:cs="Palatino Linotype"/>
          <w:sz w:val="24"/>
          <w:szCs w:val="24"/>
        </w:rPr>
        <w:t>quedó</w:t>
      </w:r>
      <w:r>
        <w:rPr>
          <w:rFonts w:ascii="Palatino Linotype" w:eastAsia="Palatino Linotype" w:hAnsi="Palatino Linotype" w:cs="Palatino Linotype"/>
          <w:color w:val="000000"/>
          <w:sz w:val="24"/>
          <w:szCs w:val="24"/>
        </w:rPr>
        <w:t xml:space="preserve"> precisado en el párrafo anterior </w:t>
      </w:r>
      <w:r>
        <w:rPr>
          <w:rFonts w:ascii="Palatino Linotype" w:eastAsia="Palatino Linotype" w:hAnsi="Palatino Linotype" w:cs="Palatino Linotype"/>
          <w:sz w:val="24"/>
          <w:szCs w:val="24"/>
        </w:rPr>
        <w:t>declaró</w:t>
      </w:r>
      <w:r>
        <w:rPr>
          <w:rFonts w:ascii="Palatino Linotype" w:eastAsia="Palatino Linotype" w:hAnsi="Palatino Linotype" w:cs="Palatino Linotype"/>
          <w:color w:val="000000"/>
          <w:sz w:val="24"/>
          <w:szCs w:val="24"/>
        </w:rPr>
        <w:t xml:space="preserve"> la inexistencia el mismo día en que </w:t>
      </w:r>
      <w:r>
        <w:rPr>
          <w:rFonts w:ascii="Palatino Linotype" w:eastAsia="Palatino Linotype" w:hAnsi="Palatino Linotype" w:cs="Palatino Linotype"/>
          <w:sz w:val="24"/>
          <w:szCs w:val="24"/>
        </w:rPr>
        <w:t>ingresó</w:t>
      </w:r>
      <w:r>
        <w:rPr>
          <w:rFonts w:ascii="Palatino Linotype" w:eastAsia="Palatino Linotype" w:hAnsi="Palatino Linotype" w:cs="Palatino Linotype"/>
          <w:color w:val="000000"/>
          <w:sz w:val="24"/>
          <w:szCs w:val="24"/>
        </w:rPr>
        <w:t xml:space="preserve"> la solicitud de información, siendo este día el </w:t>
      </w:r>
      <w:r>
        <w:rPr>
          <w:rFonts w:ascii="Palatino Linotype" w:eastAsia="Palatino Linotype" w:hAnsi="Palatino Linotype" w:cs="Palatino Linotype"/>
          <w:b/>
          <w:color w:val="000000"/>
          <w:sz w:val="24"/>
          <w:szCs w:val="24"/>
        </w:rPr>
        <w:t>nueve de agosto de dos mil veinticuatro</w:t>
      </w:r>
      <w:r>
        <w:rPr>
          <w:rFonts w:ascii="Palatino Linotype" w:eastAsia="Palatino Linotype" w:hAnsi="Palatino Linotype" w:cs="Palatino Linotype"/>
          <w:color w:val="000000"/>
          <w:sz w:val="24"/>
          <w:szCs w:val="24"/>
        </w:rPr>
        <w:t>.</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color w:val="000000"/>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En ese sentido, se dejan a salvo los derechos del particular a efecto de que, de considerarlo oportuno, realice nuevas solicitudes de información dirigidas a la Comisión del Agua del Estado de México.</w:t>
      </w:r>
    </w:p>
    <w:p w:rsidR="00447B70" w:rsidRDefault="00447B70">
      <w:pPr>
        <w:spacing w:after="0" w:line="360" w:lineRule="auto"/>
        <w:ind w:right="-929"/>
        <w:jc w:val="both"/>
        <w:rPr>
          <w:rFonts w:ascii="Palatino Linotype" w:eastAsia="Palatino Linotype" w:hAnsi="Palatino Linotype" w:cs="Palatino Linotype"/>
          <w:sz w:val="24"/>
          <w:szCs w:val="24"/>
        </w:rPr>
      </w:pPr>
    </w:p>
    <w:p w:rsidR="00447B70" w:rsidRDefault="00BF208B">
      <w:pPr>
        <w:numPr>
          <w:ilvl w:val="0"/>
          <w:numId w:val="4"/>
        </w:numPr>
        <w:spacing w:after="0" w:line="360" w:lineRule="auto"/>
        <w:ind w:left="0" w:right="-929" w:firstLine="0"/>
        <w:jc w:val="both"/>
        <w:rPr>
          <w:color w:val="000000"/>
        </w:rPr>
      </w:pPr>
      <w:r>
        <w:rPr>
          <w:rFonts w:ascii="Palatino Linotype" w:eastAsia="Palatino Linotype" w:hAnsi="Palatino Linotype" w:cs="Palatino Linotype"/>
          <w:color w:val="000000"/>
          <w:sz w:val="24"/>
          <w:szCs w:val="24"/>
        </w:rPr>
        <w:t xml:space="preserve">Por lo anteriormente expuesto y fundado, este </w:t>
      </w:r>
      <w:r>
        <w:rPr>
          <w:rFonts w:ascii="Palatino Linotype" w:eastAsia="Palatino Linotype" w:hAnsi="Palatino Linotype" w:cs="Palatino Linotype"/>
          <w:b/>
          <w:color w:val="000000"/>
          <w:sz w:val="24"/>
          <w:szCs w:val="24"/>
        </w:rPr>
        <w:t>ÓRGANO GARANTE</w:t>
      </w:r>
      <w:r>
        <w:rPr>
          <w:rFonts w:ascii="Palatino Linotype" w:eastAsia="Palatino Linotype" w:hAnsi="Palatino Linotype" w:cs="Palatino Linotype"/>
          <w:color w:val="000000"/>
          <w:sz w:val="24"/>
          <w:szCs w:val="24"/>
        </w:rPr>
        <w:t xml:space="preserve"> emite los siguientes:</w:t>
      </w:r>
    </w:p>
    <w:p w:rsidR="00447B70" w:rsidRDefault="00447B70">
      <w:pPr>
        <w:pBdr>
          <w:top w:val="nil"/>
          <w:left w:val="nil"/>
          <w:bottom w:val="nil"/>
          <w:right w:val="nil"/>
          <w:between w:val="nil"/>
        </w:pBdr>
        <w:spacing w:after="0" w:line="240" w:lineRule="auto"/>
        <w:ind w:left="720" w:right="-929"/>
        <w:rPr>
          <w:rFonts w:ascii="Palatino Linotype" w:eastAsia="Palatino Linotype" w:hAnsi="Palatino Linotype" w:cs="Palatino Linotype"/>
          <w:color w:val="000000"/>
          <w:sz w:val="24"/>
          <w:szCs w:val="24"/>
        </w:rPr>
      </w:pPr>
    </w:p>
    <w:p w:rsidR="00447B70" w:rsidRDefault="00447B70">
      <w:pPr>
        <w:pBdr>
          <w:top w:val="nil"/>
          <w:left w:val="nil"/>
          <w:bottom w:val="nil"/>
          <w:right w:val="nil"/>
          <w:between w:val="nil"/>
        </w:pBdr>
        <w:tabs>
          <w:tab w:val="left" w:pos="426"/>
        </w:tabs>
        <w:spacing w:after="0" w:line="360" w:lineRule="auto"/>
        <w:ind w:right="-929"/>
        <w:jc w:val="both"/>
        <w:rPr>
          <w:rFonts w:ascii="Palatino Linotype" w:eastAsia="Palatino Linotype" w:hAnsi="Palatino Linotype" w:cs="Palatino Linotype"/>
          <w:color w:val="000000"/>
          <w:sz w:val="24"/>
          <w:szCs w:val="24"/>
        </w:rPr>
      </w:pPr>
    </w:p>
    <w:p w:rsidR="00447B70" w:rsidRDefault="00BF208B">
      <w:pPr>
        <w:keepNext/>
        <w:keepLines/>
        <w:pBdr>
          <w:top w:val="nil"/>
          <w:left w:val="nil"/>
          <w:bottom w:val="nil"/>
          <w:right w:val="nil"/>
          <w:between w:val="nil"/>
        </w:pBdr>
        <w:spacing w:after="0" w:line="360" w:lineRule="auto"/>
        <w:ind w:right="-929"/>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rsidR="00447B70" w:rsidRDefault="00447B70">
      <w:pPr>
        <w:spacing w:line="360" w:lineRule="auto"/>
        <w:ind w:right="-929"/>
        <w:rPr>
          <w:rFonts w:ascii="Palatino Linotype" w:eastAsia="Palatino Linotype" w:hAnsi="Palatino Linotype" w:cs="Palatino Linotype"/>
          <w:sz w:val="24"/>
          <w:szCs w:val="24"/>
        </w:rPr>
      </w:pPr>
    </w:p>
    <w:p w:rsidR="00447B70" w:rsidRDefault="00BF208B">
      <w:pPr>
        <w:tabs>
          <w:tab w:val="left" w:pos="8080"/>
        </w:tabs>
        <w:spacing w:line="360" w:lineRule="auto"/>
        <w:ind w:right="-929"/>
        <w:jc w:val="both"/>
        <w:rPr>
          <w:rFonts w:ascii="Palatino Linotype" w:eastAsia="Palatino Linotype" w:hAnsi="Palatino Linotype" w:cs="Palatino Linotype"/>
          <w:sz w:val="24"/>
          <w:szCs w:val="24"/>
        </w:rPr>
      </w:pPr>
      <w:bookmarkStart w:id="13" w:name="_heading=h.17dp8vu" w:colFirst="0" w:colLast="0"/>
      <w:bookmarkEnd w:id="13"/>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infundadas las razones o motivos de inconformidad hechos valer en el recurso de revisión </w:t>
      </w:r>
      <w:r>
        <w:rPr>
          <w:rFonts w:ascii="Palatino Linotype" w:eastAsia="Palatino Linotype" w:hAnsi="Palatino Linotype" w:cs="Palatino Linotype"/>
          <w:b/>
          <w:sz w:val="24"/>
          <w:szCs w:val="24"/>
        </w:rPr>
        <w:t>04913/INFOEM/IP/RR/2024</w:t>
      </w:r>
      <w:r>
        <w:rPr>
          <w:rFonts w:ascii="Palatino Linotype" w:eastAsia="Palatino Linotype" w:hAnsi="Palatino Linotype" w:cs="Palatino Linotype"/>
          <w:sz w:val="24"/>
          <w:szCs w:val="24"/>
        </w:rPr>
        <w:t xml:space="preserve">, en términos del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la presente resolución.</w:t>
      </w:r>
    </w:p>
    <w:p w:rsidR="00447B70" w:rsidRDefault="00447B70">
      <w:pPr>
        <w:tabs>
          <w:tab w:val="left" w:pos="8080"/>
        </w:tabs>
        <w:spacing w:line="360" w:lineRule="auto"/>
        <w:ind w:right="-929"/>
        <w:jc w:val="both"/>
        <w:rPr>
          <w:rFonts w:ascii="Palatino Linotype" w:eastAsia="Palatino Linotype" w:hAnsi="Palatino Linotype" w:cs="Palatino Linotype"/>
          <w:sz w:val="24"/>
          <w:szCs w:val="24"/>
        </w:rPr>
      </w:pPr>
    </w:p>
    <w:p w:rsidR="00447B70" w:rsidRDefault="00BF208B">
      <w:pPr>
        <w:tabs>
          <w:tab w:val="left" w:pos="8080"/>
        </w:tabs>
        <w:spacing w:line="360" w:lineRule="auto"/>
        <w:ind w:right="-92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CONFIRMA</w:t>
      </w:r>
      <w:r>
        <w:rPr>
          <w:rFonts w:ascii="Palatino Linotype" w:eastAsia="Palatino Linotype" w:hAnsi="Palatino Linotype" w:cs="Palatino Linotype"/>
          <w:sz w:val="24"/>
          <w:szCs w:val="24"/>
        </w:rPr>
        <w:t xml:space="preserve"> la respuesta emitida por la </w:t>
      </w:r>
      <w:r>
        <w:rPr>
          <w:rFonts w:ascii="Palatino Linotype" w:eastAsia="Palatino Linotype" w:hAnsi="Palatino Linotype" w:cs="Palatino Linotype"/>
          <w:b/>
          <w:sz w:val="24"/>
          <w:szCs w:val="24"/>
        </w:rPr>
        <w:t xml:space="preserve">Secretaría de la Contraloría </w:t>
      </w:r>
      <w:r>
        <w:rPr>
          <w:rFonts w:ascii="Palatino Linotype" w:eastAsia="Palatino Linotype" w:hAnsi="Palatino Linotype" w:cs="Palatino Linotype"/>
          <w:sz w:val="24"/>
          <w:szCs w:val="24"/>
        </w:rPr>
        <w:t xml:space="preserve">en la solicitud de información </w:t>
      </w:r>
      <w:r>
        <w:rPr>
          <w:rFonts w:ascii="Palatino Linotype" w:eastAsia="Palatino Linotype" w:hAnsi="Palatino Linotype" w:cs="Palatino Linotype"/>
          <w:b/>
          <w:sz w:val="24"/>
          <w:szCs w:val="24"/>
        </w:rPr>
        <w:t>00295/SECOGEM/IP/2024</w:t>
      </w:r>
      <w:r>
        <w:rPr>
          <w:rFonts w:ascii="Palatino Linotype" w:eastAsia="Palatino Linotype" w:hAnsi="Palatino Linotype" w:cs="Palatino Linotype"/>
          <w:sz w:val="24"/>
          <w:szCs w:val="24"/>
        </w:rPr>
        <w:t xml:space="preserve">. </w:t>
      </w:r>
    </w:p>
    <w:p w:rsidR="00447B70" w:rsidRDefault="00447B70">
      <w:pPr>
        <w:tabs>
          <w:tab w:val="left" w:pos="8080"/>
        </w:tabs>
        <w:spacing w:line="360" w:lineRule="auto"/>
        <w:ind w:right="-929"/>
        <w:jc w:val="both"/>
        <w:rPr>
          <w:rFonts w:ascii="Palatino Linotype" w:eastAsia="Palatino Linotype" w:hAnsi="Palatino Linotype" w:cs="Palatino Linotype"/>
          <w:sz w:val="24"/>
          <w:szCs w:val="24"/>
        </w:rPr>
      </w:pPr>
    </w:p>
    <w:p w:rsidR="00447B70" w:rsidRDefault="00BF208B">
      <w:pPr>
        <w:shd w:val="clear" w:color="auto" w:fill="FFFFFF"/>
        <w:spacing w:line="360" w:lineRule="auto"/>
        <w:ind w:right="-92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xml:space="preserve"> Notifíquese al Titular de la Unidad de Transparencia del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xml:space="preserve"> vía SAIMEX, para su conocimiento.</w:t>
      </w:r>
    </w:p>
    <w:p w:rsidR="00447B70" w:rsidRDefault="00447B70">
      <w:pPr>
        <w:shd w:val="clear" w:color="auto" w:fill="FFFFFF"/>
        <w:spacing w:line="360" w:lineRule="auto"/>
        <w:ind w:right="-929"/>
        <w:jc w:val="both"/>
        <w:rPr>
          <w:rFonts w:ascii="Palatino Linotype" w:eastAsia="Palatino Linotype" w:hAnsi="Palatino Linotype" w:cs="Palatino Linotype"/>
          <w:sz w:val="24"/>
          <w:szCs w:val="24"/>
        </w:rPr>
      </w:pPr>
    </w:p>
    <w:p w:rsidR="00447B70" w:rsidRDefault="00BF208B">
      <w:pPr>
        <w:shd w:val="clear" w:color="auto" w:fill="FFFFFF"/>
        <w:spacing w:line="360" w:lineRule="auto"/>
        <w:ind w:right="-92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Notifíquese </w:t>
      </w:r>
      <w:r>
        <w:rPr>
          <w:rFonts w:ascii="Palatino Linotype" w:eastAsia="Palatino Linotype" w:hAnsi="Palatino Linotype" w:cs="Palatino Linotype"/>
          <w:b/>
          <w:sz w:val="24"/>
          <w:szCs w:val="24"/>
        </w:rPr>
        <w:t>al RECURRENTE</w:t>
      </w:r>
      <w:r>
        <w:rPr>
          <w:rFonts w:ascii="Palatino Linotype" w:eastAsia="Palatino Linotype" w:hAnsi="Palatino Linotype" w:cs="Palatino Linotype"/>
          <w:sz w:val="24"/>
          <w:szCs w:val="24"/>
        </w:rPr>
        <w:t xml:space="preserve"> la presente resolución vía SAIMEX.</w:t>
      </w:r>
    </w:p>
    <w:p w:rsidR="00447B70" w:rsidRDefault="00447B70">
      <w:pPr>
        <w:shd w:val="clear" w:color="auto" w:fill="FFFFFF"/>
        <w:spacing w:line="360" w:lineRule="auto"/>
        <w:ind w:right="-929"/>
        <w:jc w:val="both"/>
        <w:rPr>
          <w:rFonts w:ascii="Palatino Linotype" w:eastAsia="Palatino Linotype" w:hAnsi="Palatino Linotype" w:cs="Palatino Linotype"/>
          <w:sz w:val="24"/>
          <w:szCs w:val="24"/>
        </w:rPr>
      </w:pPr>
    </w:p>
    <w:p w:rsidR="00447B70" w:rsidRDefault="00BF208B">
      <w:pPr>
        <w:shd w:val="clear" w:color="auto" w:fill="FFFFFF"/>
        <w:spacing w:line="360" w:lineRule="auto"/>
        <w:ind w:right="-92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Se hace del conocimiento de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09595D" w:rsidRPr="003C7186" w:rsidRDefault="0009595D" w:rsidP="0009595D">
      <w:pPr>
        <w:spacing w:line="360" w:lineRule="auto"/>
        <w:ind w:left="-142" w:right="-234" w:firstLine="1"/>
        <w:jc w:val="both"/>
        <w:rPr>
          <w:rFonts w:ascii="Palatino Linotype" w:hAnsi="Palatino Linotype"/>
        </w:rPr>
      </w:pPr>
      <w:r w:rsidRPr="003C7186">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CUARTA </w:t>
      </w:r>
      <w:r w:rsidRPr="003C7186">
        <w:rPr>
          <w:rFonts w:ascii="Palatino Linotype" w:hAnsi="Palatino Linotype"/>
        </w:rPr>
        <w:t xml:space="preserve">SESIÓN ORDINARIA CELEBRADA EL </w:t>
      </w:r>
      <w:r>
        <w:rPr>
          <w:rFonts w:ascii="Palatino Linotype" w:hAnsi="Palatino Linotype"/>
        </w:rPr>
        <w:t>VEINTICINCO</w:t>
      </w:r>
      <w:r w:rsidRPr="003C7186">
        <w:rPr>
          <w:rFonts w:ascii="Palatino Linotype" w:hAnsi="Palatino Linotype"/>
        </w:rPr>
        <w:t xml:space="preserve"> </w:t>
      </w:r>
      <w:r>
        <w:rPr>
          <w:rFonts w:ascii="Palatino Linotype" w:hAnsi="Palatino Linotype"/>
        </w:rPr>
        <w:t>(25) DE SEPTIEMBRE</w:t>
      </w:r>
      <w:r w:rsidRPr="003C7186">
        <w:rPr>
          <w:rFonts w:ascii="Palatino Linotype" w:hAnsi="Palatino Linotype"/>
        </w:rPr>
        <w:t xml:space="preserve"> DE DOS MIL VEINTICUATRO, ANTE EL SECRETARIO TÉCNICO DEL PLENO ALEXIS TAPIA RAMÍREZ. </w:t>
      </w:r>
    </w:p>
    <w:p w:rsidR="0009595D" w:rsidRPr="00902BA4" w:rsidRDefault="0009595D" w:rsidP="0009595D">
      <w:pPr>
        <w:widowControl w:val="0"/>
        <w:autoSpaceDE w:val="0"/>
        <w:autoSpaceDN w:val="0"/>
        <w:adjustRightInd w:val="0"/>
        <w:spacing w:after="200" w:line="276" w:lineRule="auto"/>
        <w:ind w:left="-142" w:right="-234"/>
      </w:pPr>
    </w:p>
    <w:p w:rsidR="00447B70" w:rsidRDefault="00447B70">
      <w:pPr>
        <w:spacing w:line="360" w:lineRule="auto"/>
        <w:ind w:right="-929"/>
        <w:jc w:val="both"/>
        <w:rPr>
          <w:rFonts w:ascii="Palatino Linotype" w:eastAsia="Palatino Linotype" w:hAnsi="Palatino Linotype" w:cs="Palatino Linotype"/>
          <w:sz w:val="24"/>
          <w:szCs w:val="24"/>
        </w:rPr>
      </w:pPr>
    </w:p>
    <w:p w:rsidR="00447B70" w:rsidRDefault="00447B70">
      <w:pPr>
        <w:spacing w:line="360" w:lineRule="auto"/>
        <w:ind w:right="-929"/>
        <w:jc w:val="both"/>
        <w:rPr>
          <w:rFonts w:ascii="Palatino Linotype" w:eastAsia="Palatino Linotype" w:hAnsi="Palatino Linotype" w:cs="Palatino Linotype"/>
          <w:sz w:val="24"/>
          <w:szCs w:val="24"/>
        </w:rPr>
      </w:pPr>
    </w:p>
    <w:p w:rsidR="00447B70" w:rsidRDefault="00447B70">
      <w:pPr>
        <w:spacing w:line="360" w:lineRule="auto"/>
        <w:ind w:right="-929"/>
        <w:jc w:val="both"/>
        <w:rPr>
          <w:rFonts w:ascii="Palatino Linotype" w:eastAsia="Palatino Linotype" w:hAnsi="Palatino Linotype" w:cs="Palatino Linotype"/>
          <w:sz w:val="24"/>
          <w:szCs w:val="24"/>
        </w:rPr>
      </w:pPr>
    </w:p>
    <w:p w:rsidR="00447B70" w:rsidRDefault="00447B70">
      <w:pPr>
        <w:spacing w:line="360" w:lineRule="auto"/>
        <w:ind w:right="-929"/>
        <w:jc w:val="both"/>
        <w:rPr>
          <w:rFonts w:ascii="Palatino Linotype" w:eastAsia="Palatino Linotype" w:hAnsi="Palatino Linotype" w:cs="Palatino Linotype"/>
          <w:sz w:val="24"/>
          <w:szCs w:val="24"/>
        </w:rPr>
      </w:pPr>
    </w:p>
    <w:p w:rsidR="00447B70" w:rsidRDefault="00447B70">
      <w:pPr>
        <w:spacing w:line="360" w:lineRule="auto"/>
        <w:ind w:right="-929"/>
        <w:jc w:val="both"/>
        <w:rPr>
          <w:rFonts w:ascii="Palatino Linotype" w:eastAsia="Palatino Linotype" w:hAnsi="Palatino Linotype" w:cs="Palatino Linotype"/>
          <w:sz w:val="24"/>
          <w:szCs w:val="24"/>
        </w:rPr>
      </w:pPr>
    </w:p>
    <w:p w:rsidR="00447B70" w:rsidRDefault="00447B70">
      <w:pPr>
        <w:spacing w:line="360" w:lineRule="auto"/>
        <w:ind w:right="-929"/>
        <w:rPr>
          <w:rFonts w:ascii="Palatino Linotype" w:eastAsia="Palatino Linotype" w:hAnsi="Palatino Linotype" w:cs="Palatino Linotype"/>
          <w:sz w:val="24"/>
          <w:szCs w:val="24"/>
        </w:rPr>
      </w:pPr>
    </w:p>
    <w:p w:rsidR="00447B70" w:rsidRDefault="00447B70">
      <w:pPr>
        <w:spacing w:line="360" w:lineRule="auto"/>
        <w:ind w:right="-929"/>
        <w:rPr>
          <w:rFonts w:ascii="Palatino Linotype" w:eastAsia="Palatino Linotype" w:hAnsi="Palatino Linotype" w:cs="Palatino Linotype"/>
          <w:sz w:val="24"/>
          <w:szCs w:val="24"/>
        </w:rPr>
      </w:pPr>
    </w:p>
    <w:p w:rsidR="00447B70" w:rsidRDefault="00447B70">
      <w:pPr>
        <w:spacing w:line="360" w:lineRule="auto"/>
        <w:ind w:right="-929"/>
        <w:rPr>
          <w:rFonts w:ascii="Palatino Linotype" w:eastAsia="Palatino Linotype" w:hAnsi="Palatino Linotype" w:cs="Palatino Linotype"/>
          <w:sz w:val="24"/>
          <w:szCs w:val="24"/>
        </w:rPr>
      </w:pPr>
    </w:p>
    <w:p w:rsidR="00447B70" w:rsidRDefault="00447B70">
      <w:pPr>
        <w:spacing w:line="360" w:lineRule="auto"/>
        <w:ind w:right="-929"/>
        <w:rPr>
          <w:rFonts w:ascii="Palatino Linotype" w:eastAsia="Palatino Linotype" w:hAnsi="Palatino Linotype" w:cs="Palatino Linotype"/>
          <w:sz w:val="24"/>
          <w:szCs w:val="24"/>
        </w:rPr>
      </w:pPr>
    </w:p>
    <w:p w:rsidR="00447B70" w:rsidRDefault="00447B70">
      <w:pPr>
        <w:spacing w:line="360" w:lineRule="auto"/>
        <w:ind w:right="-929"/>
        <w:rPr>
          <w:rFonts w:ascii="Palatino Linotype" w:eastAsia="Palatino Linotype" w:hAnsi="Palatino Linotype" w:cs="Palatino Linotype"/>
          <w:sz w:val="24"/>
          <w:szCs w:val="24"/>
        </w:rPr>
      </w:pPr>
    </w:p>
    <w:p w:rsidR="00447B70" w:rsidRDefault="00447B70">
      <w:pPr>
        <w:spacing w:line="360" w:lineRule="auto"/>
        <w:ind w:right="-929"/>
        <w:rPr>
          <w:rFonts w:ascii="Palatino Linotype" w:eastAsia="Palatino Linotype" w:hAnsi="Palatino Linotype" w:cs="Palatino Linotype"/>
          <w:sz w:val="24"/>
          <w:szCs w:val="24"/>
        </w:rPr>
      </w:pPr>
    </w:p>
    <w:p w:rsidR="00447B70" w:rsidRDefault="00447B70">
      <w:pPr>
        <w:spacing w:line="360" w:lineRule="auto"/>
        <w:ind w:right="-929"/>
        <w:rPr>
          <w:rFonts w:ascii="Palatino Linotype" w:eastAsia="Palatino Linotype" w:hAnsi="Palatino Linotype" w:cs="Palatino Linotype"/>
          <w:sz w:val="24"/>
          <w:szCs w:val="24"/>
        </w:rPr>
      </w:pPr>
    </w:p>
    <w:p w:rsidR="00447B70" w:rsidRDefault="00BF208B">
      <w:pPr>
        <w:tabs>
          <w:tab w:val="left" w:pos="3374"/>
        </w:tabs>
        <w:spacing w:line="360" w:lineRule="auto"/>
        <w:ind w:right="-92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rsidR="00447B70" w:rsidRDefault="00447B70">
      <w:pPr>
        <w:ind w:right="-929"/>
        <w:rPr>
          <w:sz w:val="24"/>
          <w:szCs w:val="24"/>
        </w:rPr>
      </w:pPr>
    </w:p>
    <w:sectPr w:rsidR="00447B70">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316" w:rsidRDefault="00413316">
      <w:pPr>
        <w:spacing w:after="0" w:line="240" w:lineRule="auto"/>
      </w:pPr>
      <w:r>
        <w:separator/>
      </w:r>
    </w:p>
  </w:endnote>
  <w:endnote w:type="continuationSeparator" w:id="0">
    <w:p w:rsidR="00413316" w:rsidRDefault="0041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70" w:rsidRDefault="00BF208B">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47963">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47963">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p w:rsidR="00447B70" w:rsidRDefault="00447B70">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70" w:rsidRDefault="00BF208B">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4796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47963">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p w:rsidR="00447B70" w:rsidRDefault="00447B70">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316" w:rsidRDefault="00413316">
      <w:pPr>
        <w:spacing w:after="0" w:line="240" w:lineRule="auto"/>
      </w:pPr>
      <w:r>
        <w:separator/>
      </w:r>
    </w:p>
  </w:footnote>
  <w:footnote w:type="continuationSeparator" w:id="0">
    <w:p w:rsidR="00413316" w:rsidRDefault="00413316">
      <w:pPr>
        <w:spacing w:after="0" w:line="240" w:lineRule="auto"/>
      </w:pPr>
      <w:r>
        <w:continuationSeparator/>
      </w:r>
    </w:p>
  </w:footnote>
  <w:footnote w:id="1">
    <w:p w:rsidR="00447B70" w:rsidRDefault="00BF20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447B70" w:rsidRDefault="00BF20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447B70" w:rsidRDefault="00BF20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447B70" w:rsidRDefault="00BF20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70" w:rsidRDefault="00413316">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70" w:rsidRDefault="00447B70">
    <w:pPr>
      <w:widowControl w:val="0"/>
      <w:pBdr>
        <w:top w:val="nil"/>
        <w:left w:val="nil"/>
        <w:bottom w:val="nil"/>
        <w:right w:val="nil"/>
        <w:between w:val="nil"/>
      </w:pBdr>
      <w:spacing w:after="0" w:line="276" w:lineRule="auto"/>
      <w:rPr>
        <w:color w:val="000000"/>
        <w:sz w:val="24"/>
        <w:szCs w:val="24"/>
      </w:rPr>
    </w:pPr>
  </w:p>
  <w:tbl>
    <w:tblPr>
      <w:tblStyle w:val="a1"/>
      <w:tblW w:w="6519" w:type="dxa"/>
      <w:tblInd w:w="2694" w:type="dxa"/>
      <w:tblLayout w:type="fixed"/>
      <w:tblLook w:val="0400" w:firstRow="0" w:lastRow="0" w:firstColumn="0" w:lastColumn="0" w:noHBand="0" w:noVBand="1"/>
    </w:tblPr>
    <w:tblGrid>
      <w:gridCol w:w="2976"/>
      <w:gridCol w:w="3543"/>
    </w:tblGrid>
    <w:tr w:rsidR="00447B70">
      <w:trPr>
        <w:trHeight w:val="227"/>
      </w:trPr>
      <w:tc>
        <w:tcPr>
          <w:tcW w:w="2976" w:type="dxa"/>
          <w:vAlign w:val="center"/>
        </w:tcPr>
        <w:p w:rsidR="00447B70" w:rsidRDefault="00BF208B">
          <w:pPr>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3" w:type="dxa"/>
          <w:vAlign w:val="center"/>
        </w:tcPr>
        <w:p w:rsidR="00447B70" w:rsidRDefault="00BF208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04913/INFOEM/IP/RR/2024</w:t>
          </w:r>
        </w:p>
      </w:tc>
    </w:tr>
    <w:tr w:rsidR="00447B70">
      <w:trPr>
        <w:trHeight w:val="242"/>
      </w:trPr>
      <w:tc>
        <w:tcPr>
          <w:tcW w:w="2976" w:type="dxa"/>
          <w:vAlign w:val="center"/>
        </w:tcPr>
        <w:p w:rsidR="00447B70" w:rsidRDefault="00BF208B">
          <w:pPr>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3" w:type="dxa"/>
          <w:vAlign w:val="center"/>
        </w:tcPr>
        <w:p w:rsidR="00447B70" w:rsidRDefault="00BF208B">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Secretaría de la Contraloría</w:t>
          </w:r>
        </w:p>
      </w:tc>
    </w:tr>
    <w:tr w:rsidR="00447B70">
      <w:trPr>
        <w:trHeight w:val="342"/>
      </w:trPr>
      <w:tc>
        <w:tcPr>
          <w:tcW w:w="2976" w:type="dxa"/>
          <w:vAlign w:val="center"/>
        </w:tcPr>
        <w:p w:rsidR="00447B70" w:rsidRDefault="00BF208B">
          <w:pPr>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3" w:type="dxa"/>
          <w:vAlign w:val="center"/>
        </w:tcPr>
        <w:p w:rsidR="00447B70" w:rsidRDefault="00BF208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447B70" w:rsidRDefault="00413316">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70" w:rsidRDefault="00447B70">
    <w:pPr>
      <w:widowControl w:val="0"/>
      <w:pBdr>
        <w:top w:val="nil"/>
        <w:left w:val="nil"/>
        <w:bottom w:val="nil"/>
        <w:right w:val="nil"/>
        <w:between w:val="nil"/>
      </w:pBdr>
      <w:spacing w:after="0" w:line="276" w:lineRule="auto"/>
      <w:rPr>
        <w:color w:val="000000"/>
        <w:sz w:val="14"/>
        <w:szCs w:val="14"/>
      </w:rPr>
    </w:pPr>
  </w:p>
  <w:tbl>
    <w:tblPr>
      <w:tblStyle w:val="a2"/>
      <w:tblW w:w="6660" w:type="dxa"/>
      <w:tblInd w:w="2552" w:type="dxa"/>
      <w:tblLayout w:type="fixed"/>
      <w:tblLook w:val="0400" w:firstRow="0" w:lastRow="0" w:firstColumn="0" w:lastColumn="0" w:noHBand="0" w:noVBand="1"/>
    </w:tblPr>
    <w:tblGrid>
      <w:gridCol w:w="2985"/>
      <w:gridCol w:w="3675"/>
    </w:tblGrid>
    <w:tr w:rsidR="00447B70">
      <w:trPr>
        <w:trHeight w:val="227"/>
      </w:trPr>
      <w:tc>
        <w:tcPr>
          <w:tcW w:w="2985" w:type="dxa"/>
          <w:vAlign w:val="center"/>
        </w:tcPr>
        <w:p w:rsidR="00447B70" w:rsidRDefault="00BF208B">
          <w:pPr>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75" w:type="dxa"/>
          <w:vAlign w:val="center"/>
        </w:tcPr>
        <w:p w:rsidR="00447B70" w:rsidRDefault="00BF208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04913/INFOEM/IP/RR/2024</w:t>
          </w:r>
        </w:p>
      </w:tc>
    </w:tr>
    <w:tr w:rsidR="00447B70">
      <w:trPr>
        <w:trHeight w:val="242"/>
      </w:trPr>
      <w:tc>
        <w:tcPr>
          <w:tcW w:w="2985" w:type="dxa"/>
          <w:vAlign w:val="center"/>
        </w:tcPr>
        <w:p w:rsidR="00447B70" w:rsidRDefault="00BF208B">
          <w:pPr>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75" w:type="dxa"/>
        </w:tcPr>
        <w:p w:rsidR="00447B70" w:rsidRDefault="00BF208B">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color w:val="FF0000"/>
            </w:rPr>
            <w:t> </w:t>
          </w:r>
        </w:p>
      </w:tc>
    </w:tr>
    <w:tr w:rsidR="00447B70">
      <w:trPr>
        <w:trHeight w:val="342"/>
      </w:trPr>
      <w:tc>
        <w:tcPr>
          <w:tcW w:w="2985" w:type="dxa"/>
          <w:vAlign w:val="center"/>
        </w:tcPr>
        <w:p w:rsidR="00447B70" w:rsidRDefault="00BF208B">
          <w:pPr>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75" w:type="dxa"/>
          <w:vAlign w:val="center"/>
        </w:tcPr>
        <w:p w:rsidR="00447B70" w:rsidRDefault="00BF208B">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Secretaría de la Contraloría</w:t>
          </w:r>
        </w:p>
      </w:tc>
    </w:tr>
    <w:tr w:rsidR="00447B70">
      <w:trPr>
        <w:trHeight w:val="342"/>
      </w:trPr>
      <w:tc>
        <w:tcPr>
          <w:tcW w:w="2985" w:type="dxa"/>
          <w:vAlign w:val="center"/>
        </w:tcPr>
        <w:p w:rsidR="00447B70" w:rsidRDefault="00BF208B">
          <w:pPr>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75" w:type="dxa"/>
          <w:vAlign w:val="center"/>
        </w:tcPr>
        <w:p w:rsidR="00447B70" w:rsidRDefault="00BF208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447B70" w:rsidRDefault="00413316">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70D15"/>
    <w:multiLevelType w:val="multilevel"/>
    <w:tmpl w:val="2110ABC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DEB3ACD"/>
    <w:multiLevelType w:val="multilevel"/>
    <w:tmpl w:val="EECA5F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A934E7C"/>
    <w:multiLevelType w:val="multilevel"/>
    <w:tmpl w:val="68B0A11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nsid w:val="3CFF30E2"/>
    <w:multiLevelType w:val="multilevel"/>
    <w:tmpl w:val="FF947E0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B70"/>
    <w:rsid w:val="0009595D"/>
    <w:rsid w:val="00413316"/>
    <w:rsid w:val="00447B70"/>
    <w:rsid w:val="006A2985"/>
    <w:rsid w:val="00747963"/>
    <w:rsid w:val="00BF208B"/>
    <w:rsid w:val="00CF4F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E9592BC-2464-42C8-BD6B-D070A5FF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892"/>
  </w:style>
  <w:style w:type="paragraph" w:styleId="Ttulo1">
    <w:name w:val="heading 1"/>
    <w:basedOn w:val="Normal"/>
    <w:next w:val="Normal"/>
    <w:link w:val="Ttulo1Car"/>
    <w:uiPriority w:val="9"/>
    <w:qFormat/>
    <w:rsid w:val="0026289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262892"/>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262892"/>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262892"/>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262892"/>
    <w:pPr>
      <w:tabs>
        <w:tab w:val="center" w:pos="4419"/>
        <w:tab w:val="right" w:pos="8838"/>
      </w:tabs>
      <w:spacing w:after="0" w:line="240" w:lineRule="auto"/>
    </w:pPr>
    <w:rPr>
      <w:rFonts w:eastAsiaTheme="minorEastAsia"/>
      <w:sz w:val="24"/>
      <w:szCs w:val="24"/>
      <w:lang w:eastAsia="es-ES"/>
    </w:rPr>
  </w:style>
  <w:style w:type="character" w:customStyle="1" w:styleId="EncabezadoCar">
    <w:name w:val="Encabezado Car"/>
    <w:basedOn w:val="Fuentedeprrafopredeter"/>
    <w:link w:val="Encabezado"/>
    <w:uiPriority w:val="99"/>
    <w:rsid w:val="00262892"/>
    <w:rPr>
      <w:rFonts w:eastAsiaTheme="minorEastAsia"/>
      <w:sz w:val="24"/>
      <w:szCs w:val="24"/>
      <w:lang w:val="es-ES_tradnl" w:eastAsia="es-ES"/>
    </w:rPr>
  </w:style>
  <w:style w:type="paragraph" w:styleId="Piedepgina">
    <w:name w:val="footer"/>
    <w:basedOn w:val="Normal"/>
    <w:link w:val="PiedepginaCar"/>
    <w:uiPriority w:val="99"/>
    <w:unhideWhenUsed/>
    <w:rsid w:val="00262892"/>
    <w:pPr>
      <w:tabs>
        <w:tab w:val="center" w:pos="4419"/>
        <w:tab w:val="right" w:pos="8838"/>
      </w:tabs>
      <w:spacing w:after="0" w:line="240" w:lineRule="auto"/>
    </w:pPr>
    <w:rPr>
      <w:rFonts w:eastAsiaTheme="minorEastAsia"/>
      <w:sz w:val="24"/>
      <w:szCs w:val="24"/>
      <w:lang w:eastAsia="es-ES"/>
    </w:rPr>
  </w:style>
  <w:style w:type="character" w:customStyle="1" w:styleId="PiedepginaCar">
    <w:name w:val="Pie de página Car"/>
    <w:basedOn w:val="Fuentedeprrafopredeter"/>
    <w:link w:val="Piedepgina"/>
    <w:uiPriority w:val="99"/>
    <w:rsid w:val="00262892"/>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262892"/>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62892"/>
    <w:pPr>
      <w:spacing w:after="0" w:line="240" w:lineRule="auto"/>
    </w:pPr>
    <w:rPr>
      <w:sz w:val="20"/>
      <w:szCs w:val="20"/>
    </w:rPr>
  </w:style>
  <w:style w:type="character" w:customStyle="1" w:styleId="TextonotapieCar1">
    <w:name w:val="Texto nota pie Car1"/>
    <w:basedOn w:val="Fuentedeprrafopredeter"/>
    <w:uiPriority w:val="99"/>
    <w:semiHidden/>
    <w:rsid w:val="0026289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62892"/>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62892"/>
    <w:pPr>
      <w:spacing w:after="0" w:line="240" w:lineRule="auto"/>
      <w:ind w:left="720"/>
      <w:contextualSpacing/>
    </w:pPr>
    <w:rPr>
      <w:rFonts w:eastAsiaTheme="minorEastAsia"/>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62892"/>
    <w:rPr>
      <w:rFonts w:eastAsiaTheme="minorEastAsia"/>
      <w:sz w:val="24"/>
      <w:szCs w:val="24"/>
      <w:lang w:val="es-ES_tradnl" w:eastAsia="es-ES"/>
    </w:rPr>
  </w:style>
  <w:style w:type="character" w:styleId="Hipervnculo">
    <w:name w:val="Hyperlink"/>
    <w:basedOn w:val="Fuentedeprrafopredeter"/>
    <w:uiPriority w:val="99"/>
    <w:unhideWhenUsed/>
    <w:rsid w:val="00262892"/>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OOgYLVAIuEQi5J+G8wzLLXeeVw==">CgMxLjAyCGguZ2pkZ3hzMgloLjMwajB6bGwyCWguMWZvYjl0ZTIJaC4zem55c2g3MgloLjJldDkycDAyDmgudzZ6MWNuamUycGFxMghoLnR5amN3dDIJaC4zZHk2dmttMgloLjF0M2g1c2YyCWguNGQzNG9nODIJaC4zcmRjcmpuMgloLjI2aW4xcmcyCWguMTdkcDh2dTgAciExVG5mVnc1RF9lalc1Smd6alpPU2MxWl8yaUIzQjV3cHU=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3346</Words>
  <Characters>18409</Characters>
  <Application>Microsoft Office Word</Application>
  <DocSecurity>0</DocSecurity>
  <Lines>153</Lines>
  <Paragraphs>43</Paragraphs>
  <ScaleCrop>false</ScaleCrop>
  <Company>HP Inc.</Company>
  <LinksUpToDate>false</LinksUpToDate>
  <CharactersWithSpaces>21712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USUARIO</cp:lastModifiedBy>
  <cp:revision>4</cp:revision>
  <cp:lastPrinted>2024-09-26T19:18:00Z</cp:lastPrinted>
  <dcterms:created xsi:type="dcterms:W3CDTF">2024-09-11T22:30:00Z</dcterms:created>
  <dcterms:modified xsi:type="dcterms:W3CDTF">2024-09-26T19:18:00Z</dcterms:modified>
</cp:coreProperties>
</file>