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5FB7" w14:textId="77777777" w:rsidR="007F0D36" w:rsidRPr="002C3EC8" w:rsidRDefault="007F0D36" w:rsidP="007F0D36">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457C7A">
        <w:rPr>
          <w:rFonts w:ascii="Palatino Linotype" w:eastAsia="Times New Roman" w:hAnsi="Palatino Linotype" w:cs="Arial"/>
          <w:color w:val="000000"/>
          <w:sz w:val="24"/>
          <w:szCs w:val="24"/>
          <w:lang w:eastAsia="es-MX"/>
        </w:rPr>
        <w:t>veintiséis</w:t>
      </w:r>
      <w:r>
        <w:rPr>
          <w:rFonts w:ascii="Palatino Linotype" w:eastAsia="Times New Roman" w:hAnsi="Palatino Linotype" w:cs="Arial"/>
          <w:color w:val="000000"/>
          <w:sz w:val="24"/>
          <w:szCs w:val="24"/>
          <w:lang w:eastAsia="es-MX"/>
        </w:rPr>
        <w:t xml:space="preserve"> de junio de dos mil veinticuatro</w:t>
      </w:r>
      <w:r w:rsidRPr="002C3EC8">
        <w:rPr>
          <w:rFonts w:ascii="Palatino Linotype" w:eastAsia="Times New Roman" w:hAnsi="Palatino Linotype" w:cs="Arial"/>
          <w:color w:val="000000"/>
          <w:sz w:val="24"/>
          <w:szCs w:val="24"/>
          <w:lang w:eastAsia="es-MX"/>
        </w:rPr>
        <w:t>.</w:t>
      </w:r>
    </w:p>
    <w:p w14:paraId="643FC858" w14:textId="07CB7C63" w:rsidR="007F0D36" w:rsidRPr="002C3EC8" w:rsidRDefault="007F0D36" w:rsidP="007F0D36">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65212F">
        <w:rPr>
          <w:rFonts w:ascii="Palatino Linotype" w:hAnsi="Palatino Linotype" w:cs="Arial"/>
          <w:b/>
          <w:sz w:val="24"/>
        </w:rPr>
        <w:t>0</w:t>
      </w:r>
      <w:r>
        <w:rPr>
          <w:rFonts w:ascii="Palatino Linotype" w:hAnsi="Palatino Linotype" w:cs="Arial"/>
          <w:b/>
          <w:bCs/>
          <w:sz w:val="24"/>
          <w:lang w:eastAsia="es-MX"/>
        </w:rPr>
        <w:t>2625/INFOEM/IP/RR/2024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sidR="00B4684D">
        <w:rPr>
          <w:rFonts w:ascii="Palatino Linotype" w:hAnsi="Palatino Linotype"/>
          <w:b/>
          <w:sz w:val="24"/>
        </w:rPr>
        <w:t>XXXXXXXXXXXXXXXXXXXXX</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7F0D36">
        <w:rPr>
          <w:rFonts w:ascii="Palatino Linotype" w:hAnsi="Palatino Linotype"/>
          <w:b/>
          <w:sz w:val="24"/>
        </w:rPr>
        <w:t>Ayuntamiento de Sultepec</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7DF5C224" w14:textId="77777777" w:rsidR="007F0D36" w:rsidRPr="002C3EC8" w:rsidRDefault="007F0D36" w:rsidP="007F0D36">
      <w:pPr>
        <w:tabs>
          <w:tab w:val="left" w:pos="1701"/>
        </w:tabs>
        <w:spacing w:before="240" w:line="360" w:lineRule="auto"/>
        <w:jc w:val="both"/>
        <w:rPr>
          <w:rFonts w:ascii="Palatino Linotype" w:hAnsi="Palatino Linotype" w:cs="Arial"/>
          <w:b/>
          <w:sz w:val="24"/>
        </w:rPr>
      </w:pPr>
    </w:p>
    <w:p w14:paraId="5825C7AD" w14:textId="77777777" w:rsidR="007F0D36" w:rsidRPr="002C3EC8" w:rsidRDefault="007F0D36" w:rsidP="007F0D36">
      <w:pPr>
        <w:pStyle w:val="infoemcitas"/>
        <w:jc w:val="center"/>
        <w:rPr>
          <w:b/>
          <w:bCs/>
          <w:i w:val="0"/>
          <w:iCs/>
          <w:sz w:val="28"/>
          <w:szCs w:val="28"/>
        </w:rPr>
      </w:pPr>
      <w:r w:rsidRPr="002C3EC8">
        <w:rPr>
          <w:b/>
          <w:bCs/>
          <w:i w:val="0"/>
          <w:iCs/>
          <w:sz w:val="28"/>
          <w:szCs w:val="28"/>
        </w:rPr>
        <w:t>A N T E C E D E N T E S   D E L   A S U N T</w:t>
      </w:r>
      <w:bookmarkStart w:id="0" w:name="_GoBack"/>
      <w:bookmarkEnd w:id="0"/>
      <w:r w:rsidRPr="002C3EC8">
        <w:rPr>
          <w:b/>
          <w:bCs/>
          <w:i w:val="0"/>
          <w:iCs/>
          <w:sz w:val="28"/>
          <w:szCs w:val="28"/>
        </w:rPr>
        <w:t xml:space="preserve"> O</w:t>
      </w:r>
    </w:p>
    <w:p w14:paraId="3C6A2791" w14:textId="77777777" w:rsidR="007F0D36" w:rsidRPr="002C3EC8" w:rsidRDefault="007F0D36" w:rsidP="007F0D36">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4F7CB8D8" w14:textId="77777777" w:rsidR="007F0D36" w:rsidRPr="00D705FF" w:rsidRDefault="007F0D36" w:rsidP="007F0D36">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veintidós de abril</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00037/SULTEPEC/IP/2024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7ECC2822" w14:textId="77777777" w:rsidR="007F0D36" w:rsidRPr="001C7F6F" w:rsidRDefault="007F0D36" w:rsidP="007F0D36">
      <w:pPr>
        <w:pStyle w:val="INFOEM"/>
        <w:rPr>
          <w:lang w:val="es-ES_tradnl" w:eastAsia="es-ES"/>
        </w:rPr>
      </w:pPr>
      <w:r w:rsidRPr="00D705FF">
        <w:rPr>
          <w:lang w:val="es-ES_tradnl" w:eastAsia="es-ES"/>
        </w:rPr>
        <w:t>“</w:t>
      </w:r>
      <w:r w:rsidRPr="007F0D36">
        <w:rPr>
          <w:lang w:val="es-ES_tradnl" w:eastAsia="es-ES"/>
        </w:rPr>
        <w:t>1-SOLICITO COPIA DE SU RFC DE ESTE MUNCIPIO---</w:t>
      </w:r>
      <w:r w:rsidRPr="00D705FF">
        <w:rPr>
          <w:lang w:val="es-ES_tradnl" w:eastAsia="es-ES"/>
        </w:rPr>
        <w:t>” (sic)</w:t>
      </w:r>
    </w:p>
    <w:p w14:paraId="792C8F3E" w14:textId="77777777" w:rsidR="007F0D36" w:rsidRPr="002C3EC8" w:rsidRDefault="007F0D36" w:rsidP="007F0D36">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3D803722" w14:textId="77777777" w:rsidR="007F0D36" w:rsidRDefault="007F0D36" w:rsidP="007F0D36">
      <w:pPr>
        <w:spacing w:before="240" w:line="360" w:lineRule="auto"/>
        <w:jc w:val="both"/>
        <w:rPr>
          <w:rFonts w:ascii="Palatino Linotype" w:hAnsi="Palatino Linotype" w:cs="Arial"/>
          <w:b/>
          <w:sz w:val="28"/>
        </w:rPr>
      </w:pPr>
    </w:p>
    <w:p w14:paraId="7ACFE5B2" w14:textId="77777777" w:rsidR="007F0D36" w:rsidRDefault="007F0D36" w:rsidP="007F0D36">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14:paraId="14ABCF68" w14:textId="77777777" w:rsidR="007F0D36" w:rsidRDefault="007F0D36" w:rsidP="007F0D36">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tres de mayo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1E40986F" w14:textId="77777777" w:rsidR="007F0D36" w:rsidRPr="00E818A5" w:rsidRDefault="007F0D36" w:rsidP="007F0D36">
      <w:pPr>
        <w:spacing w:after="0" w:line="360" w:lineRule="auto"/>
        <w:jc w:val="both"/>
        <w:rPr>
          <w:rFonts w:ascii="Palatino Linotype" w:hAnsi="Palatino Linotype" w:cs="Arial"/>
          <w:sz w:val="24"/>
        </w:rPr>
      </w:pPr>
    </w:p>
    <w:p w14:paraId="2F249106" w14:textId="77777777" w:rsidR="007F0D36" w:rsidRPr="002952BC" w:rsidRDefault="007F0D36" w:rsidP="007F0D36">
      <w:pPr>
        <w:spacing w:after="0" w:line="240" w:lineRule="auto"/>
        <w:ind w:left="567" w:right="567"/>
        <w:jc w:val="right"/>
        <w:rPr>
          <w:rFonts w:ascii="Palatino Linotype" w:hAnsi="Palatino Linotype" w:cs="Arial"/>
          <w:i/>
        </w:rPr>
      </w:pPr>
    </w:p>
    <w:p w14:paraId="28DC5D96" w14:textId="77777777" w:rsidR="007F0D36" w:rsidRDefault="007F0D36" w:rsidP="007F0D36">
      <w:pPr>
        <w:spacing w:after="0" w:line="240" w:lineRule="auto"/>
        <w:ind w:left="567" w:right="567"/>
        <w:jc w:val="both"/>
        <w:rPr>
          <w:rFonts w:ascii="Palatino Linotype" w:hAnsi="Palatino Linotype" w:cs="Arial"/>
          <w:i/>
        </w:rPr>
      </w:pPr>
      <w:r>
        <w:rPr>
          <w:rFonts w:ascii="Palatino Linotype" w:hAnsi="Palatino Linotype" w:cs="Arial"/>
          <w:i/>
        </w:rPr>
        <w:t>“</w:t>
      </w:r>
      <w:r w:rsidRPr="007F0D36">
        <w:rPr>
          <w:rFonts w:ascii="Palatino Linotype" w:hAnsi="Palatino Linotype" w:cs="Arial"/>
          <w:i/>
        </w:rPr>
        <w:t>en atención a su solicitud 00037/SULTEPEC/IP/2024, le solicito respetuosamente sea el conducto para que se realicen las gestiones necesarias y el Comité de Transparencia de este sujeto obligado apruebe el cambio de modalidad de entrega, para consulta directa con el ciudadano, tratándose de todas aquellas solicitudes que requieran en la Cedula de Situación Fiscal y/o RFC del Ayuntamiento.</w:t>
      </w:r>
      <w:r w:rsidRPr="007C463C">
        <w:rPr>
          <w:rFonts w:ascii="Palatino Linotype" w:hAnsi="Palatino Linotype" w:cs="Arial"/>
          <w:i/>
        </w:rPr>
        <w:t xml:space="preserve"> </w:t>
      </w:r>
      <w:r w:rsidRPr="00667998">
        <w:rPr>
          <w:rFonts w:ascii="Palatino Linotype" w:hAnsi="Palatino Linotype" w:cs="Arial"/>
          <w:i/>
        </w:rPr>
        <w:t>“(Sic).</w:t>
      </w:r>
    </w:p>
    <w:p w14:paraId="28FF0522" w14:textId="77777777" w:rsidR="007F0D36" w:rsidRDefault="007F0D36" w:rsidP="007F0D36">
      <w:pPr>
        <w:spacing w:after="0" w:line="360" w:lineRule="auto"/>
        <w:ind w:right="567"/>
        <w:jc w:val="both"/>
        <w:rPr>
          <w:rFonts w:ascii="Palatino Linotype" w:hAnsi="Palatino Linotype" w:cs="Arial"/>
          <w:sz w:val="24"/>
        </w:rPr>
      </w:pPr>
    </w:p>
    <w:p w14:paraId="5A74A152" w14:textId="77777777" w:rsidR="007F0D36" w:rsidRPr="003750D2" w:rsidRDefault="007F0D36" w:rsidP="007F0D36">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el archivo electrónico denominado “</w:t>
      </w:r>
      <w:r w:rsidRPr="007F0D36">
        <w:rPr>
          <w:rFonts w:ascii="Palatino Linotype" w:hAnsi="Palatino Linotype" w:cs="Arial"/>
          <w:b/>
          <w:i/>
          <w:sz w:val="24"/>
        </w:rPr>
        <w:t>TERCERA SESIÓN EXTRAORDINARIA SULTEPEC.pdf</w:t>
      </w:r>
      <w:r>
        <w:rPr>
          <w:rFonts w:ascii="Palatino Linotype" w:hAnsi="Palatino Linotype" w:cs="Arial"/>
          <w:b/>
          <w:i/>
          <w:sz w:val="24"/>
        </w:rPr>
        <w:t xml:space="preserve">”, </w:t>
      </w:r>
      <w:r>
        <w:rPr>
          <w:rFonts w:ascii="Palatino Linotype" w:hAnsi="Palatino Linotype" w:cs="Arial"/>
          <w:sz w:val="24"/>
        </w:rPr>
        <w:t xml:space="preserve">mismo que no se reproduce por ser del conocimiento de las partes, sin embargo, será materia de estudio en el considerando respectivo. </w:t>
      </w:r>
    </w:p>
    <w:p w14:paraId="475DBAEE" w14:textId="77777777" w:rsidR="007F0D36" w:rsidRDefault="007F0D36" w:rsidP="007F0D36">
      <w:pPr>
        <w:spacing w:before="240" w:line="360" w:lineRule="auto"/>
        <w:jc w:val="both"/>
        <w:rPr>
          <w:rFonts w:ascii="Palatino Linotype" w:hAnsi="Palatino Linotype" w:cs="Arial"/>
          <w:b/>
          <w:sz w:val="28"/>
        </w:rPr>
      </w:pPr>
    </w:p>
    <w:p w14:paraId="71D904C4" w14:textId="77777777" w:rsidR="007F0D36" w:rsidRPr="002C3EC8" w:rsidRDefault="007F0D36" w:rsidP="007F0D36">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2D98B7E8" w14:textId="5A1DCF39" w:rsidR="007F0D36" w:rsidRDefault="007F0D36" w:rsidP="007F0D36">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siete de mayo</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F00DAA" w:rsidRPr="00F00DAA">
        <w:rPr>
          <w:rFonts w:ascii="Palatino Linotype" w:hAnsi="Palatino Linotype" w:cs="Arial"/>
          <w:b/>
          <w:bCs/>
          <w:sz w:val="24"/>
          <w:szCs w:val="24"/>
        </w:rPr>
        <w:t>0</w:t>
      </w:r>
      <w:r>
        <w:rPr>
          <w:rFonts w:ascii="Palatino Linotype" w:hAnsi="Palatino Linotype" w:cs="Arial"/>
          <w:b/>
          <w:sz w:val="24"/>
          <w:szCs w:val="24"/>
        </w:rPr>
        <w:t>2625/INFOEM/IP/RR/2024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56D41DEA" w14:textId="77777777" w:rsidR="007F0D36" w:rsidRDefault="007F0D36" w:rsidP="007F0D36">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228C83A9" w14:textId="77777777" w:rsidR="007F0D36" w:rsidRPr="007E4713" w:rsidRDefault="007F0D36" w:rsidP="007F0D36">
      <w:pPr>
        <w:pStyle w:val="Prrafodelista"/>
        <w:spacing w:before="240"/>
        <w:ind w:left="720"/>
        <w:jc w:val="both"/>
        <w:rPr>
          <w:rFonts w:ascii="Palatino Linotype" w:hAnsi="Palatino Linotype" w:cs="Arial"/>
          <w:i/>
        </w:rPr>
      </w:pPr>
      <w:r w:rsidRPr="007E4713">
        <w:rPr>
          <w:rFonts w:ascii="Palatino Linotype" w:hAnsi="Palatino Linotype" w:cs="Arial"/>
          <w:i/>
        </w:rPr>
        <w:lastRenderedPageBreak/>
        <w:t>“</w:t>
      </w:r>
      <w:r w:rsidRPr="007F0D36">
        <w:rPr>
          <w:rFonts w:ascii="Palatino Linotype" w:hAnsi="Palatino Linotype" w:cs="Arial"/>
          <w:i/>
        </w:rPr>
        <w:t>cedula de identificaCION FISCAL DEL MUNICIPIO</w:t>
      </w:r>
      <w:r>
        <w:rPr>
          <w:rFonts w:ascii="Palatino Linotype" w:hAnsi="Palatino Linotype" w:cs="Arial"/>
          <w:i/>
        </w:rPr>
        <w:t>” (sic)</w:t>
      </w:r>
    </w:p>
    <w:p w14:paraId="03A3A238" w14:textId="77777777" w:rsidR="007F0D36" w:rsidRPr="0033050B" w:rsidRDefault="007F0D36" w:rsidP="007F0D36">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3792FE2F" w14:textId="77777777" w:rsidR="007F0D36" w:rsidRDefault="007F0D36" w:rsidP="007F0D36">
      <w:pPr>
        <w:pStyle w:val="INFOEM"/>
      </w:pPr>
      <w:r>
        <w:t>“</w:t>
      </w:r>
      <w:r w:rsidRPr="007F0D36">
        <w:t>atentamente oficina de transparencia (NO ME MANDES ACLARACIONES COMO RESPUESTA) NO PALICA OJO HAS TU TRABAJO RESPONSABLE DE LA OFICINA la respuesta anterior inmediata no aplica porque lo que se solicita es informacion publica -para que esten enterados ya 112 municipio del estado de mexico me otorgaron su cedula de identificacion fiscal --y este municipio no (sera que hay corrupcion) SOLICITO DE ESTE MUNICIPIO LA SIGUIENTE INFORMACION PUBLICA 1-COPIA DE LA CEDULA DE IDENTIFICACION FISCA</w:t>
      </w:r>
      <w:r>
        <w:rPr>
          <w:rFonts w:cs="Arial"/>
        </w:rPr>
        <w:t>” (sic)</w:t>
      </w:r>
    </w:p>
    <w:p w14:paraId="1D2E21A0" w14:textId="77777777" w:rsidR="007F0D36" w:rsidRPr="002C3EC8" w:rsidRDefault="007F0D36" w:rsidP="007F0D36">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0DCCB4B8" w14:textId="77777777" w:rsidR="007F0D36" w:rsidRPr="002C3EC8" w:rsidRDefault="007F0D36" w:rsidP="007F0D36">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trece de mayo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013DB62A" w14:textId="77777777" w:rsidR="007F0D36" w:rsidRPr="002C3EC8" w:rsidRDefault="007F0D36" w:rsidP="007F0D36">
      <w:pPr>
        <w:spacing w:before="240" w:line="360" w:lineRule="auto"/>
        <w:jc w:val="both"/>
        <w:rPr>
          <w:rFonts w:ascii="Palatino Linotype" w:hAnsi="Palatino Linotype" w:cs="Arial"/>
          <w:sz w:val="24"/>
          <w:szCs w:val="24"/>
        </w:rPr>
      </w:pPr>
    </w:p>
    <w:p w14:paraId="37820907" w14:textId="77777777" w:rsidR="007F0D36" w:rsidRPr="00E52C83" w:rsidRDefault="007F0D36" w:rsidP="007F0D36">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12A12BFC" w14:textId="77777777" w:rsidR="007F0D36" w:rsidRPr="00D32665" w:rsidRDefault="007F0D36" w:rsidP="007F0D36">
      <w:pPr>
        <w:spacing w:line="360" w:lineRule="auto"/>
        <w:jc w:val="both"/>
        <w:rPr>
          <w:rFonts w:ascii="Palatino Linotype" w:hAnsi="Palatino Linotype"/>
          <w:sz w:val="24"/>
        </w:rPr>
      </w:pPr>
      <w:r w:rsidRPr="00D32665">
        <w:rPr>
          <w:rFonts w:ascii="Palatino Linotype" w:hAnsi="Palatino Linotype" w:cs="Arial"/>
          <w:sz w:val="24"/>
        </w:rPr>
        <w:t xml:space="preserve">De las constancias que obran en el expediente electrónico del SAIMEX, se advierte que el </w:t>
      </w:r>
      <w:r w:rsidRPr="000D6209">
        <w:rPr>
          <w:rFonts w:ascii="Palatino Linotype" w:hAnsi="Palatino Linotype" w:cs="Arial"/>
          <w:b/>
          <w:sz w:val="24"/>
        </w:rPr>
        <w:t>Sujeto Obligado</w:t>
      </w:r>
      <w:r w:rsidRPr="00D32665">
        <w:rPr>
          <w:rFonts w:ascii="Palatino Linotype" w:hAnsi="Palatino Linotype" w:cs="Arial"/>
          <w:sz w:val="24"/>
        </w:rPr>
        <w:t xml:space="preserve"> rindió su informe justificado en fecha </w:t>
      </w:r>
      <w:r>
        <w:rPr>
          <w:rFonts w:ascii="Palatino Linotype" w:hAnsi="Palatino Linotype" w:cs="Arial"/>
          <w:sz w:val="24"/>
        </w:rPr>
        <w:t>diecisiete de mayo</w:t>
      </w:r>
      <w:r w:rsidR="00BB0227">
        <w:rPr>
          <w:rFonts w:ascii="Palatino Linotype" w:hAnsi="Palatino Linotype" w:cs="Arial"/>
          <w:sz w:val="24"/>
        </w:rPr>
        <w:t xml:space="preserve"> y once de </w:t>
      </w:r>
      <w:r w:rsidR="00BB0227">
        <w:rPr>
          <w:rFonts w:ascii="Palatino Linotype" w:hAnsi="Palatino Linotype" w:cs="Arial"/>
          <w:sz w:val="24"/>
        </w:rPr>
        <w:lastRenderedPageBreak/>
        <w:t xml:space="preserve">junio </w:t>
      </w:r>
      <w:r>
        <w:rPr>
          <w:rFonts w:ascii="Palatino Linotype" w:hAnsi="Palatino Linotype" w:cs="Arial"/>
          <w:sz w:val="24"/>
        </w:rPr>
        <w:t>de dos mil veinticuatro</w:t>
      </w:r>
      <w:r w:rsidRPr="00D32665">
        <w:rPr>
          <w:rFonts w:ascii="Palatino Linotype" w:hAnsi="Palatino Linotype" w:cs="Arial"/>
          <w:sz w:val="24"/>
        </w:rPr>
        <w:t>, por medio del archivo electrónico “</w:t>
      </w:r>
      <w:r w:rsidRPr="007F0D36">
        <w:rPr>
          <w:rFonts w:ascii="Palatino Linotype" w:hAnsi="Palatino Linotype" w:cs="Arial"/>
          <w:b/>
          <w:i/>
          <w:sz w:val="24"/>
        </w:rPr>
        <w:t>CUARTA SESION EXTRAORDINARIA.pdf</w:t>
      </w:r>
      <w:r w:rsidR="00BB0227">
        <w:rPr>
          <w:rFonts w:ascii="Palatino Linotype" w:hAnsi="Palatino Linotype" w:cs="Arial"/>
          <w:b/>
          <w:i/>
          <w:sz w:val="24"/>
        </w:rPr>
        <w:t xml:space="preserve"> y “</w:t>
      </w:r>
      <w:r w:rsidR="00BB0227" w:rsidRPr="00BB0227">
        <w:rPr>
          <w:rFonts w:ascii="Palatino Linotype" w:hAnsi="Palatino Linotype" w:cs="Arial"/>
          <w:b/>
          <w:i/>
          <w:sz w:val="24"/>
        </w:rPr>
        <w:t>CUARTA SESION EXTRAORDINARIA (1).pdf</w:t>
      </w:r>
      <w:r w:rsidRPr="00D32665">
        <w:rPr>
          <w:rFonts w:ascii="Palatino Linotype" w:hAnsi="Palatino Linotype" w:cs="Arial"/>
          <w:b/>
          <w:i/>
          <w:sz w:val="24"/>
        </w:rPr>
        <w:t>”</w:t>
      </w:r>
      <w:r w:rsidRPr="00D32665">
        <w:rPr>
          <w:rFonts w:ascii="Palatino Linotype" w:hAnsi="Palatino Linotype" w:cs="Arial"/>
          <w:sz w:val="24"/>
        </w:rPr>
        <w:t xml:space="preserve">, el cual fue puesto a la vista en fecha </w:t>
      </w:r>
      <w:r>
        <w:rPr>
          <w:rFonts w:ascii="Palatino Linotype" w:hAnsi="Palatino Linotype" w:cs="Arial"/>
          <w:sz w:val="24"/>
        </w:rPr>
        <w:t xml:space="preserve">seis </w:t>
      </w:r>
      <w:r w:rsidR="00BB0227">
        <w:rPr>
          <w:rFonts w:ascii="Palatino Linotype" w:hAnsi="Palatino Linotype" w:cs="Arial"/>
          <w:sz w:val="24"/>
        </w:rPr>
        <w:t xml:space="preserve">y doce </w:t>
      </w:r>
      <w:r>
        <w:rPr>
          <w:rFonts w:ascii="Palatino Linotype" w:hAnsi="Palatino Linotype" w:cs="Arial"/>
          <w:sz w:val="24"/>
        </w:rPr>
        <w:t xml:space="preserve">de junio del mismo año, y en el que sustancialmente ratifica su respuesta. </w:t>
      </w:r>
    </w:p>
    <w:p w14:paraId="4C212AB4" w14:textId="77777777" w:rsidR="007F0D36" w:rsidRPr="00D32665" w:rsidRDefault="007F0D36" w:rsidP="007F0D36">
      <w:pPr>
        <w:spacing w:line="360" w:lineRule="auto"/>
        <w:jc w:val="both"/>
        <w:rPr>
          <w:rFonts w:ascii="Palatino Linotype" w:hAnsi="Palatino Linotype"/>
          <w:sz w:val="24"/>
        </w:rPr>
      </w:pPr>
    </w:p>
    <w:p w14:paraId="2F701229" w14:textId="77777777" w:rsidR="007F0D36" w:rsidRPr="00D32665" w:rsidRDefault="007F0D36" w:rsidP="007F0D36">
      <w:pPr>
        <w:spacing w:line="360" w:lineRule="auto"/>
        <w:jc w:val="both"/>
        <w:rPr>
          <w:rFonts w:ascii="Palatino Linotype" w:hAnsi="Palatino Linotype" w:cs="Arial"/>
          <w:sz w:val="24"/>
        </w:rPr>
      </w:pP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79756F68" w14:textId="77777777" w:rsidR="007F0D36" w:rsidRDefault="007F0D36" w:rsidP="007F0D36">
      <w:pPr>
        <w:spacing w:after="0" w:line="360" w:lineRule="auto"/>
        <w:jc w:val="both"/>
        <w:rPr>
          <w:rFonts w:ascii="Palatino Linotype" w:hAnsi="Palatino Linotype" w:cs="Arial"/>
          <w:b/>
          <w:sz w:val="28"/>
          <w:szCs w:val="28"/>
        </w:rPr>
      </w:pPr>
    </w:p>
    <w:p w14:paraId="293FD1AF" w14:textId="77777777" w:rsidR="007F0D36" w:rsidRPr="002C3EC8" w:rsidRDefault="007F0D36" w:rsidP="007F0D36">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105BE571" w14:textId="77777777" w:rsidR="007F0D36" w:rsidRDefault="007F0D36" w:rsidP="007F0D36">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2233EB">
        <w:rPr>
          <w:rFonts w:ascii="Palatino Linotype" w:hAnsi="Palatino Linotype" w:cs="Arial"/>
          <w:b/>
          <w:sz w:val="24"/>
          <w:szCs w:val="24"/>
        </w:rPr>
        <w:t>doce de junio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307DE2BD" w14:textId="77777777" w:rsidR="00457C7A" w:rsidRDefault="00457C7A" w:rsidP="00457C7A">
      <w:pPr>
        <w:spacing w:line="360" w:lineRule="auto"/>
        <w:jc w:val="both"/>
        <w:rPr>
          <w:rFonts w:ascii="Palatino Linotype" w:eastAsia="Calibri" w:hAnsi="Palatino Linotype" w:cs="Arial"/>
          <w:b/>
          <w:sz w:val="28"/>
          <w:lang w:val="es-ES_tradnl"/>
        </w:rPr>
      </w:pPr>
    </w:p>
    <w:p w14:paraId="68703976" w14:textId="77777777" w:rsidR="00457C7A" w:rsidRPr="00821CCD" w:rsidRDefault="00457C7A" w:rsidP="00457C7A">
      <w:pPr>
        <w:spacing w:line="360" w:lineRule="auto"/>
        <w:jc w:val="both"/>
        <w:rPr>
          <w:rFonts w:ascii="Palatino Linotype" w:eastAsia="Calibri" w:hAnsi="Palatino Linotype" w:cs="Arial"/>
          <w:b/>
          <w:sz w:val="28"/>
          <w:lang w:val="es-ES_tradnl"/>
        </w:rPr>
      </w:pPr>
      <w:r w:rsidRPr="00821CCD">
        <w:rPr>
          <w:rFonts w:ascii="Palatino Linotype" w:eastAsia="Calibri" w:hAnsi="Palatino Linotype" w:cs="Arial"/>
          <w:b/>
          <w:sz w:val="28"/>
          <w:lang w:val="es-ES_tradnl"/>
        </w:rPr>
        <w:t>SÉPTIMO. De la ampliación del término para resolver.</w:t>
      </w:r>
    </w:p>
    <w:p w14:paraId="345944AD" w14:textId="77777777" w:rsidR="00457C7A" w:rsidRPr="001C7FB0" w:rsidRDefault="00457C7A" w:rsidP="00457C7A">
      <w:pPr>
        <w:spacing w:after="0" w:line="360" w:lineRule="auto"/>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De las constancias que integran el expediente electrónico, se advierte que han transcurrido los términos de Ley, para la emisión de la resolución en el presente </w:t>
      </w:r>
      <w:r w:rsidRPr="001C7FB0">
        <w:rPr>
          <w:rFonts w:ascii="Palatino Linotype" w:eastAsia="Times New Roman" w:hAnsi="Palatino Linotype" w:cs="Arial"/>
          <w:sz w:val="24"/>
          <w:szCs w:val="24"/>
          <w:lang w:val="es-ES" w:eastAsia="es-ES"/>
        </w:rPr>
        <w:lastRenderedPageBreak/>
        <w:t xml:space="preserve">recurso de revisión, por lo que en fecha </w:t>
      </w:r>
      <w:r>
        <w:rPr>
          <w:rFonts w:ascii="Palatino Linotype" w:eastAsia="Calibri" w:hAnsi="Palatino Linotype" w:cs="Arial"/>
          <w:b/>
          <w:sz w:val="24"/>
          <w:lang w:val="es-ES_tradnl"/>
        </w:rPr>
        <w:t>diecinueve de junio de dos mil veinticuatro</w:t>
      </w:r>
      <w:r w:rsidRPr="001C7FB0">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FAC6E66" w14:textId="77777777" w:rsidR="00457C7A" w:rsidRPr="001C7FB0" w:rsidRDefault="00457C7A" w:rsidP="00457C7A">
      <w:pPr>
        <w:spacing w:after="0" w:line="360" w:lineRule="auto"/>
        <w:jc w:val="both"/>
        <w:rPr>
          <w:rFonts w:ascii="Palatino Linotype" w:eastAsia="Times New Roman" w:hAnsi="Palatino Linotype" w:cs="Arial"/>
          <w:sz w:val="24"/>
          <w:szCs w:val="24"/>
          <w:lang w:val="es-ES" w:eastAsia="es-ES"/>
        </w:rPr>
      </w:pPr>
    </w:p>
    <w:p w14:paraId="751418D1" w14:textId="77777777" w:rsidR="007F0D36" w:rsidRDefault="007F0D36" w:rsidP="007F0D36">
      <w:pPr>
        <w:spacing w:before="240" w:line="360" w:lineRule="auto"/>
        <w:rPr>
          <w:rFonts w:ascii="Palatino Linotype" w:hAnsi="Palatino Linotype" w:cs="Arial"/>
          <w:b/>
          <w:sz w:val="28"/>
        </w:rPr>
      </w:pPr>
    </w:p>
    <w:p w14:paraId="1F08FAFF" w14:textId="77777777" w:rsidR="007F0D36" w:rsidRPr="002C3EC8" w:rsidRDefault="007F0D36" w:rsidP="007F0D36">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3691BFDC" w14:textId="77777777" w:rsidR="007F0D36" w:rsidRPr="002C3EC8" w:rsidRDefault="007F0D36" w:rsidP="007F0D36">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107A2FBE" w14:textId="77777777" w:rsidR="007F0D36" w:rsidRPr="00165D42" w:rsidRDefault="007F0D36" w:rsidP="007F0D36">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3A86572D" w14:textId="77777777" w:rsidR="007F0D36" w:rsidRPr="002C3EC8" w:rsidRDefault="007F0D36" w:rsidP="007F0D36">
      <w:pPr>
        <w:spacing w:before="240" w:line="360" w:lineRule="auto"/>
        <w:jc w:val="both"/>
        <w:rPr>
          <w:rFonts w:ascii="Palatino Linotype" w:eastAsia="Calibri" w:hAnsi="Palatino Linotype"/>
          <w:b/>
          <w:color w:val="000000" w:themeColor="text1"/>
          <w:sz w:val="24"/>
          <w:szCs w:val="24"/>
        </w:rPr>
      </w:pPr>
    </w:p>
    <w:p w14:paraId="4ECB3A4E" w14:textId="77777777" w:rsidR="007F0D36" w:rsidRPr="002C3EC8" w:rsidRDefault="007F0D36" w:rsidP="007F0D36">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5889DD2" w14:textId="77777777" w:rsidR="007F0D36" w:rsidRPr="002C3EC8" w:rsidRDefault="007F0D36" w:rsidP="007F0D3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51B792D" w14:textId="77777777" w:rsidR="007F0D36" w:rsidRDefault="007F0D36" w:rsidP="007F0D36">
      <w:pPr>
        <w:pStyle w:val="Prrafodelista"/>
        <w:autoSpaceDE w:val="0"/>
        <w:autoSpaceDN w:val="0"/>
        <w:adjustRightInd w:val="0"/>
        <w:spacing w:before="240" w:after="160" w:line="360" w:lineRule="auto"/>
        <w:ind w:left="0"/>
        <w:jc w:val="both"/>
        <w:rPr>
          <w:rFonts w:ascii="Palatino Linotype" w:hAnsi="Palatino Linotype" w:cs="Arial"/>
          <w:b/>
          <w:sz w:val="28"/>
        </w:rPr>
      </w:pPr>
    </w:p>
    <w:p w14:paraId="4A047ECD" w14:textId="77777777" w:rsidR="007F0D36" w:rsidRPr="002C3EC8" w:rsidRDefault="007F0D36" w:rsidP="007F0D3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98154F1" w14:textId="77777777" w:rsidR="002233EB" w:rsidRDefault="002233EB" w:rsidP="002233E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61A46C8D" w14:textId="77777777" w:rsidR="002233EB" w:rsidRDefault="002233EB" w:rsidP="002233EB">
      <w:pPr>
        <w:pStyle w:val="Prrafodelista"/>
        <w:autoSpaceDE w:val="0"/>
        <w:autoSpaceDN w:val="0"/>
        <w:adjustRightInd w:val="0"/>
        <w:spacing w:line="360" w:lineRule="auto"/>
        <w:ind w:left="0"/>
        <w:jc w:val="both"/>
        <w:rPr>
          <w:rFonts w:ascii="Palatino Linotype" w:hAnsi="Palatino Linotype" w:cs="Arial"/>
        </w:rPr>
      </w:pPr>
    </w:p>
    <w:p w14:paraId="7BE5569A" w14:textId="77777777" w:rsidR="002233EB" w:rsidRDefault="002233EB" w:rsidP="002233E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 resolución emitida por este organismo colegiado, máxime que se trata de una figura procesal adoptada </w:t>
      </w:r>
      <w:r>
        <w:rPr>
          <w:rFonts w:ascii="Palatino Linotype" w:hAnsi="Palatino Linotype" w:cs="Arial"/>
        </w:rPr>
        <w:lastRenderedPageBreak/>
        <w:t xml:space="preserve">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28385C0A" w14:textId="77777777" w:rsidR="002233EB" w:rsidRDefault="002233EB" w:rsidP="002233EB">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 xml:space="preserve">de notoria importancia el trabajo de interpretación que </w:t>
      </w:r>
      <w:r w:rsidRPr="00552846">
        <w:rPr>
          <w:rFonts w:ascii="Palatino Linotype" w:hAnsi="Palatino Linotype" w:cs="Arial"/>
          <w:sz w:val="24"/>
          <w:szCs w:val="24"/>
        </w:rPr>
        <w:lastRenderedPageBreak/>
        <w:t>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152FBC7C" w14:textId="77777777" w:rsidR="002233EB" w:rsidRDefault="002233EB" w:rsidP="002233EB">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t>Ya que el planteamiento del problema es de toral importancia, a efecto de determinar la intención o voluntad de</w:t>
      </w:r>
      <w:r>
        <w:rPr>
          <w:rFonts w:ascii="Palatino Linotype" w:hAnsi="Palatino Linotype" w:cs="Arial"/>
          <w:sz w:val="24"/>
          <w:szCs w:val="24"/>
        </w:rPr>
        <w:t>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635E9425" w14:textId="77777777" w:rsidR="00D3198D" w:rsidRPr="002C3EC8" w:rsidRDefault="00D3198D" w:rsidP="00D3198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E664B00" w14:textId="77777777" w:rsidR="00D3198D" w:rsidRPr="002C3EC8" w:rsidRDefault="00D3198D" w:rsidP="00D3198D">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2C3EC8">
        <w:rPr>
          <w:rFonts w:ascii="Palatino Linotype" w:hAnsi="Palatino Linotype" w:cs="Arial"/>
        </w:rPr>
        <w:lastRenderedPageBreak/>
        <w:t>improcedencia y sobreseimiento con tales fines</w:t>
      </w:r>
      <w:r w:rsidRPr="002C3EC8">
        <w:rPr>
          <w:rStyle w:val="Refdenotaalpie"/>
          <w:rFonts w:ascii="Palatino Linotype" w:hAnsi="Palatino Linotype" w:cs="Arial"/>
        </w:rPr>
        <w:footnoteReference w:id="2"/>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55806A1" w14:textId="77777777" w:rsidR="00D3198D" w:rsidRDefault="00D3198D" w:rsidP="00D3198D">
      <w:pPr>
        <w:tabs>
          <w:tab w:val="left" w:pos="709"/>
        </w:tabs>
        <w:spacing w:before="240" w:line="360" w:lineRule="auto"/>
        <w:ind w:right="51"/>
        <w:jc w:val="both"/>
        <w:rPr>
          <w:rFonts w:ascii="Palatino Linotype" w:hAnsi="Palatino Linotype"/>
          <w:b/>
          <w:sz w:val="28"/>
          <w:szCs w:val="28"/>
        </w:rPr>
      </w:pPr>
    </w:p>
    <w:p w14:paraId="4D034134" w14:textId="77777777" w:rsidR="00D3198D" w:rsidRPr="002C3EC8" w:rsidRDefault="00D3198D" w:rsidP="00D3198D">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10E94554" w14:textId="77777777" w:rsidR="00D3198D" w:rsidRPr="007379EE" w:rsidRDefault="00D3198D" w:rsidP="00D3198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0156E65" w14:textId="77777777" w:rsidR="007F0D36" w:rsidRDefault="007F0D36" w:rsidP="007F0D36">
      <w:pPr>
        <w:autoSpaceDE w:val="0"/>
        <w:autoSpaceDN w:val="0"/>
        <w:adjustRightInd w:val="0"/>
        <w:ind w:right="567"/>
        <w:rPr>
          <w:rFonts w:ascii="Palatino Linotype" w:eastAsia="Calibri" w:hAnsi="Palatino Linotype" w:cs="Arial"/>
        </w:rPr>
      </w:pPr>
    </w:p>
    <w:p w14:paraId="31391273" w14:textId="77777777" w:rsidR="007F0D36" w:rsidRPr="00A779C7" w:rsidRDefault="007F0D36" w:rsidP="007F0D36">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7585A5FB" w14:textId="77777777" w:rsidR="007F0D36" w:rsidRPr="00595D52" w:rsidRDefault="004A58F0" w:rsidP="007F0D36">
      <w:pPr>
        <w:pStyle w:val="Prrafodelista"/>
        <w:numPr>
          <w:ilvl w:val="0"/>
          <w:numId w:val="4"/>
        </w:numPr>
        <w:tabs>
          <w:tab w:val="left" w:pos="1828"/>
        </w:tabs>
        <w:spacing w:before="240" w:line="360" w:lineRule="auto"/>
        <w:jc w:val="both"/>
        <w:rPr>
          <w:rFonts w:ascii="Palatino Linotype" w:hAnsi="Palatino Linotype" w:cs="Tahoma"/>
          <w:bCs/>
        </w:rPr>
      </w:pPr>
      <w:r>
        <w:rPr>
          <w:rFonts w:ascii="Palatino Linotype" w:hAnsi="Palatino Linotype" w:cs="Tahoma"/>
          <w:bCs/>
        </w:rPr>
        <w:t>RFC del municipio</w:t>
      </w:r>
    </w:p>
    <w:p w14:paraId="233D9714" w14:textId="77777777" w:rsidR="007F0D36" w:rsidRDefault="007F0D36" w:rsidP="007F0D36">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Pr>
          <w:rFonts w:ascii="Palatino Linotype" w:hAnsi="Palatino Linotype" w:cs="Arial"/>
          <w:b/>
          <w:sz w:val="24"/>
        </w:rPr>
        <w:t>00037/SULTEPEC/IP/2024</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14:paraId="0CD9AEB7" w14:textId="77777777" w:rsidR="007F0D36" w:rsidRPr="000404F9" w:rsidRDefault="004A58F0" w:rsidP="004A58F0">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4A58F0">
        <w:rPr>
          <w:rFonts w:ascii="Palatino Linotype" w:eastAsia="Palatino Linotype" w:hAnsi="Palatino Linotype" w:cs="Palatino Linotype"/>
          <w:b/>
          <w:i/>
          <w:color w:val="000000"/>
        </w:rPr>
        <w:t>TERCERA SESIÓN EXTRAORDINARIA SULTEPEC.pdf</w:t>
      </w:r>
      <w:r w:rsidR="007F0D36">
        <w:rPr>
          <w:rFonts w:ascii="Palatino Linotype" w:eastAsia="Palatino Linotype" w:hAnsi="Palatino Linotype" w:cs="Palatino Linotype"/>
          <w:b/>
          <w:i/>
          <w:color w:val="000000"/>
        </w:rPr>
        <w:t xml:space="preserve">: </w:t>
      </w:r>
      <w:r w:rsidR="007F0D36">
        <w:rPr>
          <w:rFonts w:ascii="Palatino Linotype" w:eastAsia="Palatino Linotype" w:hAnsi="Palatino Linotype" w:cs="Palatino Linotype"/>
          <w:color w:val="000000"/>
        </w:rPr>
        <w:t xml:space="preserve">constante de </w:t>
      </w:r>
      <w:r>
        <w:rPr>
          <w:rFonts w:ascii="Palatino Linotype" w:eastAsia="Palatino Linotype" w:hAnsi="Palatino Linotype" w:cs="Palatino Linotype"/>
          <w:color w:val="000000"/>
        </w:rPr>
        <w:t xml:space="preserve">tres </w:t>
      </w:r>
      <w:r w:rsidR="007F0D36">
        <w:rPr>
          <w:rFonts w:ascii="Palatino Linotype" w:eastAsia="Palatino Linotype" w:hAnsi="Palatino Linotype" w:cs="Palatino Linotype"/>
          <w:color w:val="000000"/>
        </w:rPr>
        <w:t>foja</w:t>
      </w:r>
      <w:r>
        <w:rPr>
          <w:rFonts w:ascii="Palatino Linotype" w:eastAsia="Palatino Linotype" w:hAnsi="Palatino Linotype" w:cs="Palatino Linotype"/>
          <w:color w:val="000000"/>
        </w:rPr>
        <w:t>s</w:t>
      </w:r>
      <w:r w:rsidR="007F0D36">
        <w:rPr>
          <w:rFonts w:ascii="Palatino Linotype" w:eastAsia="Palatino Linotype" w:hAnsi="Palatino Linotype" w:cs="Palatino Linotype"/>
          <w:color w:val="000000"/>
        </w:rPr>
        <w:t xml:space="preserve">, en formato pdf, contiene </w:t>
      </w:r>
      <w:r>
        <w:rPr>
          <w:rFonts w:ascii="Palatino Linotype" w:eastAsia="Palatino Linotype" w:hAnsi="Palatino Linotype" w:cs="Palatino Linotype"/>
          <w:color w:val="000000"/>
        </w:rPr>
        <w:t xml:space="preserve">el Acta de la Tercera Sesión Extraordinaria del Comité de Transparencia, en la que se aprobó el cambio de modalidad a consulta directa. </w:t>
      </w:r>
    </w:p>
    <w:p w14:paraId="16104ACB" w14:textId="77777777" w:rsidR="007F0D36" w:rsidRPr="001D602A" w:rsidRDefault="007F0D36" w:rsidP="007F0D36">
      <w:pPr>
        <w:pBdr>
          <w:top w:val="nil"/>
          <w:left w:val="nil"/>
          <w:bottom w:val="nil"/>
          <w:right w:val="nil"/>
          <w:between w:val="nil"/>
        </w:pBdr>
        <w:spacing w:line="360" w:lineRule="auto"/>
        <w:ind w:left="360"/>
        <w:contextualSpacing/>
        <w:jc w:val="both"/>
        <w:rPr>
          <w:rFonts w:ascii="Palatino Linotype" w:eastAsia="Palatino Linotype" w:hAnsi="Palatino Linotype" w:cs="Palatino Linotype"/>
          <w:b/>
          <w:color w:val="000000"/>
        </w:rPr>
      </w:pPr>
    </w:p>
    <w:p w14:paraId="0A121CF3" w14:textId="77777777" w:rsidR="002233EB" w:rsidRDefault="002233EB" w:rsidP="002233EB">
      <w:pPr>
        <w:pStyle w:val="Sinespaciado"/>
        <w:spacing w:line="360" w:lineRule="auto"/>
        <w:jc w:val="both"/>
        <w:rPr>
          <w:rFonts w:ascii="Palatino Linotype" w:hAnsi="Palatino Linotype" w:cs="Arial"/>
        </w:rPr>
      </w:pPr>
    </w:p>
    <w:p w14:paraId="73ED4987" w14:textId="77777777" w:rsidR="007F0D36" w:rsidRDefault="002233EB" w:rsidP="00D3198D">
      <w:pPr>
        <w:pStyle w:val="Sinespaciado"/>
        <w:spacing w:line="360" w:lineRule="auto"/>
        <w:jc w:val="both"/>
        <w:rPr>
          <w:rFonts w:ascii="Palatino Linotype" w:hAnsi="Palatino Linotype" w:cs="Arial"/>
        </w:rPr>
      </w:pPr>
      <w:r>
        <w:rPr>
          <w:rFonts w:ascii="Palatino Linotype" w:hAnsi="Palatino Linotype" w:cs="Arial"/>
        </w:rPr>
        <w:t>Ahora bien, n</w:t>
      </w:r>
      <w:r w:rsidRPr="003254E6">
        <w:rPr>
          <w:rFonts w:ascii="Palatino Linotype" w:hAnsi="Palatino Linotype" w:cs="Arial"/>
        </w:rPr>
        <w:t xml:space="preserve">o pasa inadvertido para este Órgano </w:t>
      </w:r>
      <w:r>
        <w:rPr>
          <w:rFonts w:ascii="Palatino Linotype" w:hAnsi="Palatino Linotype" w:cs="Arial"/>
        </w:rPr>
        <w:t>Garante</w:t>
      </w:r>
      <w:r w:rsidRPr="003254E6">
        <w:rPr>
          <w:rFonts w:ascii="Palatino Linotype" w:hAnsi="Palatino Linotype" w:cs="Arial"/>
        </w:rPr>
        <w:t xml:space="preserve"> que en sus razones o motivos de inconformidad </w:t>
      </w:r>
      <w:r w:rsidRPr="003254E6">
        <w:rPr>
          <w:rFonts w:ascii="Palatino Linotype" w:hAnsi="Palatino Linotype" w:cs="Arial"/>
          <w:b/>
        </w:rPr>
        <w:t xml:space="preserve">El Recurrente </w:t>
      </w:r>
      <w:r>
        <w:rPr>
          <w:rFonts w:ascii="Palatino Linotype" w:hAnsi="Palatino Linotype" w:cs="Arial"/>
        </w:rPr>
        <w:t>manifestó: “</w:t>
      </w:r>
      <w:r w:rsidR="004A58F0" w:rsidRPr="004A58F0">
        <w:rPr>
          <w:rFonts w:ascii="Palatino Linotype" w:hAnsi="Palatino Linotype" w:cs="Arial"/>
          <w:i/>
        </w:rPr>
        <w:t xml:space="preserve">atentamente oficina de transparencia (NO ME MANDES ACLARACIONES COMO RESPUESTA) NO PALICA OJO HAS TU TRABAJO RESPONSABLE DE LA OFICINA la respuesta anterior inmediata no aplica porque lo que se solicita es informacion publica -para que esten enterados ya 112 municipio del estado de mexico me otorgaron su cedula de identificacion fiscal --y este municipio no (sera que hay corrupcion) </w:t>
      </w:r>
      <w:r w:rsidR="004A58F0" w:rsidRPr="00D3198D">
        <w:rPr>
          <w:rFonts w:ascii="Palatino Linotype" w:hAnsi="Palatino Linotype" w:cs="Arial"/>
          <w:i/>
        </w:rPr>
        <w:t>SOLICITO DE ESTE MUNICIPIO LA SIGUIENTE INFORMACION PUBLICA 1-COPIA DE LA CEDULA DE IDENTIFICACION FISCA</w:t>
      </w:r>
      <w:r w:rsidRPr="00D3198D">
        <w:rPr>
          <w:rFonts w:ascii="Palatino Linotype" w:hAnsi="Palatino Linotype" w:cs="Arial"/>
        </w:rPr>
        <w:t>”</w:t>
      </w:r>
      <w:r>
        <w:rPr>
          <w:rFonts w:ascii="Palatino Linotype" w:hAnsi="Palatino Linotype" w:cs="Arial"/>
        </w:rPr>
        <w:t xml:space="preserve">, </w:t>
      </w:r>
    </w:p>
    <w:p w14:paraId="712AA32C" w14:textId="77777777" w:rsidR="00D3198D" w:rsidRDefault="00D3198D" w:rsidP="00D3198D">
      <w:pPr>
        <w:pStyle w:val="Sinespaciado"/>
        <w:spacing w:line="360" w:lineRule="auto"/>
        <w:jc w:val="both"/>
        <w:rPr>
          <w:rFonts w:ascii="Palatino Linotype" w:hAnsi="Palatino Linotype" w:cs="Arial"/>
          <w:lang w:val="es-ES"/>
        </w:rPr>
      </w:pPr>
    </w:p>
    <w:p w14:paraId="0BC2B4D1" w14:textId="77777777" w:rsidR="00BB0227" w:rsidRPr="00BB0227" w:rsidRDefault="00BB0227" w:rsidP="00BB0227">
      <w:pPr>
        <w:spacing w:before="240" w:after="0" w:line="360" w:lineRule="auto"/>
        <w:jc w:val="both"/>
        <w:rPr>
          <w:rFonts w:ascii="Palatino Linotype" w:eastAsia="Calibri" w:hAnsi="Palatino Linotype" w:cs="Calibri"/>
          <w:sz w:val="24"/>
          <w:szCs w:val="24"/>
          <w:lang w:val="es-ES_tradnl" w:eastAsia="es-MX"/>
        </w:rPr>
      </w:pPr>
      <w:r w:rsidRPr="00BB0227">
        <w:rPr>
          <w:rFonts w:ascii="Palatino Linotype" w:eastAsia="Calibri" w:hAnsi="Palatino Linotype" w:cs="Calibri"/>
          <w:sz w:val="24"/>
          <w:szCs w:val="24"/>
          <w:lang w:val="es-ES_tradnl" w:eastAsia="es-MX"/>
        </w:rPr>
        <w:lastRenderedPageBreak/>
        <w:t xml:space="preserve">En una aproximación inicial, es procedente mencionar que mediante la solicitud de información </w:t>
      </w:r>
      <w:r w:rsidRPr="00BB0227">
        <w:rPr>
          <w:rFonts w:ascii="Palatino Linotype" w:eastAsia="Calibri" w:hAnsi="Palatino Linotype" w:cs="Calibri"/>
          <w:b/>
          <w:bCs/>
          <w:sz w:val="24"/>
          <w:szCs w:val="24"/>
          <w:lang w:val="es-ES_tradnl" w:eastAsia="es-MX"/>
        </w:rPr>
        <w:t xml:space="preserve">00037/SULTEPEC/IP/2024 </w:t>
      </w:r>
      <w:r>
        <w:rPr>
          <w:rFonts w:ascii="Palatino Linotype" w:eastAsia="Calibri" w:hAnsi="Palatino Linotype" w:cs="Calibri"/>
          <w:sz w:val="24"/>
          <w:szCs w:val="24"/>
          <w:lang w:val="es-ES_tradnl" w:eastAsia="es-MX"/>
        </w:rPr>
        <w:t>fue formulado</w:t>
      </w:r>
      <w:r w:rsidRPr="00BB0227">
        <w:rPr>
          <w:rFonts w:ascii="Palatino Linotype" w:eastAsia="Calibri" w:hAnsi="Palatino Linotype" w:cs="Calibri"/>
          <w:sz w:val="24"/>
          <w:szCs w:val="24"/>
          <w:lang w:val="es-ES_tradnl" w:eastAsia="es-MX"/>
        </w:rPr>
        <w:t xml:space="preserve"> </w:t>
      </w:r>
      <w:r>
        <w:rPr>
          <w:rFonts w:ascii="Palatino Linotype" w:eastAsia="Calibri" w:hAnsi="Palatino Linotype" w:cs="Calibri"/>
          <w:sz w:val="24"/>
          <w:szCs w:val="24"/>
          <w:lang w:val="es-ES_tradnl" w:eastAsia="es-MX"/>
        </w:rPr>
        <w:t>un -1</w:t>
      </w:r>
      <w:r w:rsidRPr="00BB0227">
        <w:rPr>
          <w:rFonts w:ascii="Palatino Linotype" w:eastAsia="Calibri" w:hAnsi="Palatino Linotype" w:cs="Calibri"/>
          <w:sz w:val="24"/>
          <w:szCs w:val="24"/>
          <w:lang w:val="es-ES_tradnl" w:eastAsia="es-MX"/>
        </w:rPr>
        <w:t xml:space="preserve">- requerimiento respecto de los cuales se desprenden lo siguiente: </w:t>
      </w:r>
    </w:p>
    <w:p w14:paraId="479F63B5" w14:textId="77777777" w:rsidR="00BB0227" w:rsidRPr="00BB0227" w:rsidRDefault="00BB0227" w:rsidP="00BB0227">
      <w:pPr>
        <w:numPr>
          <w:ilvl w:val="0"/>
          <w:numId w:val="16"/>
        </w:numPr>
        <w:autoSpaceDE w:val="0"/>
        <w:autoSpaceDN w:val="0"/>
        <w:adjustRightInd w:val="0"/>
        <w:spacing w:before="240" w:after="0" w:line="360" w:lineRule="auto"/>
        <w:jc w:val="both"/>
        <w:rPr>
          <w:rFonts w:ascii="Palatino Linotype" w:eastAsia="Times New Roman" w:hAnsi="Palatino Linotype" w:cs="Arial"/>
          <w:sz w:val="24"/>
          <w:szCs w:val="24"/>
        </w:rPr>
      </w:pPr>
      <w:r w:rsidRPr="00BB0227">
        <w:rPr>
          <w:rFonts w:ascii="Palatino Linotype" w:eastAsia="Times New Roman" w:hAnsi="Palatino Linotype" w:cs="Arial"/>
          <w:sz w:val="24"/>
          <w:szCs w:val="24"/>
        </w:rPr>
        <w:t xml:space="preserve">Que el derecho de acceso a la información pública estriba en la prerrogativa de carácter constitucional que reconoce la potestad de los ciudadanos para solicitar soportes documentales generados, poseídos o administrados por los </w:t>
      </w:r>
      <w:r w:rsidRPr="00BB0227">
        <w:rPr>
          <w:rFonts w:ascii="Palatino Linotype" w:eastAsia="Times New Roman" w:hAnsi="Palatino Linotype" w:cs="Arial"/>
          <w:b/>
          <w:bCs/>
          <w:sz w:val="24"/>
          <w:szCs w:val="24"/>
        </w:rPr>
        <w:t xml:space="preserve">Sujetos Obligados. </w:t>
      </w:r>
    </w:p>
    <w:p w14:paraId="48C0EFEB" w14:textId="77777777" w:rsidR="00BB0227" w:rsidRPr="00BB0227" w:rsidRDefault="00BB0227" w:rsidP="00BB0227">
      <w:pPr>
        <w:numPr>
          <w:ilvl w:val="0"/>
          <w:numId w:val="17"/>
        </w:numPr>
        <w:spacing w:before="240" w:after="0" w:line="360" w:lineRule="auto"/>
        <w:jc w:val="both"/>
        <w:rPr>
          <w:rFonts w:ascii="Palatino Linotype" w:eastAsia="Times New Roman" w:hAnsi="Palatino Linotype" w:cs="Times New Roman"/>
          <w:sz w:val="24"/>
          <w:szCs w:val="24"/>
        </w:rPr>
      </w:pPr>
      <w:r w:rsidRPr="00BB0227">
        <w:rPr>
          <w:rFonts w:ascii="Palatino Linotype" w:eastAsia="Times New Roman" w:hAnsi="Palatino Linotype" w:cs="Arial"/>
          <w:sz w:val="24"/>
          <w:szCs w:val="24"/>
        </w:rPr>
        <w:t xml:space="preserve">Que cuando los particulares no identifican </w:t>
      </w:r>
      <w:r w:rsidRPr="00BB0227">
        <w:rPr>
          <w:rFonts w:ascii="Palatino Linotype" w:eastAsia="Times New Roman" w:hAnsi="Palatino Linotype" w:cs="Times New Roman"/>
          <w:sz w:val="24"/>
          <w:szCs w:val="24"/>
        </w:rPr>
        <w:t xml:space="preserve">de forma precisa el documento requerido bastará con que se remita cualquiera que refleje la información requerida. Al respecto cobra relevancia el criterio emitido por el Órgano Garante Nacional con número </w:t>
      </w:r>
      <w:r w:rsidRPr="00BB0227">
        <w:rPr>
          <w:rFonts w:ascii="Palatino Linotype" w:eastAsia="Times New Roman" w:hAnsi="Palatino Linotype" w:cs="Times New Roman"/>
          <w:b/>
          <w:bCs/>
          <w:sz w:val="24"/>
          <w:szCs w:val="24"/>
        </w:rPr>
        <w:t xml:space="preserve">16/17 </w:t>
      </w:r>
      <w:r w:rsidRPr="00BB0227">
        <w:rPr>
          <w:rFonts w:ascii="Palatino Linotype" w:eastAsia="Times New Roman" w:hAnsi="Palatino Linotype" w:cs="Times New Roman"/>
          <w:sz w:val="24"/>
          <w:szCs w:val="24"/>
        </w:rPr>
        <w:t>cuyo rubro y texto disponen a la literalidad lo siguiente:</w:t>
      </w:r>
    </w:p>
    <w:p w14:paraId="2CC0EA0E" w14:textId="77777777" w:rsidR="00BB0227" w:rsidRPr="00BB0227" w:rsidRDefault="00BB0227" w:rsidP="00BB0227">
      <w:pPr>
        <w:spacing w:before="240" w:line="360" w:lineRule="auto"/>
        <w:ind w:left="851" w:right="851"/>
        <w:jc w:val="center"/>
        <w:rPr>
          <w:rFonts w:ascii="Palatino Linotype" w:eastAsia="Calibri" w:hAnsi="Palatino Linotype" w:cs="Arial"/>
          <w:b/>
          <w:bCs/>
          <w:i/>
          <w:sz w:val="24"/>
          <w:szCs w:val="24"/>
        </w:rPr>
      </w:pPr>
      <w:r w:rsidRPr="00BB0227">
        <w:rPr>
          <w:rFonts w:ascii="Palatino Linotype" w:eastAsia="Calibri" w:hAnsi="Palatino Linotype" w:cs="Arial"/>
          <w:b/>
          <w:bCs/>
          <w:i/>
          <w:sz w:val="24"/>
          <w:szCs w:val="24"/>
        </w:rPr>
        <w:t>“EXPRESIÓN DOCUMENTAL.</w:t>
      </w:r>
    </w:p>
    <w:p w14:paraId="7FDFF333" w14:textId="77777777" w:rsidR="00BB0227" w:rsidRPr="00BB0227" w:rsidRDefault="00BB0227" w:rsidP="00BB0227">
      <w:pPr>
        <w:spacing w:before="240" w:line="360" w:lineRule="auto"/>
        <w:ind w:left="851" w:right="851"/>
        <w:jc w:val="both"/>
        <w:rPr>
          <w:rFonts w:ascii="Palatino Linotype" w:eastAsia="Calibri" w:hAnsi="Palatino Linotype" w:cs="Arial"/>
          <w:i/>
          <w:szCs w:val="24"/>
        </w:rPr>
      </w:pPr>
      <w:r w:rsidRPr="00BB0227">
        <w:rPr>
          <w:rFonts w:ascii="Palatino Linotype" w:eastAsia="Calibri" w:hAnsi="Palatino Linotype" w:cs="Arial"/>
          <w:bCs/>
          <w:i/>
          <w:szCs w:val="24"/>
        </w:rPr>
        <w:t>Cuando</w:t>
      </w:r>
      <w:r w:rsidRPr="00BB0227">
        <w:rPr>
          <w:rFonts w:ascii="Palatino Linotype" w:eastAsia="Calibri" w:hAnsi="Palatino Linotype" w:cs="Arial"/>
          <w:i/>
          <w:lang w:val="es-ES"/>
        </w:rPr>
        <w:t xml:space="preserve"> los particulares presenten solicitudes de acceso a la información sin identificar de forma precisa la documentación que pudiera contener la información de su interés, </w:t>
      </w:r>
      <w:r w:rsidRPr="00BB0227">
        <w:rPr>
          <w:rFonts w:ascii="Palatino Linotype" w:eastAsia="Calibri" w:hAnsi="Palatino Linotype" w:cs="Arial"/>
          <w:i/>
          <w:szCs w:val="24"/>
        </w:rPr>
        <w:t>o bien, la solicitud constituya una consulta,</w:t>
      </w:r>
      <w:r w:rsidRPr="00BB0227">
        <w:rPr>
          <w:rFonts w:ascii="Palatino Linotype" w:eastAsia="Calibri" w:hAnsi="Palatino Linotype" w:cs="Arial"/>
          <w:i/>
          <w:lang w:val="es-ES"/>
        </w:rPr>
        <w:t xml:space="preserve"> pero la respuesta pudiera obrar en algún documento en poder de los sujetos obligados, éstos deben dar a dichas solicitudes una interpretación que les otorgue una expresión documental. </w:t>
      </w:r>
    </w:p>
    <w:p w14:paraId="4D81DCBE" w14:textId="77777777" w:rsidR="00BB0227" w:rsidRPr="00BB0227" w:rsidRDefault="00BB0227" w:rsidP="00BB0227">
      <w:pPr>
        <w:spacing w:before="240" w:line="360" w:lineRule="auto"/>
        <w:ind w:left="851" w:right="851"/>
        <w:jc w:val="both"/>
        <w:rPr>
          <w:rFonts w:ascii="Palatino Linotype" w:eastAsia="Calibri" w:hAnsi="Palatino Linotype" w:cs="Arial"/>
          <w:b/>
          <w:i/>
        </w:rPr>
      </w:pPr>
      <w:r w:rsidRPr="00BB0227">
        <w:rPr>
          <w:rFonts w:ascii="Palatino Linotype" w:eastAsia="Calibri" w:hAnsi="Palatino Linotype" w:cs="Arial"/>
          <w:b/>
          <w:i/>
        </w:rPr>
        <w:t>Precedentes:</w:t>
      </w:r>
    </w:p>
    <w:p w14:paraId="09FE508D" w14:textId="77777777" w:rsidR="00BB0227" w:rsidRPr="00BB0227" w:rsidRDefault="00BB0227" w:rsidP="00BB0227">
      <w:pPr>
        <w:numPr>
          <w:ilvl w:val="0"/>
          <w:numId w:val="15"/>
        </w:numPr>
        <w:spacing w:before="240" w:after="0" w:line="360" w:lineRule="auto"/>
        <w:ind w:right="851"/>
        <w:jc w:val="both"/>
        <w:rPr>
          <w:rFonts w:ascii="Palatino Linotype" w:eastAsia="Calibri" w:hAnsi="Palatino Linotype" w:cs="Arial"/>
          <w:i/>
          <w:color w:val="000000"/>
        </w:rPr>
      </w:pPr>
      <w:r w:rsidRPr="00BB0227">
        <w:rPr>
          <w:rFonts w:ascii="Palatino Linotype" w:eastAsia="Calibri" w:hAnsi="Palatino Linotype" w:cs="Arial"/>
          <w:i/>
        </w:rPr>
        <w:t xml:space="preserve">Acceso a la información pública. RRA 0774/16. Sesión del 31 de agosto de 2016. Votación por unanimidad. </w:t>
      </w:r>
      <w:r w:rsidRPr="00BB0227">
        <w:rPr>
          <w:rFonts w:ascii="Palatino Linotype" w:eastAsia="Arial" w:hAnsi="Palatino Linotype" w:cs="Arial"/>
          <w:i/>
        </w:rPr>
        <w:t>Sin votos disidentes o particulares.</w:t>
      </w:r>
      <w:r w:rsidRPr="00BB0227">
        <w:rPr>
          <w:rFonts w:ascii="Palatino Linotype" w:eastAsia="Calibri" w:hAnsi="Palatino Linotype" w:cs="Arial"/>
          <w:i/>
        </w:rPr>
        <w:t xml:space="preserve"> </w:t>
      </w:r>
      <w:r w:rsidRPr="00BB0227">
        <w:rPr>
          <w:rFonts w:ascii="Palatino Linotype" w:eastAsia="Calibri" w:hAnsi="Palatino Linotype" w:cs="Arial"/>
          <w:i/>
        </w:rPr>
        <w:lastRenderedPageBreak/>
        <w:t>Secretaría de Salud. Comisionada Ponente María Patricia Kurczyn Villalobos.</w:t>
      </w:r>
    </w:p>
    <w:p w14:paraId="7C64D76F" w14:textId="77777777" w:rsidR="00BB0227" w:rsidRPr="00BB0227" w:rsidRDefault="00BB0227" w:rsidP="00BB0227">
      <w:pPr>
        <w:numPr>
          <w:ilvl w:val="0"/>
          <w:numId w:val="15"/>
        </w:numPr>
        <w:spacing w:before="240" w:after="0" w:line="360" w:lineRule="auto"/>
        <w:ind w:right="851"/>
        <w:jc w:val="both"/>
        <w:rPr>
          <w:rFonts w:ascii="Palatino Linotype" w:eastAsia="Calibri" w:hAnsi="Palatino Linotype" w:cs="Arial"/>
          <w:i/>
          <w:color w:val="000000"/>
        </w:rPr>
      </w:pPr>
      <w:r w:rsidRPr="00BB0227">
        <w:rPr>
          <w:rFonts w:ascii="Palatino Linotype" w:eastAsia="Calibri" w:hAnsi="Palatino Linotype" w:cs="Arial"/>
          <w:i/>
        </w:rPr>
        <w:t xml:space="preserve">Acceso a la información pública. RRA 0143/17. Sesión del 22 de febrero de 2017. Votación por unanimidad. </w:t>
      </w:r>
      <w:r w:rsidRPr="00BB0227">
        <w:rPr>
          <w:rFonts w:ascii="Palatino Linotype" w:eastAsia="Arial" w:hAnsi="Palatino Linotype" w:cs="Arial"/>
          <w:i/>
        </w:rPr>
        <w:t>Sin votos disidentes o particulares.</w:t>
      </w:r>
      <w:r w:rsidRPr="00BB0227">
        <w:rPr>
          <w:rFonts w:ascii="Palatino Linotype" w:eastAsia="Calibri" w:hAnsi="Palatino Linotype" w:cs="Arial"/>
          <w:i/>
        </w:rPr>
        <w:t xml:space="preserve"> Universidad Autónoma Agraria Antonio Narro. Comisionado Ponente Oscar Mauricio Guerra Ford. </w:t>
      </w:r>
    </w:p>
    <w:p w14:paraId="43A9AF97" w14:textId="77777777" w:rsidR="00BB0227" w:rsidRPr="00BB0227" w:rsidRDefault="00BB0227" w:rsidP="00BB0227">
      <w:pPr>
        <w:numPr>
          <w:ilvl w:val="0"/>
          <w:numId w:val="15"/>
        </w:numPr>
        <w:spacing w:before="240" w:after="0" w:line="360" w:lineRule="auto"/>
        <w:ind w:right="851"/>
        <w:jc w:val="both"/>
        <w:rPr>
          <w:rFonts w:ascii="Palatino Linotype" w:eastAsia="Calibri" w:hAnsi="Palatino Linotype" w:cs="Arial"/>
          <w:i/>
          <w:color w:val="000000"/>
        </w:rPr>
      </w:pPr>
      <w:r w:rsidRPr="00BB0227">
        <w:rPr>
          <w:rFonts w:ascii="Palatino Linotype" w:eastAsia="Calibri" w:hAnsi="Palatino Linotype" w:cs="Arial"/>
          <w:i/>
        </w:rPr>
        <w:t xml:space="preserve">Acceso a la información pública. RRA 0540/17. Sesión del 08 de marzo del 2017. Votación por unanimidad. </w:t>
      </w:r>
      <w:r w:rsidRPr="00BB0227">
        <w:rPr>
          <w:rFonts w:ascii="Palatino Linotype" w:eastAsia="Arial" w:hAnsi="Palatino Linotype" w:cs="Arial"/>
          <w:i/>
        </w:rPr>
        <w:t>Sin votos disidentes o particulares.</w:t>
      </w:r>
      <w:r w:rsidRPr="00BB0227">
        <w:rPr>
          <w:rFonts w:ascii="Palatino Linotype" w:eastAsia="Calibri" w:hAnsi="Palatino Linotype" w:cs="Arial"/>
          <w:i/>
        </w:rPr>
        <w:t xml:space="preserve"> Secretaría de Economía. Comisionado Ponente Francisco Javier Acuña Llamas. “ </w:t>
      </w:r>
      <w:r w:rsidRPr="00BB0227">
        <w:rPr>
          <w:rFonts w:ascii="Palatino Linotype" w:eastAsia="Calibri" w:hAnsi="Palatino Linotype" w:cs="Arial"/>
          <w:b/>
          <w:bCs/>
          <w:i/>
        </w:rPr>
        <w:t>(Sic)</w:t>
      </w:r>
    </w:p>
    <w:p w14:paraId="5FC20DD8" w14:textId="77777777" w:rsidR="00BB0227" w:rsidRPr="00BB0227" w:rsidRDefault="00BB0227" w:rsidP="00BB0227">
      <w:pPr>
        <w:spacing w:before="240" w:line="360" w:lineRule="auto"/>
        <w:ind w:left="1571" w:right="851"/>
        <w:jc w:val="both"/>
        <w:rPr>
          <w:rFonts w:ascii="Palatino Linotype" w:eastAsia="Calibri" w:hAnsi="Palatino Linotype" w:cs="Arial"/>
          <w:i/>
          <w:color w:val="000000"/>
        </w:rPr>
      </w:pPr>
    </w:p>
    <w:p w14:paraId="3299F714" w14:textId="77777777" w:rsidR="001143C7" w:rsidRDefault="001143C7" w:rsidP="00BB0227">
      <w:pPr>
        <w:widowControl w:val="0"/>
        <w:spacing w:after="0" w:line="360" w:lineRule="auto"/>
        <w:jc w:val="both"/>
        <w:rPr>
          <w:rFonts w:ascii="Palatino Linotype" w:eastAsia="Palatino Linotype" w:hAnsi="Palatino Linotype" w:cs="Palatino Linotype"/>
          <w:color w:val="000000"/>
          <w:sz w:val="24"/>
        </w:rPr>
      </w:pPr>
      <w:r>
        <w:rPr>
          <w:rFonts w:ascii="Palatino Linotype" w:eastAsia="Palatino Linotype" w:hAnsi="Palatino Linotype" w:cs="Palatino Linotype"/>
          <w:color w:val="000000"/>
          <w:sz w:val="24"/>
        </w:rPr>
        <w:t xml:space="preserve">Así, el Sujeto Obligado debe dar expresión documental a las solicitudes de los ciudadanos, por lo que de manera enunciativa más no limitativa, el documento que da cuenta del RFC del Municipio es la Cédula de Identificación Fiscal, tal como se desprende de las siguientes consideraciones. </w:t>
      </w:r>
    </w:p>
    <w:p w14:paraId="57A88B69" w14:textId="77777777" w:rsidR="001143C7" w:rsidRDefault="001143C7" w:rsidP="00BB0227">
      <w:pPr>
        <w:widowControl w:val="0"/>
        <w:spacing w:after="0" w:line="360" w:lineRule="auto"/>
        <w:jc w:val="both"/>
        <w:rPr>
          <w:rFonts w:ascii="Palatino Linotype" w:eastAsia="Palatino Linotype" w:hAnsi="Palatino Linotype" w:cs="Palatino Linotype"/>
          <w:color w:val="000000"/>
          <w:sz w:val="24"/>
        </w:rPr>
      </w:pPr>
    </w:p>
    <w:p w14:paraId="77F9307B"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r w:rsidRPr="00BB0227">
        <w:rPr>
          <w:rFonts w:ascii="Palatino Linotype" w:eastAsia="Palatino Linotype" w:hAnsi="Palatino Linotype" w:cs="Palatino Linotype"/>
          <w:color w:val="000000"/>
          <w:sz w:val="24"/>
        </w:rPr>
        <w:t>En principio, el artículo 27, apartado A, fracción VI, aparado B, fracciones I, II y III, y apartado C, del Código Fiscal de la Federación, establece lo siguiente:</w:t>
      </w:r>
    </w:p>
    <w:p w14:paraId="2DC5C9C2"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p>
    <w:p w14:paraId="17D9E0AF" w14:textId="77777777" w:rsidR="00BB0227" w:rsidRPr="00BB0227" w:rsidRDefault="00BB0227" w:rsidP="00BB0227">
      <w:pPr>
        <w:widowControl w:val="0"/>
        <w:numPr>
          <w:ilvl w:val="0"/>
          <w:numId w:val="18"/>
        </w:numPr>
        <w:spacing w:after="0" w:line="360" w:lineRule="auto"/>
        <w:contextualSpacing/>
        <w:jc w:val="both"/>
        <w:rPr>
          <w:rFonts w:ascii="Palatino Linotype" w:eastAsia="Times New Roman" w:hAnsi="Palatino Linotype" w:cs="Times New Roman"/>
          <w:color w:val="000000"/>
          <w:sz w:val="24"/>
          <w:szCs w:val="24"/>
          <w:lang w:eastAsia="es-ES"/>
        </w:rPr>
      </w:pPr>
      <w:r w:rsidRPr="00BB0227">
        <w:rPr>
          <w:rFonts w:ascii="Palatino Linotype" w:eastAsia="Times New Roman" w:hAnsi="Palatino Linotype" w:cs="Times New Roman"/>
          <w:color w:val="000000"/>
          <w:sz w:val="24"/>
          <w:szCs w:val="24"/>
          <w:lang w:eastAsia="es-ES"/>
        </w:rPr>
        <w:t>Las Ayuntamientos al ser retenedores y contribuyentes, deberán solicitar su inscripción en el Registro Federal de Contribuyentes, para lo cual deberá proporcionar toda la información solicitada por el Servicio de Administración Tributaria, y</w:t>
      </w:r>
    </w:p>
    <w:p w14:paraId="1C8D5ECF" w14:textId="77777777" w:rsidR="00BB0227" w:rsidRPr="00BB0227" w:rsidRDefault="00BB0227" w:rsidP="00BB0227">
      <w:pPr>
        <w:widowControl w:val="0"/>
        <w:spacing w:after="0" w:line="360" w:lineRule="auto"/>
        <w:ind w:left="720"/>
        <w:contextualSpacing/>
        <w:jc w:val="both"/>
        <w:rPr>
          <w:rFonts w:ascii="Palatino Linotype" w:eastAsia="Times New Roman" w:hAnsi="Palatino Linotype" w:cs="Times New Roman"/>
          <w:color w:val="000000"/>
          <w:sz w:val="24"/>
          <w:szCs w:val="24"/>
          <w:lang w:eastAsia="es-ES"/>
        </w:rPr>
      </w:pPr>
    </w:p>
    <w:p w14:paraId="767AFEBE" w14:textId="77777777" w:rsidR="00BB0227" w:rsidRPr="00BB0227" w:rsidRDefault="00BB0227" w:rsidP="00BB0227">
      <w:pPr>
        <w:widowControl w:val="0"/>
        <w:numPr>
          <w:ilvl w:val="0"/>
          <w:numId w:val="18"/>
        </w:numPr>
        <w:spacing w:after="0" w:line="360" w:lineRule="auto"/>
        <w:contextualSpacing/>
        <w:jc w:val="both"/>
        <w:rPr>
          <w:rFonts w:ascii="Palatino Linotype" w:eastAsia="Times New Roman" w:hAnsi="Palatino Linotype" w:cs="Times New Roman"/>
          <w:color w:val="000000"/>
          <w:sz w:val="24"/>
          <w:szCs w:val="24"/>
          <w:lang w:eastAsia="es-ES"/>
        </w:rPr>
      </w:pPr>
      <w:r w:rsidRPr="00BB0227">
        <w:rPr>
          <w:rFonts w:ascii="Palatino Linotype" w:eastAsia="Times New Roman" w:hAnsi="Palatino Linotype" w:cs="Times New Roman"/>
          <w:color w:val="000000"/>
          <w:sz w:val="24"/>
          <w:szCs w:val="24"/>
          <w:lang w:eastAsia="es-ES"/>
        </w:rPr>
        <w:t>El Servicio de Administración Tributaria, será el encargado de establecer las reglas y características que deberán contener la cédula de identificación fiscal y constancia de registro fiscal.</w:t>
      </w:r>
    </w:p>
    <w:p w14:paraId="678BAD2A"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p>
    <w:p w14:paraId="747F250F"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r w:rsidRPr="00BB0227">
        <w:rPr>
          <w:rFonts w:ascii="Palatino Linotype" w:eastAsia="Palatino Linotype" w:hAnsi="Palatino Linotype" w:cs="Palatino Linotype"/>
          <w:color w:val="000000"/>
          <w:sz w:val="24"/>
        </w:rPr>
        <w:t>En ese orden de ideas, la Resolución Miscelánea Fiscal para el 2024, precisa que la Cédula de Identificación Fiscal, así como la Constancia de Situación Fiscal, se realizaran conforme al formato siguiente:</w:t>
      </w:r>
    </w:p>
    <w:p w14:paraId="4CBD9381"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p>
    <w:p w14:paraId="1FD09ACD" w14:textId="77777777" w:rsidR="00BB0227" w:rsidRPr="00BB0227" w:rsidRDefault="00BB0227" w:rsidP="00BB0227">
      <w:pPr>
        <w:widowControl w:val="0"/>
        <w:spacing w:after="0" w:line="360" w:lineRule="auto"/>
        <w:ind w:left="720" w:hanging="720"/>
        <w:jc w:val="center"/>
        <w:rPr>
          <w:rFonts w:ascii="Palatino Linotype" w:eastAsia="Palatino Linotype" w:hAnsi="Palatino Linotype" w:cs="Palatino Linotype"/>
          <w:color w:val="000000"/>
          <w:sz w:val="24"/>
        </w:rPr>
      </w:pPr>
      <w:r w:rsidRPr="00BB0227">
        <w:rPr>
          <w:rFonts w:ascii="Palatino Linotype" w:eastAsia="Palatino Linotype" w:hAnsi="Palatino Linotype" w:cs="Palatino Linotype"/>
          <w:noProof/>
          <w:color w:val="000000"/>
          <w:sz w:val="24"/>
          <w:lang w:eastAsia="es-MX"/>
        </w:rPr>
        <w:drawing>
          <wp:inline distT="0" distB="0" distL="0" distR="0" wp14:anchorId="0900B957" wp14:editId="7BD2EA5C">
            <wp:extent cx="4029637" cy="1895740"/>
            <wp:effectExtent l="0" t="0" r="0" b="9525"/>
            <wp:docPr id="2021287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87089" name=""/>
                    <pic:cNvPicPr/>
                  </pic:nvPicPr>
                  <pic:blipFill>
                    <a:blip r:embed="rId7"/>
                    <a:stretch>
                      <a:fillRect/>
                    </a:stretch>
                  </pic:blipFill>
                  <pic:spPr>
                    <a:xfrm>
                      <a:off x="0" y="0"/>
                      <a:ext cx="4029637" cy="1895740"/>
                    </a:xfrm>
                    <a:prstGeom prst="rect">
                      <a:avLst/>
                    </a:prstGeom>
                  </pic:spPr>
                </pic:pic>
              </a:graphicData>
            </a:graphic>
          </wp:inline>
        </w:drawing>
      </w:r>
    </w:p>
    <w:p w14:paraId="20CF6345"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p>
    <w:p w14:paraId="4F201BC4"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r w:rsidRPr="00BB0227">
        <w:rPr>
          <w:rFonts w:ascii="Palatino Linotype" w:eastAsia="Palatino Linotype" w:hAnsi="Palatino Linotype" w:cs="Palatino Linotype"/>
          <w:color w:val="000000"/>
          <w:sz w:val="24"/>
        </w:rPr>
        <w:t xml:space="preserve">Conforme a lo anterior, se logra vislumbrar que la pretensión del ahora Recurrente es obtener el documento donde conste </w:t>
      </w:r>
      <w:r w:rsidR="001143C7">
        <w:rPr>
          <w:rFonts w:ascii="Palatino Linotype" w:eastAsia="Palatino Linotype" w:hAnsi="Palatino Linotype" w:cs="Palatino Linotype"/>
          <w:color w:val="000000"/>
          <w:sz w:val="24"/>
        </w:rPr>
        <w:t>el RFC</w:t>
      </w:r>
      <w:r w:rsidRPr="00BB0227">
        <w:rPr>
          <w:rFonts w:ascii="Palatino Linotype" w:eastAsia="Palatino Linotype" w:hAnsi="Palatino Linotype" w:cs="Palatino Linotype"/>
          <w:color w:val="000000"/>
          <w:sz w:val="24"/>
        </w:rPr>
        <w:t xml:space="preserve"> del Ayuntamiento de Sultepec, vigente a la fecha de la solicitud.</w:t>
      </w:r>
    </w:p>
    <w:p w14:paraId="1DD615E8" w14:textId="77777777" w:rsid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Así, el Servicio de Administración Tributaria establece que el al generar la Cédula de Identificación Fiscal se acredita el RFC, tal como se precisa:</w:t>
      </w:r>
    </w:p>
    <w:p w14:paraId="391327BE" w14:textId="77777777" w:rsidR="001143C7" w:rsidRDefault="001143C7" w:rsidP="001143C7">
      <w:pPr>
        <w:autoSpaceDE w:val="0"/>
        <w:autoSpaceDN w:val="0"/>
        <w:adjustRightInd w:val="0"/>
        <w:spacing w:before="240" w:after="0" w:line="360" w:lineRule="auto"/>
        <w:jc w:val="center"/>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lang w:eastAsia="es-MX"/>
        </w:rPr>
        <w:lastRenderedPageBreak/>
        <w:drawing>
          <wp:inline distT="0" distB="0" distL="0" distR="0" wp14:anchorId="6575CE9F" wp14:editId="738485B2">
            <wp:extent cx="4933950" cy="2108666"/>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C25D9.tmp"/>
                    <pic:cNvPicPr/>
                  </pic:nvPicPr>
                  <pic:blipFill>
                    <a:blip r:embed="rId8">
                      <a:extLst>
                        <a:ext uri="{28A0092B-C50C-407E-A947-70E740481C1C}">
                          <a14:useLocalDpi xmlns:a14="http://schemas.microsoft.com/office/drawing/2010/main" val="0"/>
                        </a:ext>
                      </a:extLst>
                    </a:blip>
                    <a:stretch>
                      <a:fillRect/>
                    </a:stretch>
                  </pic:blipFill>
                  <pic:spPr>
                    <a:xfrm>
                      <a:off x="0" y="0"/>
                      <a:ext cx="4942881" cy="2112483"/>
                    </a:xfrm>
                    <a:prstGeom prst="rect">
                      <a:avLst/>
                    </a:prstGeom>
                  </pic:spPr>
                </pic:pic>
              </a:graphicData>
            </a:graphic>
          </wp:inline>
        </w:drawing>
      </w:r>
    </w:p>
    <w:p w14:paraId="2EE88249" w14:textId="77777777" w:rsidR="001143C7" w:rsidRDefault="001143C7" w:rsidP="001143C7">
      <w:pPr>
        <w:autoSpaceDE w:val="0"/>
        <w:autoSpaceDN w:val="0"/>
        <w:adjustRightInd w:val="0"/>
        <w:spacing w:before="240" w:after="0" w:line="360" w:lineRule="auto"/>
        <w:jc w:val="center"/>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lang w:eastAsia="es-MX"/>
        </w:rPr>
        <w:drawing>
          <wp:inline distT="0" distB="0" distL="0" distR="0" wp14:anchorId="3E09F8FF" wp14:editId="1FA227E1">
            <wp:extent cx="2860674" cy="1009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C6564.tmp"/>
                    <pic:cNvPicPr/>
                  </pic:nvPicPr>
                  <pic:blipFill>
                    <a:blip r:embed="rId9">
                      <a:extLst>
                        <a:ext uri="{28A0092B-C50C-407E-A947-70E740481C1C}">
                          <a14:useLocalDpi xmlns:a14="http://schemas.microsoft.com/office/drawing/2010/main" val="0"/>
                        </a:ext>
                      </a:extLst>
                    </a:blip>
                    <a:stretch>
                      <a:fillRect/>
                    </a:stretch>
                  </pic:blipFill>
                  <pic:spPr>
                    <a:xfrm>
                      <a:off x="0" y="0"/>
                      <a:ext cx="2877350" cy="1015536"/>
                    </a:xfrm>
                    <a:prstGeom prst="rect">
                      <a:avLst/>
                    </a:prstGeom>
                  </pic:spPr>
                </pic:pic>
              </a:graphicData>
            </a:graphic>
          </wp:inline>
        </w:drawing>
      </w:r>
    </w:p>
    <w:p w14:paraId="28DAF154"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Por otro lado</w:t>
      </w:r>
      <w:r w:rsidRPr="001143C7">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de </w:t>
      </w:r>
      <w:r w:rsidRPr="001143C7">
        <w:rPr>
          <w:rFonts w:ascii="Palatino Linotype" w:eastAsia="Times New Roman" w:hAnsi="Palatino Linotype" w:cs="Arial"/>
          <w:sz w:val="24"/>
          <w:szCs w:val="24"/>
          <w:lang w:val="es-ES" w:eastAsia="es-ES"/>
        </w:rPr>
        <w:t xml:space="preserve">los formatos de la Cédula de Identificación Fiscal y la Constancia de Situación Fiscal </w:t>
      </w:r>
      <w:r>
        <w:rPr>
          <w:rFonts w:ascii="Palatino Linotype" w:eastAsia="Times New Roman" w:hAnsi="Palatino Linotype" w:cs="Arial"/>
          <w:sz w:val="24"/>
          <w:szCs w:val="24"/>
          <w:lang w:val="es-ES" w:eastAsia="es-ES"/>
        </w:rPr>
        <w:t>se logra</w:t>
      </w:r>
      <w:r w:rsidRPr="001143C7">
        <w:rPr>
          <w:rFonts w:ascii="Palatino Linotype" w:eastAsia="Times New Roman" w:hAnsi="Palatino Linotype" w:cs="Arial"/>
          <w:sz w:val="24"/>
          <w:szCs w:val="24"/>
          <w:lang w:val="es-ES" w:eastAsia="es-ES"/>
        </w:rPr>
        <w:t xml:space="preserve"> vislumbrar que no contienen datos clasificables, pues son datos</w:t>
      </w:r>
      <w:r w:rsidR="00E171A6">
        <w:rPr>
          <w:rFonts w:ascii="Palatino Linotype" w:eastAsia="Times New Roman" w:hAnsi="Palatino Linotype" w:cs="Arial"/>
          <w:sz w:val="24"/>
          <w:szCs w:val="24"/>
          <w:lang w:val="es-ES" w:eastAsia="es-ES"/>
        </w:rPr>
        <w:t xml:space="preserve"> </w:t>
      </w:r>
      <w:r w:rsidR="00E171A6" w:rsidRPr="001143C7">
        <w:rPr>
          <w:rFonts w:ascii="Palatino Linotype" w:eastAsia="Times New Roman" w:hAnsi="Palatino Linotype" w:cs="Arial"/>
          <w:sz w:val="24"/>
          <w:szCs w:val="24"/>
          <w:lang w:val="es-ES" w:eastAsia="es-ES"/>
        </w:rPr>
        <w:t>de identificación</w:t>
      </w:r>
      <w:r w:rsidRPr="001143C7">
        <w:rPr>
          <w:rFonts w:ascii="Palatino Linotype" w:eastAsia="Times New Roman" w:hAnsi="Palatino Linotype" w:cs="Arial"/>
          <w:sz w:val="24"/>
          <w:szCs w:val="24"/>
          <w:lang w:val="es-ES" w:eastAsia="es-ES"/>
        </w:rPr>
        <w:t xml:space="preserve"> del Sujeto Obligado</w:t>
      </w:r>
      <w:r w:rsidR="00E171A6">
        <w:rPr>
          <w:rFonts w:ascii="Palatino Linotype" w:eastAsia="Times New Roman" w:hAnsi="Palatino Linotype" w:cs="Arial"/>
          <w:sz w:val="24"/>
          <w:szCs w:val="24"/>
          <w:lang w:val="es-ES" w:eastAsia="es-ES"/>
        </w:rPr>
        <w:t>.</w:t>
      </w:r>
    </w:p>
    <w:p w14:paraId="7268EFF1" w14:textId="77777777" w:rsidR="00BB0227" w:rsidRPr="00BB0227" w:rsidRDefault="00BB0227" w:rsidP="00BB0227">
      <w:pPr>
        <w:widowControl w:val="0"/>
        <w:spacing w:after="0" w:line="360" w:lineRule="auto"/>
        <w:jc w:val="both"/>
        <w:rPr>
          <w:rFonts w:ascii="Palatino Linotype" w:eastAsia="Palatino Linotype" w:hAnsi="Palatino Linotype" w:cs="Palatino Linotype"/>
          <w:color w:val="000000"/>
          <w:sz w:val="24"/>
        </w:rPr>
      </w:pPr>
    </w:p>
    <w:p w14:paraId="3EC9D4E1" w14:textId="77777777" w:rsidR="00BB0227" w:rsidRPr="00BB0227" w:rsidRDefault="00BB0227" w:rsidP="00BB0227">
      <w:pPr>
        <w:widowControl w:val="0"/>
        <w:spacing w:after="0" w:line="360" w:lineRule="auto"/>
        <w:jc w:val="both"/>
        <w:rPr>
          <w:rFonts w:ascii="Palatino Linotype" w:eastAsia="Times New Roman" w:hAnsi="Palatino Linotype" w:cs="Tahoma"/>
          <w:sz w:val="24"/>
          <w:lang w:val="es-ES" w:eastAsia="es-ES"/>
        </w:rPr>
      </w:pPr>
      <w:r w:rsidRPr="00BB0227">
        <w:rPr>
          <w:rFonts w:ascii="Palatino Linotype" w:eastAsia="Palatino Linotype" w:hAnsi="Palatino Linotype" w:cs="Palatino Linotype"/>
          <w:color w:val="000000"/>
          <w:sz w:val="24"/>
        </w:rPr>
        <w:t xml:space="preserve">Ahora bien, el Sujeto Obligado puso a disposición la información, en consulta directa; </w:t>
      </w:r>
      <w:r w:rsidRPr="00BB0227">
        <w:rPr>
          <w:rFonts w:ascii="Palatino Linotype" w:eastAsia="Times New Roman" w:hAnsi="Palatino Linotype" w:cs="Tahoma"/>
          <w:sz w:val="24"/>
          <w:lang w:val="es-ES" w:eastAsia="es-ES"/>
        </w:rPr>
        <w:t>por lo que, se procede analizar el agravio hecho valer por la Recurrente, referente al cambio de modalidad realizada por el Ente Recurrido, para lo cual, cabe recordar que se requirió la información, a través del Sistema de Acceso a Información Mexiquense (SAIMEX).</w:t>
      </w:r>
    </w:p>
    <w:p w14:paraId="5FF89DF8" w14:textId="77777777" w:rsidR="00BB0227" w:rsidRPr="00BB0227" w:rsidRDefault="00BB0227" w:rsidP="00BB0227">
      <w:pPr>
        <w:spacing w:after="0" w:line="360" w:lineRule="auto"/>
        <w:ind w:right="-28"/>
        <w:contextualSpacing/>
        <w:jc w:val="both"/>
        <w:rPr>
          <w:rFonts w:ascii="Palatino Linotype" w:eastAsia="Times New Roman" w:hAnsi="Palatino Linotype" w:cs="Tahoma"/>
          <w:sz w:val="24"/>
          <w:lang w:val="es-ES" w:eastAsia="es-ES"/>
        </w:rPr>
      </w:pPr>
    </w:p>
    <w:p w14:paraId="5FD111F4" w14:textId="77777777" w:rsidR="00BB0227" w:rsidRPr="00BB0227" w:rsidRDefault="00BB0227" w:rsidP="00BB0227">
      <w:pPr>
        <w:spacing w:after="0" w:line="360" w:lineRule="auto"/>
        <w:jc w:val="both"/>
        <w:rPr>
          <w:rFonts w:ascii="Palatino Linotype" w:eastAsia="Calibri" w:hAnsi="Palatino Linotype" w:cs="Tahoma"/>
          <w:bCs/>
          <w:sz w:val="24"/>
        </w:rPr>
      </w:pPr>
      <w:r w:rsidRPr="00BB0227">
        <w:rPr>
          <w:rFonts w:ascii="Palatino Linotype" w:eastAsia="Times New Roman" w:hAnsi="Palatino Linotype" w:cs="Tahoma"/>
          <w:bCs/>
          <w:color w:val="0D0D0D"/>
          <w:sz w:val="24"/>
          <w:lang w:eastAsia="es-ES"/>
        </w:rPr>
        <w:t>En ese sentido,</w:t>
      </w:r>
      <w:r w:rsidRPr="00BB0227">
        <w:rPr>
          <w:rFonts w:ascii="Palatino Linotype" w:eastAsia="Calibri" w:hAnsi="Palatino Linotype" w:cs="Tahoma"/>
          <w:bCs/>
          <w:sz w:val="24"/>
          <w:lang w:val="es-ES"/>
        </w:rPr>
        <w:t xml:space="preserve"> el artículo 155, fracción V, de la Ley de Transparencia y Acceso a la Información Pública del Estado de México y Municipios, precisa que </w:t>
      </w:r>
      <w:r w:rsidRPr="00BB0227">
        <w:rPr>
          <w:rFonts w:ascii="Palatino Linotype" w:eastAsia="Calibri" w:hAnsi="Palatino Linotype" w:cs="Tahoma"/>
          <w:bCs/>
          <w:sz w:val="24"/>
        </w:rPr>
        <w:t xml:space="preserve">para presentar </w:t>
      </w:r>
      <w:r w:rsidRPr="00BB0227">
        <w:rPr>
          <w:rFonts w:ascii="Palatino Linotype" w:eastAsia="Calibri" w:hAnsi="Palatino Linotype" w:cs="Tahoma"/>
          <w:bCs/>
          <w:sz w:val="24"/>
        </w:rPr>
        <w:lastRenderedPageBreak/>
        <w:t xml:space="preserve">una solicitud, la particular podrá señalar </w:t>
      </w:r>
      <w:r w:rsidRPr="00BB0227">
        <w:rPr>
          <w:rFonts w:ascii="Palatino Linotype" w:eastAsia="Calibri" w:hAnsi="Palatino Linotype" w:cs="Tahoma"/>
          <w:b/>
          <w:bCs/>
          <w:sz w:val="24"/>
        </w:rPr>
        <w:t>la modalidad en la que prefiere se otorgue el acceso a la información</w:t>
      </w:r>
      <w:r w:rsidRPr="00BB0227">
        <w:rPr>
          <w:rFonts w:ascii="Palatino Linotype" w:eastAsia="Calibri" w:hAnsi="Palatino Linotype" w:cs="Tahoma"/>
          <w:bCs/>
          <w:sz w:val="24"/>
        </w:rPr>
        <w:t>, la cual podrá ser verbal, siempre y cuando sea para fines de orientación, mediante consulta directa, mediante la expedición de copias simples o certificadas o la reproducción en cualquier otro medio, incluidos los electrónicos.</w:t>
      </w:r>
    </w:p>
    <w:p w14:paraId="72AA95D4" w14:textId="77777777" w:rsidR="00BB0227" w:rsidRPr="00BB0227" w:rsidRDefault="00BB0227" w:rsidP="00BB0227">
      <w:pPr>
        <w:spacing w:after="0" w:line="360" w:lineRule="auto"/>
        <w:jc w:val="both"/>
        <w:rPr>
          <w:rFonts w:ascii="Palatino Linotype" w:eastAsia="Calibri" w:hAnsi="Palatino Linotype" w:cs="Tahoma"/>
          <w:bCs/>
          <w:sz w:val="24"/>
        </w:rPr>
      </w:pPr>
    </w:p>
    <w:p w14:paraId="1542DE34" w14:textId="77777777" w:rsidR="00BB0227" w:rsidRPr="00BB0227" w:rsidRDefault="00BB0227" w:rsidP="00BB0227">
      <w:pPr>
        <w:spacing w:after="0" w:line="360" w:lineRule="auto"/>
        <w:jc w:val="both"/>
        <w:rPr>
          <w:rFonts w:ascii="Palatino Linotype" w:eastAsia="Calibri" w:hAnsi="Palatino Linotype" w:cs="Tahoma"/>
          <w:b/>
          <w:bCs/>
          <w:sz w:val="24"/>
          <w:lang w:val="es-ES"/>
        </w:rPr>
      </w:pPr>
      <w:r w:rsidRPr="00BB0227">
        <w:rPr>
          <w:rFonts w:ascii="Palatino Linotype" w:eastAsia="Calibri" w:hAnsi="Palatino Linotype" w:cs="Tahoma"/>
          <w:bCs/>
          <w:sz w:val="24"/>
          <w:lang w:val="es-ES"/>
        </w:rPr>
        <w:t xml:space="preserve">El artículo 158, dispone que, de manera excepcional, cuando de manera fundada y motivada lo determine el Sujeto Obligado, </w:t>
      </w:r>
      <w:r w:rsidRPr="00BB0227">
        <w:rPr>
          <w:rFonts w:ascii="Palatino Linotype" w:eastAsia="Calibri" w:hAnsi="Palatino Linotype" w:cs="Tahoma"/>
          <w:b/>
          <w:bCs/>
          <w:sz w:val="24"/>
          <w:lang w:val="es-E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15331DB" w14:textId="77777777" w:rsidR="00BB0227" w:rsidRPr="00BB0227" w:rsidRDefault="00BB0227" w:rsidP="00BB0227">
      <w:pPr>
        <w:spacing w:after="0" w:line="360" w:lineRule="auto"/>
        <w:jc w:val="both"/>
        <w:rPr>
          <w:rFonts w:ascii="Palatino Linotype" w:eastAsia="Calibri" w:hAnsi="Palatino Linotype" w:cs="Tahoma"/>
          <w:b/>
          <w:bCs/>
          <w:sz w:val="24"/>
          <w:lang w:val="es-ES"/>
        </w:rPr>
      </w:pPr>
    </w:p>
    <w:p w14:paraId="2FAC648B" w14:textId="77777777" w:rsidR="00BB0227" w:rsidRPr="00BB0227" w:rsidRDefault="00BB0227" w:rsidP="00BB0227">
      <w:pPr>
        <w:spacing w:after="0" w:line="360" w:lineRule="auto"/>
        <w:jc w:val="both"/>
        <w:rPr>
          <w:rFonts w:ascii="Palatino Linotype" w:eastAsia="Calibri" w:hAnsi="Palatino Linotype" w:cs="Tahoma"/>
          <w:bCs/>
          <w:sz w:val="24"/>
        </w:rPr>
      </w:pPr>
      <w:r w:rsidRPr="00BB0227">
        <w:rPr>
          <w:rFonts w:ascii="Palatino Linotype" w:eastAsia="Calibri" w:hAnsi="Palatino Linotype" w:cs="Tahoma"/>
          <w:bCs/>
          <w:sz w:val="24"/>
          <w:lang w:val="es-ES"/>
        </w:rPr>
        <w:t xml:space="preserve">En ese orden de ideas, el artículo 164 de dicho ordenamiento jurídico, prevé que </w:t>
      </w:r>
      <w:r w:rsidRPr="00BB0227">
        <w:rPr>
          <w:rFonts w:ascii="Palatino Linotype" w:eastAsia="Calibri" w:hAnsi="Palatino Linotype" w:cs="Tahoma"/>
          <w:bCs/>
          <w:sz w:val="24"/>
        </w:rPr>
        <w:t xml:space="preserve">el acceso se dará en la modalidad de entrega y, en su caso, de envío elegidos por al solicitante. </w:t>
      </w:r>
      <w:r w:rsidRPr="00BB0227">
        <w:rPr>
          <w:rFonts w:ascii="Palatino Linotype" w:eastAsia="Calibri" w:hAnsi="Palatino Linotype" w:cs="Tahoma"/>
          <w:b/>
          <w:bCs/>
          <w:sz w:val="24"/>
        </w:rPr>
        <w:t>Cuando la información no pueda entregarse o enviarse en la modalidad elegida, el sujeto obligado deberá ofrecer otra u otras modalidades de entrega.</w:t>
      </w:r>
      <w:r w:rsidRPr="00BB0227">
        <w:rPr>
          <w:rFonts w:ascii="Palatino Linotype" w:eastAsia="Calibri" w:hAnsi="Palatino Linotype" w:cs="Tahoma"/>
          <w:bCs/>
          <w:sz w:val="24"/>
        </w:rPr>
        <w:t xml:space="preserve"> En cualquier caso, </w:t>
      </w:r>
      <w:r w:rsidRPr="00BB0227">
        <w:rPr>
          <w:rFonts w:ascii="Palatino Linotype" w:eastAsia="Calibri" w:hAnsi="Palatino Linotype" w:cs="Tahoma"/>
          <w:b/>
          <w:bCs/>
          <w:sz w:val="24"/>
        </w:rPr>
        <w:t>se deberá fundar y motivar</w:t>
      </w:r>
      <w:r w:rsidRPr="00BB0227">
        <w:rPr>
          <w:rFonts w:ascii="Palatino Linotype" w:eastAsia="Calibri" w:hAnsi="Palatino Linotype" w:cs="Tahoma"/>
          <w:bCs/>
          <w:sz w:val="24"/>
        </w:rPr>
        <w:t xml:space="preserve"> la necesidad de ofrecer otras modalidades.</w:t>
      </w:r>
    </w:p>
    <w:p w14:paraId="0399F500" w14:textId="77777777" w:rsidR="00BB0227" w:rsidRPr="00BB0227" w:rsidRDefault="00BB0227" w:rsidP="00BB0227">
      <w:pPr>
        <w:spacing w:after="0" w:line="360" w:lineRule="auto"/>
        <w:jc w:val="both"/>
        <w:rPr>
          <w:rFonts w:ascii="Palatino Linotype" w:eastAsia="Calibri" w:hAnsi="Palatino Linotype" w:cs="Tahoma"/>
          <w:bCs/>
          <w:sz w:val="24"/>
        </w:rPr>
      </w:pPr>
    </w:p>
    <w:p w14:paraId="4458C5EF" w14:textId="77777777" w:rsidR="00BB0227" w:rsidRPr="00BB0227" w:rsidRDefault="00BB0227" w:rsidP="00BB0227">
      <w:pPr>
        <w:spacing w:after="0" w:line="360" w:lineRule="auto"/>
        <w:jc w:val="both"/>
        <w:rPr>
          <w:rFonts w:ascii="Palatino Linotype" w:eastAsia="Calibri" w:hAnsi="Palatino Linotype" w:cs="Tahoma"/>
          <w:bCs/>
          <w:sz w:val="24"/>
          <w:lang w:val="es-ES"/>
        </w:rPr>
      </w:pPr>
      <w:r w:rsidRPr="00BB0227">
        <w:rPr>
          <w:rFonts w:ascii="Palatino Linotype" w:eastAsia="Calibri" w:hAnsi="Palatino Linotype" w:cs="Tahoma"/>
          <w:bCs/>
          <w:sz w:val="24"/>
          <w:lang w:val="es-E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BB0227">
        <w:rPr>
          <w:rFonts w:ascii="Palatino Linotype" w:eastAsia="Calibri" w:hAnsi="Palatino Linotype" w:cs="Tahoma"/>
          <w:b/>
          <w:bCs/>
          <w:sz w:val="24"/>
          <w:lang w:val="es-ES"/>
        </w:rPr>
        <w:t>en la medida de lo posible, en la forma solicitada por el interesado, salvo que exista un impedimento justificado para atenderla</w:t>
      </w:r>
      <w:r w:rsidRPr="00BB0227">
        <w:rPr>
          <w:rFonts w:ascii="Palatino Linotype" w:eastAsia="Calibri" w:hAnsi="Palatino Linotype" w:cs="Tahoma"/>
          <w:bCs/>
          <w:sz w:val="24"/>
          <w:lang w:val="es-ES"/>
        </w:rPr>
        <w:t xml:space="preserve">, en cuyo caso, deberán exponerse las razones por las cuales no es posible utilizar el medio de reproducción solicitado; en este sentido, la entrega de la </w:t>
      </w:r>
      <w:r w:rsidRPr="00BB0227">
        <w:rPr>
          <w:rFonts w:ascii="Palatino Linotype" w:eastAsia="Calibri" w:hAnsi="Palatino Linotype" w:cs="Tahoma"/>
          <w:bCs/>
          <w:sz w:val="24"/>
          <w:lang w:val="es-ES"/>
        </w:rPr>
        <w:lastRenderedPageBreak/>
        <w:t xml:space="preserve">información en una modalidad distinta a la elegida por la particular </w:t>
      </w:r>
      <w:r w:rsidRPr="00BB0227">
        <w:rPr>
          <w:rFonts w:ascii="Palatino Linotype" w:eastAsia="Calibri" w:hAnsi="Palatino Linotype" w:cs="Tahoma"/>
          <w:b/>
          <w:bCs/>
          <w:sz w:val="24"/>
          <w:lang w:val="es-ES"/>
        </w:rPr>
        <w:t>sólo procede, en caso de que se acredite la imposibilidad de atenderla.</w:t>
      </w:r>
      <w:r w:rsidRPr="00BB0227">
        <w:rPr>
          <w:rFonts w:ascii="Palatino Linotype" w:eastAsia="Calibri" w:hAnsi="Palatino Linotype" w:cs="Tahoma"/>
          <w:bCs/>
          <w:sz w:val="24"/>
          <w:lang w:val="es-ES"/>
        </w:rPr>
        <w:t xml:space="preserve"> </w:t>
      </w:r>
    </w:p>
    <w:p w14:paraId="1CAE3FDD" w14:textId="77777777" w:rsidR="00BB0227" w:rsidRPr="00BB0227" w:rsidRDefault="00BB0227" w:rsidP="00BB0227">
      <w:pPr>
        <w:spacing w:after="0" w:line="360" w:lineRule="auto"/>
        <w:jc w:val="both"/>
        <w:rPr>
          <w:rFonts w:ascii="Palatino Linotype" w:eastAsia="Calibri" w:hAnsi="Palatino Linotype" w:cs="Tahoma"/>
          <w:bCs/>
          <w:sz w:val="24"/>
          <w:lang w:val="es-ES"/>
        </w:rPr>
      </w:pPr>
    </w:p>
    <w:p w14:paraId="63D4B32F" w14:textId="77777777" w:rsidR="00BB0227" w:rsidRPr="00BB0227" w:rsidRDefault="00BB0227" w:rsidP="00BB0227">
      <w:pPr>
        <w:spacing w:line="360" w:lineRule="auto"/>
        <w:contextualSpacing/>
        <w:jc w:val="both"/>
        <w:rPr>
          <w:rFonts w:ascii="Palatino Linotype" w:eastAsia="Calibri" w:hAnsi="Palatino Linotype" w:cs="Tahoma"/>
          <w:bCs/>
          <w:sz w:val="24"/>
          <w:lang w:val="es-ES"/>
        </w:rPr>
      </w:pPr>
      <w:r w:rsidRPr="00BB0227">
        <w:rPr>
          <w:rFonts w:ascii="Palatino Linotype" w:eastAsia="Calibri" w:hAnsi="Palatino Linotype" w:cs="Tahoma"/>
          <w:bCs/>
          <w:sz w:val="24"/>
          <w:lang w:val="es-ES"/>
        </w:rPr>
        <w:t xml:space="preserve">Así, cuando se justifique el impedimento, </w:t>
      </w:r>
      <w:r w:rsidRPr="00BB0227">
        <w:rPr>
          <w:rFonts w:ascii="Palatino Linotype" w:eastAsia="Calibri" w:hAnsi="Palatino Linotype" w:cs="Tahoma"/>
          <w:b/>
          <w:bCs/>
          <w:sz w:val="24"/>
          <w:lang w:val="es-ES"/>
        </w:rPr>
        <w:t>los Sujetos Obligados deberán ofrecer al particular otras modalidades de entrega que permita la información</w:t>
      </w:r>
      <w:r w:rsidRPr="00BB0227">
        <w:rPr>
          <w:rFonts w:ascii="Palatino Linotype" w:eastAsia="Calibri" w:hAnsi="Palatino Linotype" w:cs="Tahoma"/>
          <w:bCs/>
          <w:sz w:val="24"/>
          <w:lang w:val="es-ES"/>
        </w:rPr>
        <w:t>, como consulta directa en las oficinas de la Unidad de Transparencia; lo anterior, es robustecido con el Criterio SO/008/2017, emitido por el Pleno del Instituto Nacional de Transparencia, Acceso a la Información y Protección de Datos Personales, el cual establece lo siguiente:</w:t>
      </w:r>
    </w:p>
    <w:p w14:paraId="71EB113A" w14:textId="77777777" w:rsidR="00BB0227" w:rsidRPr="00BB0227" w:rsidRDefault="00BB0227" w:rsidP="00BB0227">
      <w:pPr>
        <w:spacing w:after="0" w:line="360" w:lineRule="auto"/>
        <w:jc w:val="both"/>
        <w:rPr>
          <w:rFonts w:ascii="Palatino Linotype" w:eastAsia="Calibri" w:hAnsi="Palatino Linotype" w:cs="Tahoma"/>
          <w:bCs/>
          <w:sz w:val="28"/>
          <w:szCs w:val="24"/>
          <w:lang w:val="es-ES"/>
        </w:rPr>
      </w:pPr>
    </w:p>
    <w:p w14:paraId="6200C146" w14:textId="77777777" w:rsidR="00BB0227" w:rsidRPr="00BB0227" w:rsidRDefault="00BB0227" w:rsidP="00BB0227">
      <w:pPr>
        <w:spacing w:after="0" w:line="360" w:lineRule="auto"/>
        <w:ind w:left="567" w:right="567"/>
        <w:jc w:val="both"/>
        <w:rPr>
          <w:rFonts w:ascii="Palatino Linotype" w:eastAsia="Calibri" w:hAnsi="Palatino Linotype" w:cs="Tahoma"/>
          <w:bCs/>
          <w:i/>
          <w:szCs w:val="20"/>
          <w:lang w:val="es-ES"/>
        </w:rPr>
      </w:pPr>
      <w:r w:rsidRPr="00BB0227">
        <w:rPr>
          <w:rFonts w:ascii="Palatino Linotype" w:eastAsia="Calibri" w:hAnsi="Palatino Linotype" w:cs="Tahoma"/>
          <w:b/>
          <w:bCs/>
          <w:i/>
          <w:szCs w:val="20"/>
          <w:lang w:val="es-ES"/>
        </w:rPr>
        <w:t>“Modalidad de entrega. Procedencia de proporcionar la información solicitada en una diversa a la elegida por el solicitante.</w:t>
      </w:r>
      <w:r w:rsidRPr="00BB0227">
        <w:rPr>
          <w:rFonts w:ascii="Palatino Linotype" w:eastAsia="Calibri" w:hAnsi="Palatino Linotype" w:cs="Tahoma"/>
          <w:bCs/>
          <w:i/>
          <w:szCs w:val="20"/>
          <w:lang w:val="es-ES"/>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2038726" w14:textId="77777777" w:rsidR="00BB0227" w:rsidRPr="00BB0227" w:rsidRDefault="00BB0227" w:rsidP="00BB0227">
      <w:pPr>
        <w:spacing w:after="0" w:line="360" w:lineRule="auto"/>
        <w:jc w:val="both"/>
        <w:rPr>
          <w:rFonts w:ascii="Palatino Linotype" w:eastAsia="Calibri" w:hAnsi="Palatino Linotype" w:cs="Tahoma"/>
          <w:bCs/>
          <w:sz w:val="24"/>
          <w:lang w:val="es-ES"/>
        </w:rPr>
      </w:pPr>
    </w:p>
    <w:p w14:paraId="6C64AC25" w14:textId="77777777" w:rsidR="00BB0227" w:rsidRPr="00BB0227" w:rsidRDefault="00BB0227" w:rsidP="00BB0227">
      <w:pPr>
        <w:spacing w:after="0" w:line="360" w:lineRule="auto"/>
        <w:jc w:val="both"/>
        <w:rPr>
          <w:rFonts w:ascii="Palatino Linotype" w:eastAsia="Calibri" w:hAnsi="Palatino Linotype" w:cs="Tahoma"/>
          <w:b/>
          <w:sz w:val="24"/>
          <w:lang w:val="es-ES"/>
        </w:rPr>
      </w:pPr>
      <w:r w:rsidRPr="00BB0227">
        <w:rPr>
          <w:rFonts w:ascii="Palatino Linotype" w:eastAsia="Calibri" w:hAnsi="Palatino Linotype" w:cs="Tahoma"/>
          <w:bCs/>
          <w:sz w:val="24"/>
          <w:lang w:val="es-ES"/>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BB0227">
        <w:rPr>
          <w:rFonts w:ascii="Palatino Linotype" w:eastAsia="Calibri" w:hAnsi="Palatino Linotype" w:cs="Tahoma"/>
          <w:b/>
          <w:sz w:val="24"/>
          <w:lang w:val="es-ES"/>
        </w:rPr>
        <w:t>información en todas las modalidades que lo permitan, procurando reducir los costos de entrega.</w:t>
      </w:r>
    </w:p>
    <w:p w14:paraId="6D2D047F"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i/>
          <w:sz w:val="24"/>
          <w:szCs w:val="24"/>
          <w:lang w:eastAsia="es-ES"/>
        </w:rPr>
      </w:pPr>
      <w:r w:rsidRPr="001143C7">
        <w:rPr>
          <w:rFonts w:ascii="Palatino Linotype" w:eastAsia="Times New Roman" w:hAnsi="Palatino Linotype" w:cs="Arial"/>
          <w:bCs/>
          <w:sz w:val="24"/>
          <w:szCs w:val="24"/>
          <w:lang w:eastAsia="es-ES"/>
        </w:rPr>
        <w:lastRenderedPageBreak/>
        <w:t xml:space="preserve">Ahora bien, el Ente Recurrido precisó en respuesta que ponía a disposición del ahora Recurrente la documentación peticionada en consulta directa; sin embargo, este Instituto considera que omitió fundar y motivar el cambio de modalidad pues no precisó las siguientes circunstancias: </w:t>
      </w:r>
    </w:p>
    <w:p w14:paraId="73125C1E"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sz w:val="24"/>
          <w:szCs w:val="24"/>
          <w:lang w:val="es-ES" w:eastAsia="es-ES"/>
        </w:rPr>
      </w:pPr>
    </w:p>
    <w:p w14:paraId="2264DEF7" w14:textId="77777777" w:rsidR="001143C7" w:rsidRPr="001143C7" w:rsidRDefault="001143C7" w:rsidP="001143C7">
      <w:pPr>
        <w:numPr>
          <w:ilvl w:val="0"/>
          <w:numId w:val="19"/>
        </w:numPr>
        <w:autoSpaceDE w:val="0"/>
        <w:autoSpaceDN w:val="0"/>
        <w:adjustRightInd w:val="0"/>
        <w:spacing w:before="240" w:after="0" w:line="360" w:lineRule="auto"/>
        <w:jc w:val="both"/>
        <w:rPr>
          <w:rFonts w:ascii="Palatino Linotype" w:eastAsia="Times New Roman" w:hAnsi="Palatino Linotype" w:cs="Arial"/>
          <w:bCs/>
          <w:sz w:val="24"/>
          <w:szCs w:val="24"/>
          <w:lang w:val="es-ES" w:eastAsia="es-ES"/>
        </w:rPr>
      </w:pPr>
      <w:r w:rsidRPr="001143C7">
        <w:rPr>
          <w:rFonts w:ascii="Palatino Linotype" w:eastAsia="Times New Roman" w:hAnsi="Palatino Linotype" w:cs="Arial"/>
          <w:bCs/>
          <w:sz w:val="24"/>
          <w:szCs w:val="24"/>
          <w:lang w:val="es-ES" w:eastAsia="es-ES"/>
        </w:rPr>
        <w:t>El número de hojas de los documentos que atendían el requerimiento, lo cual toma relevancia, pues este Instituto considera que no son m</w:t>
      </w:r>
      <w:r w:rsidRPr="001143C7">
        <w:rPr>
          <w:rFonts w:ascii="Palatino Linotype" w:eastAsia="Times New Roman" w:hAnsi="Palatino Linotype" w:cs="Arial"/>
          <w:bCs/>
          <w:sz w:val="24"/>
          <w:szCs w:val="24"/>
          <w:lang w:val="x-none" w:eastAsia="es-ES"/>
        </w:rPr>
        <w:t>ás de diez recibos</w:t>
      </w:r>
      <w:r w:rsidRPr="001143C7">
        <w:rPr>
          <w:rFonts w:ascii="Palatino Linotype" w:eastAsia="Times New Roman" w:hAnsi="Palatino Linotype" w:cs="Arial"/>
          <w:bCs/>
          <w:sz w:val="24"/>
          <w:szCs w:val="24"/>
          <w:lang w:val="es-ES" w:eastAsia="es-ES"/>
        </w:rPr>
        <w:t>.</w:t>
      </w:r>
    </w:p>
    <w:p w14:paraId="12CA6B25" w14:textId="77777777" w:rsidR="001143C7" w:rsidRPr="001143C7" w:rsidRDefault="001143C7" w:rsidP="001143C7">
      <w:pPr>
        <w:numPr>
          <w:ilvl w:val="0"/>
          <w:numId w:val="19"/>
        </w:numPr>
        <w:autoSpaceDE w:val="0"/>
        <w:autoSpaceDN w:val="0"/>
        <w:adjustRightInd w:val="0"/>
        <w:spacing w:before="240" w:after="0" w:line="360" w:lineRule="auto"/>
        <w:jc w:val="both"/>
        <w:rPr>
          <w:rFonts w:ascii="Palatino Linotype" w:eastAsia="Times New Roman" w:hAnsi="Palatino Linotype" w:cs="Arial"/>
          <w:bCs/>
          <w:sz w:val="24"/>
          <w:szCs w:val="24"/>
          <w:lang w:val="es-ES" w:eastAsia="es-ES"/>
        </w:rPr>
      </w:pPr>
      <w:r w:rsidRPr="001143C7">
        <w:rPr>
          <w:rFonts w:ascii="Palatino Linotype" w:eastAsia="Times New Roman" w:hAnsi="Palatino Linotype" w:cs="Arial"/>
          <w:bCs/>
          <w:sz w:val="24"/>
          <w:szCs w:val="24"/>
          <w:lang w:val="es-ES" w:eastAsia="es-ES"/>
        </w:rPr>
        <w:t>La ubicación de los documentos que daban cuenta de la información solicitada;</w:t>
      </w:r>
    </w:p>
    <w:p w14:paraId="7A7D33DE" w14:textId="77777777" w:rsidR="001143C7" w:rsidRPr="001143C7" w:rsidRDefault="001143C7" w:rsidP="001143C7">
      <w:pPr>
        <w:numPr>
          <w:ilvl w:val="0"/>
          <w:numId w:val="19"/>
        </w:numPr>
        <w:autoSpaceDE w:val="0"/>
        <w:autoSpaceDN w:val="0"/>
        <w:adjustRightInd w:val="0"/>
        <w:spacing w:before="240" w:after="0" w:line="360" w:lineRule="auto"/>
        <w:jc w:val="both"/>
        <w:rPr>
          <w:rFonts w:ascii="Palatino Linotype" w:eastAsia="Times New Roman" w:hAnsi="Palatino Linotype" w:cs="Arial"/>
          <w:bCs/>
          <w:sz w:val="24"/>
          <w:szCs w:val="24"/>
          <w:lang w:val="es-ES" w:eastAsia="es-ES"/>
        </w:rPr>
      </w:pPr>
      <w:r w:rsidRPr="001143C7">
        <w:rPr>
          <w:rFonts w:ascii="Palatino Linotype" w:eastAsia="Times New Roman" w:hAnsi="Palatino Linotype" w:cs="Arial"/>
          <w:bCs/>
          <w:sz w:val="24"/>
          <w:szCs w:val="24"/>
          <w:lang w:val="es-ES" w:eastAsia="es-ES"/>
        </w:rPr>
        <w:t>La forma en que se encontraba la información (físico o digital), y</w:t>
      </w:r>
    </w:p>
    <w:p w14:paraId="303BCC27" w14:textId="77777777" w:rsidR="001143C7" w:rsidRPr="001143C7" w:rsidRDefault="001143C7" w:rsidP="001143C7">
      <w:pPr>
        <w:numPr>
          <w:ilvl w:val="0"/>
          <w:numId w:val="19"/>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sz w:val="24"/>
          <w:szCs w:val="24"/>
          <w:lang w:val="es-ES" w:eastAsia="es-ES"/>
        </w:rPr>
        <w:t>Las capacidades técnicas y humanas con las que contaba el Sujeto Obligado, refiriendo solo que por la carga de trabajo no podía proporcionar respuesta al requerimiento.</w:t>
      </w:r>
    </w:p>
    <w:p w14:paraId="0113BB6E"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6D0A1478"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x-none" w:eastAsia="es-ES"/>
        </w:rPr>
      </w:pPr>
      <w:r w:rsidRPr="001143C7">
        <w:rPr>
          <w:rFonts w:ascii="Palatino Linotype" w:eastAsia="Times New Roman" w:hAnsi="Palatino Linotype" w:cs="Arial"/>
          <w:bCs/>
          <w:iCs/>
          <w:sz w:val="24"/>
          <w:szCs w:val="24"/>
          <w:lang w:val="es-ES" w:eastAsia="es-ES"/>
        </w:rPr>
        <w:t>Además, tampoco acreditó que lo peticionado implicaba un análisis, procesamiento o estudio de documentos cuya reproducción sobrepasará las capacidades técnicas, administrativas y humanas del Sujeto Obligado, pues como se refirió no señaló ninguna de las circunstancias previamente referidas</w:t>
      </w:r>
      <w:r w:rsidRPr="001143C7">
        <w:rPr>
          <w:rFonts w:ascii="Palatino Linotype" w:eastAsia="Times New Roman" w:hAnsi="Palatino Linotype" w:cs="Arial"/>
          <w:bCs/>
          <w:iCs/>
          <w:sz w:val="24"/>
          <w:szCs w:val="24"/>
          <w:lang w:val="x-none" w:eastAsia="es-ES"/>
        </w:rPr>
        <w:t>.</w:t>
      </w:r>
    </w:p>
    <w:p w14:paraId="36C03190"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063A2AF9"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sz w:val="24"/>
          <w:szCs w:val="24"/>
          <w:lang w:val="es-ES" w:eastAsia="es-ES"/>
        </w:rPr>
        <w:t>Conforme a lo anterior, el Ayuntamiento de Sultepec,</w:t>
      </w:r>
      <w:r w:rsidRPr="001143C7">
        <w:rPr>
          <w:rFonts w:ascii="Palatino Linotype" w:eastAsia="Times New Roman" w:hAnsi="Palatino Linotype" w:cs="Arial"/>
          <w:bCs/>
          <w:iCs/>
          <w:sz w:val="24"/>
          <w:szCs w:val="24"/>
          <w:lang w:eastAsia="es-ES"/>
        </w:rPr>
        <w:t xml:space="preserve"> no acreditó la imposibilidad humana, técnica y administrativa, establecida en el artículo 158 de la Ley de </w:t>
      </w:r>
      <w:r w:rsidRPr="001143C7">
        <w:rPr>
          <w:rFonts w:ascii="Palatino Linotype" w:eastAsia="Times New Roman" w:hAnsi="Palatino Linotype" w:cs="Arial"/>
          <w:bCs/>
          <w:iCs/>
          <w:sz w:val="24"/>
          <w:szCs w:val="24"/>
          <w:lang w:eastAsia="es-ES"/>
        </w:rPr>
        <w:lastRenderedPageBreak/>
        <w:t xml:space="preserve">Transparencia y Acceso a la Información Pública del Estado de México y Municipios, para acreditar el cambio de modalidad a consulta directa, lo cual da como resultado que el agravio resulte </w:t>
      </w:r>
      <w:r w:rsidRPr="001143C7">
        <w:rPr>
          <w:rFonts w:ascii="Palatino Linotype" w:eastAsia="Times New Roman" w:hAnsi="Palatino Linotype" w:cs="Arial"/>
          <w:b/>
          <w:bCs/>
          <w:iCs/>
          <w:sz w:val="24"/>
          <w:szCs w:val="24"/>
          <w:lang w:eastAsia="es-ES"/>
        </w:rPr>
        <w:t xml:space="preserve">FUNDADO. </w:t>
      </w:r>
      <w:r w:rsidRPr="001143C7">
        <w:rPr>
          <w:rFonts w:ascii="Palatino Linotype" w:eastAsia="Times New Roman" w:hAnsi="Palatino Linotype" w:cs="Arial"/>
          <w:bCs/>
          <w:iCs/>
          <w:sz w:val="24"/>
          <w:szCs w:val="24"/>
          <w:lang w:eastAsia="es-ES"/>
        </w:rPr>
        <w:t>Situaci</w:t>
      </w:r>
      <w:r w:rsidRPr="001143C7">
        <w:rPr>
          <w:rFonts w:ascii="Palatino Linotype" w:eastAsia="Times New Roman" w:hAnsi="Palatino Linotype" w:cs="Arial"/>
          <w:bCs/>
          <w:iCs/>
          <w:sz w:val="24"/>
          <w:szCs w:val="24"/>
          <w:lang w:val="x-none" w:eastAsia="es-ES"/>
        </w:rPr>
        <w:t xml:space="preserve">ón que toma relevancia, pues en el presente caso, la información que da cuenta de lo peticionado, </w:t>
      </w:r>
      <w:r w:rsidRPr="001143C7">
        <w:rPr>
          <w:rFonts w:ascii="Palatino Linotype" w:eastAsia="Times New Roman" w:hAnsi="Palatino Linotype" w:cs="Arial"/>
          <w:bCs/>
          <w:iCs/>
          <w:sz w:val="24"/>
          <w:szCs w:val="24"/>
          <w:lang w:eastAsia="es-ES"/>
        </w:rPr>
        <w:t>es un documento, la Cédula de Identificación Fiscal o la Constancia de Situación Fiscal</w:t>
      </w:r>
      <w:r w:rsidRPr="001143C7">
        <w:rPr>
          <w:rFonts w:ascii="Palatino Linotype" w:eastAsia="Times New Roman" w:hAnsi="Palatino Linotype" w:cs="Arial"/>
          <w:bCs/>
          <w:iCs/>
          <w:sz w:val="24"/>
          <w:szCs w:val="24"/>
          <w:lang w:val="x-none" w:eastAsia="es-ES"/>
        </w:rPr>
        <w:t>.</w:t>
      </w:r>
    </w:p>
    <w:p w14:paraId="008F34C7"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eastAsia="es-ES"/>
        </w:rPr>
      </w:pPr>
    </w:p>
    <w:p w14:paraId="10E8711D"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sz w:val="24"/>
          <w:szCs w:val="24"/>
          <w:lang w:eastAsia="es-ES"/>
        </w:rPr>
        <w:t xml:space="preserve">Por otra parte, durante la sustanciación del Medio de Impugnación, el Comité de Transparencia refirió que lo peticionado estaba reservado; </w:t>
      </w:r>
      <w:r w:rsidRPr="001143C7">
        <w:rPr>
          <w:rFonts w:ascii="Palatino Linotype" w:eastAsia="Times New Roman" w:hAnsi="Palatino Linotype" w:cs="Arial"/>
          <w:bCs/>
          <w:sz w:val="24"/>
          <w:szCs w:val="24"/>
          <w:lang w:eastAsia="es-ES"/>
        </w:rPr>
        <w:t xml:space="preserve">sobre el tema, </w:t>
      </w:r>
      <w:r w:rsidRPr="001143C7">
        <w:rPr>
          <w:rFonts w:ascii="Palatino Linotype" w:eastAsia="Times New Roman" w:hAnsi="Palatino Linotype" w:cs="Arial"/>
          <w:bCs/>
          <w:iCs/>
          <w:sz w:val="24"/>
          <w:szCs w:val="24"/>
          <w:lang w:eastAsia="es-ES"/>
        </w:rPr>
        <w:t xml:space="preserve">cabe precisar, que conforme al artículo 20 de la Ley de Transparencia y Acceso a la Información Pública del Estado de México y Municipios, </w:t>
      </w:r>
      <w:r w:rsidRPr="001143C7">
        <w:rPr>
          <w:rFonts w:ascii="Palatino Linotype" w:eastAsia="Times New Roman" w:hAnsi="Palatino Linotype" w:cs="Arial"/>
          <w:b/>
          <w:bCs/>
          <w:iCs/>
          <w:sz w:val="24"/>
          <w:szCs w:val="24"/>
          <w:lang w:eastAsia="es-ES"/>
        </w:rPr>
        <w:t>ante la negativa de acceso a la información o su inexistencia, el sujeto obligado deberá demostrar que encuentra en alguna de las excepciones establecidas en la normatividad aplicable.</w:t>
      </w:r>
    </w:p>
    <w:p w14:paraId="40482F91"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2C559E56"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eastAsia="es-ES"/>
        </w:rPr>
        <w:t xml:space="preserve">En ese sentido, según Trujillo, Humberto (2019), en el “Diccionario de Transparencia y Acceso a la Información Pública” (p. 201), </w:t>
      </w:r>
      <w:r w:rsidRPr="001143C7">
        <w:rPr>
          <w:rFonts w:ascii="Palatino Linotype" w:eastAsia="Times New Roman" w:hAnsi="Palatino Linotype" w:cs="Arial"/>
          <w:b/>
          <w:bCs/>
          <w:iCs/>
          <w:sz w:val="24"/>
          <w:szCs w:val="24"/>
          <w:lang w:eastAsia="es-ES"/>
        </w:rPr>
        <w:t xml:space="preserve">la negativa de acceso a la información </w:t>
      </w:r>
      <w:r w:rsidRPr="001143C7">
        <w:rPr>
          <w:rFonts w:ascii="Palatino Linotype" w:eastAsia="Times New Roman" w:hAnsi="Palatino Linotype" w:cs="Arial"/>
          <w:bCs/>
          <w:iCs/>
          <w:sz w:val="24"/>
          <w:szCs w:val="24"/>
          <w:lang w:eastAsia="es-ES"/>
        </w:rPr>
        <w:t xml:space="preserve">ocurre cuanto de manera fundada y motivada, una autoridad la niega o la limita, por alguna de las siguientes razones: </w:t>
      </w:r>
    </w:p>
    <w:p w14:paraId="6BA82481"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2C8D4BD8" w14:textId="77777777" w:rsidR="001143C7" w:rsidRPr="001143C7" w:rsidRDefault="001143C7" w:rsidP="001143C7">
      <w:pPr>
        <w:numPr>
          <w:ilvl w:val="0"/>
          <w:numId w:val="20"/>
        </w:num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
          <w:bCs/>
          <w:iCs/>
          <w:sz w:val="24"/>
          <w:szCs w:val="24"/>
          <w:lang w:eastAsia="es-ES"/>
        </w:rPr>
        <w:t xml:space="preserve">La inexistencia de la información (p. 171): </w:t>
      </w:r>
      <w:r w:rsidRPr="001143C7">
        <w:rPr>
          <w:rFonts w:ascii="Palatino Linotype" w:eastAsia="Times New Roman" w:hAnsi="Palatino Linotype" w:cs="Arial"/>
          <w:bCs/>
          <w:iCs/>
          <w:sz w:val="24"/>
          <w:szCs w:val="24"/>
          <w:lang w:eastAsia="es-ES"/>
        </w:rPr>
        <w:t>Sucede cuando la información solicitada no se encuentra en los archivos públicos o clasificados, de los entes sujetos a las Leyes de Transparencia.</w:t>
      </w:r>
    </w:p>
    <w:p w14:paraId="43A3755C"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70DA26BB" w14:textId="77777777" w:rsidR="001143C7" w:rsidRPr="001143C7" w:rsidRDefault="001143C7" w:rsidP="001143C7">
      <w:pPr>
        <w:numPr>
          <w:ilvl w:val="0"/>
          <w:numId w:val="20"/>
        </w:num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
          <w:bCs/>
          <w:iCs/>
          <w:sz w:val="24"/>
          <w:szCs w:val="24"/>
          <w:lang w:eastAsia="es-ES"/>
        </w:rPr>
        <w:t xml:space="preserve">La incompetencia del Sujeto Obligado (p. 171): </w:t>
      </w:r>
      <w:r w:rsidRPr="001143C7">
        <w:rPr>
          <w:rFonts w:ascii="Palatino Linotype" w:eastAsia="Times New Roman" w:hAnsi="Palatino Linotype" w:cs="Arial"/>
          <w:bCs/>
          <w:iCs/>
          <w:sz w:val="24"/>
          <w:szCs w:val="24"/>
          <w:lang w:eastAsia="es-ES"/>
        </w:rPr>
        <w:t>Ocurre cuando el Sujeto Obligado carece de atribuciones para poseer la información peticionada.</w:t>
      </w:r>
    </w:p>
    <w:p w14:paraId="7C0CCBBE"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11F122F3" w14:textId="77777777" w:rsidR="001143C7" w:rsidRPr="001143C7" w:rsidRDefault="001143C7" w:rsidP="001143C7">
      <w:pPr>
        <w:numPr>
          <w:ilvl w:val="0"/>
          <w:numId w:val="20"/>
        </w:num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
          <w:bCs/>
          <w:iCs/>
          <w:sz w:val="24"/>
          <w:szCs w:val="24"/>
          <w:lang w:eastAsia="es-ES"/>
        </w:rPr>
        <w:t xml:space="preserve">La clasificación de la información (p. 70): </w:t>
      </w:r>
      <w:r w:rsidRPr="001143C7">
        <w:rPr>
          <w:rFonts w:ascii="Palatino Linotype" w:eastAsia="Times New Roman" w:hAnsi="Palatino Linotype" w:cs="Arial"/>
          <w:bCs/>
          <w:iCs/>
          <w:sz w:val="24"/>
          <w:szCs w:val="24"/>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6AD67F8B"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41E7EB56"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eastAsia="es-ES"/>
        </w:rPr>
        <w:t>En ese orden de ideas y en atención a lo anterior, es de señalar que l</w:t>
      </w:r>
      <w:r w:rsidRPr="001143C7">
        <w:rPr>
          <w:rFonts w:ascii="Palatino Linotype" w:eastAsia="Times New Roman" w:hAnsi="Palatino Linotype" w:cs="Arial"/>
          <w:bCs/>
          <w:iCs/>
          <w:sz w:val="24"/>
          <w:szCs w:val="24"/>
          <w:lang w:val="es-ES" w:eastAsia="es-ES"/>
        </w:rPr>
        <w:t xml:space="preserve">as excepciones al derecho de acceso a la información, consisten en que la documentación sea inexistente, </w:t>
      </w:r>
      <w:r w:rsidRPr="001143C7">
        <w:rPr>
          <w:rFonts w:ascii="Palatino Linotype" w:eastAsia="Times New Roman" w:hAnsi="Palatino Linotype" w:cs="Arial"/>
          <w:b/>
          <w:bCs/>
          <w:iCs/>
          <w:sz w:val="24"/>
          <w:szCs w:val="24"/>
          <w:lang w:val="es-ES" w:eastAsia="es-ES"/>
        </w:rPr>
        <w:t>se encuentre clasificada</w:t>
      </w:r>
      <w:r w:rsidRPr="001143C7">
        <w:rPr>
          <w:rFonts w:ascii="Palatino Linotype" w:eastAsia="Times New Roman" w:hAnsi="Palatino Linotype" w:cs="Arial"/>
          <w:bCs/>
          <w:iCs/>
          <w:sz w:val="24"/>
          <w:szCs w:val="24"/>
          <w:lang w:val="es-ES" w:eastAsia="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1143C7">
        <w:rPr>
          <w:rFonts w:ascii="Palatino Linotype" w:eastAsia="Times New Roman" w:hAnsi="Palatino Linotype" w:cs="Arial"/>
          <w:b/>
          <w:bCs/>
          <w:iCs/>
          <w:sz w:val="24"/>
          <w:szCs w:val="24"/>
          <w:lang w:val="es-ES" w:eastAsia="es-ES"/>
        </w:rPr>
        <w:t>confidenciales o reservados.</w:t>
      </w:r>
    </w:p>
    <w:p w14:paraId="793C152F"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1105AF34"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eastAsia="es-ES"/>
        </w:rPr>
        <w:t xml:space="preserve">Así, en los artículos 122, 128 y 130 de la Ley Transparencia y Acceso a la Información Pública del Estado de México y Municipios, se prevé que </w:t>
      </w:r>
      <w:r w:rsidRPr="001143C7">
        <w:rPr>
          <w:rFonts w:ascii="Palatino Linotype" w:eastAsia="Times New Roman" w:hAnsi="Palatino Linotype" w:cs="Arial"/>
          <w:b/>
          <w:bCs/>
          <w:iCs/>
          <w:sz w:val="24"/>
          <w:szCs w:val="24"/>
          <w:lang w:eastAsia="es-ES"/>
        </w:rPr>
        <w:t xml:space="preserve">la clasificación </w:t>
      </w:r>
      <w:r w:rsidRPr="001143C7">
        <w:rPr>
          <w:rFonts w:ascii="Palatino Linotype" w:eastAsia="Times New Roman" w:hAnsi="Palatino Linotype" w:cs="Arial"/>
          <w:bCs/>
          <w:iCs/>
          <w:sz w:val="24"/>
          <w:szCs w:val="24"/>
          <w:lang w:eastAsia="es-ES"/>
        </w:rPr>
        <w:t xml:space="preserve">es el proceso mediante el cual los sujetos obligados determinan que la información en su poder, actualiza alguno de los supuestos de reserva o confidencialidad. </w:t>
      </w:r>
      <w:r w:rsidRPr="001143C7">
        <w:rPr>
          <w:rFonts w:ascii="Palatino Linotype" w:eastAsia="Times New Roman" w:hAnsi="Palatino Linotype" w:cs="Arial"/>
          <w:bCs/>
          <w:iCs/>
          <w:sz w:val="24"/>
          <w:szCs w:val="24"/>
          <w:lang w:val="es-ES" w:eastAsia="es-ES"/>
        </w:rPr>
        <w:t xml:space="preserve">Además, que dichos </w:t>
      </w:r>
      <w:r w:rsidRPr="001143C7">
        <w:rPr>
          <w:rFonts w:ascii="Palatino Linotype" w:eastAsia="Times New Roman" w:hAnsi="Palatino Linotype" w:cs="Arial"/>
          <w:bCs/>
          <w:iCs/>
          <w:sz w:val="24"/>
          <w:szCs w:val="24"/>
          <w:lang w:val="es-ES" w:eastAsia="es-ES"/>
        </w:rPr>
        <w:lastRenderedPageBreak/>
        <w:t>entes deberán aplicar de manera restrictiva y limitada, las excepciones al derecho de acceso a la información, por lo que, tendrán que acreditar la procedencia.</w:t>
      </w:r>
    </w:p>
    <w:p w14:paraId="221F0C93"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1C321D1A"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 xml:space="preserve">Por lo cual, en los casos en que se niegue el acceso a la información, por actualizarse alguno de los supuestos de clasificación, </w:t>
      </w:r>
      <w:r w:rsidRPr="001143C7">
        <w:rPr>
          <w:rFonts w:ascii="Palatino Linotype" w:eastAsia="Times New Roman" w:hAnsi="Palatino Linotype" w:cs="Arial"/>
          <w:b/>
          <w:bCs/>
          <w:iCs/>
          <w:sz w:val="24"/>
          <w:szCs w:val="24"/>
          <w:lang w:val="es-ES" w:eastAsia="es-ES"/>
        </w:rPr>
        <w:t xml:space="preserve">el Comité de Transparencia deberá confirmar, modificar o revocar la decisión; </w:t>
      </w:r>
      <w:r w:rsidRPr="001143C7">
        <w:rPr>
          <w:rFonts w:ascii="Palatino Linotype" w:eastAsia="Times New Roman" w:hAnsi="Palatino Linotype" w:cs="Arial"/>
          <w:bCs/>
          <w:iCs/>
          <w:sz w:val="24"/>
          <w:szCs w:val="24"/>
          <w:lang w:val="es-ES" w:eastAsia="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9931CAD"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2BBFF576"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Cs/>
          <w:iCs/>
          <w:sz w:val="24"/>
          <w:szCs w:val="24"/>
          <w:lang w:val="es-ES" w:eastAsia="es-ES"/>
        </w:rPr>
        <w:t xml:space="preserve">Por su parte, </w:t>
      </w:r>
      <w:r w:rsidRPr="001143C7">
        <w:rPr>
          <w:rFonts w:ascii="Palatino Linotype" w:eastAsia="Times New Roman" w:hAnsi="Palatino Linotype" w:cs="Arial"/>
          <w:bCs/>
          <w:iCs/>
          <w:sz w:val="24"/>
          <w:szCs w:val="24"/>
          <w:lang w:eastAsia="es-ES"/>
        </w:rPr>
        <w:t xml:space="preserve">según Bonifaz, Leticia (2016), en la “Ley General de Transparencia y Acceso a la Información Pública Comentada” (p. 342), la </w:t>
      </w:r>
      <w:r w:rsidRPr="001143C7">
        <w:rPr>
          <w:rFonts w:ascii="Palatino Linotype" w:eastAsia="Times New Roman" w:hAnsi="Palatino Linotype" w:cs="Arial"/>
          <w:b/>
          <w:bCs/>
          <w:iCs/>
          <w:sz w:val="24"/>
          <w:szCs w:val="24"/>
          <w:lang w:eastAsia="es-ES"/>
        </w:rPr>
        <w:t>clasificación de la información</w:t>
      </w:r>
      <w:r w:rsidRPr="001143C7">
        <w:rPr>
          <w:rFonts w:ascii="Palatino Linotype" w:eastAsia="Times New Roman" w:hAnsi="Palatino Linotype" w:cs="Arial"/>
          <w:bCs/>
          <w:iCs/>
          <w:sz w:val="24"/>
          <w:szCs w:val="24"/>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1143C7">
        <w:rPr>
          <w:rFonts w:ascii="Palatino Linotype" w:eastAsia="Times New Roman" w:hAnsi="Palatino Linotype" w:cs="Arial"/>
          <w:b/>
          <w:bCs/>
          <w:iCs/>
          <w:sz w:val="24"/>
          <w:szCs w:val="24"/>
          <w:lang w:eastAsia="es-ES"/>
        </w:rPr>
        <w:t>de manera adecuada la negativa de información.</w:t>
      </w:r>
    </w:p>
    <w:p w14:paraId="7E3876D2"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57335704"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iCs/>
          <w:sz w:val="24"/>
          <w:szCs w:val="24"/>
          <w:lang w:eastAsia="es-ES"/>
        </w:rPr>
      </w:pPr>
      <w:r w:rsidRPr="001143C7">
        <w:rPr>
          <w:rFonts w:ascii="Palatino Linotype" w:eastAsia="Times New Roman" w:hAnsi="Palatino Linotype" w:cs="Arial"/>
          <w:iCs/>
          <w:sz w:val="24"/>
          <w:szCs w:val="24"/>
          <w:lang w:eastAsia="es-ES"/>
        </w:rPr>
        <w:t xml:space="preserve">Conforme a lo anterior, en el presente caso el Ayuntamiento de Sultepec, señaló que la información no podía ser proporcionada al ser reservada, por lo que </w:t>
      </w:r>
      <w:r w:rsidRPr="001143C7">
        <w:rPr>
          <w:rFonts w:ascii="Palatino Linotype" w:eastAsia="Times New Roman" w:hAnsi="Palatino Linotype" w:cs="Arial"/>
          <w:bCs/>
          <w:sz w:val="24"/>
          <w:szCs w:val="24"/>
          <w:lang w:eastAsia="es-ES"/>
        </w:rPr>
        <w:t xml:space="preserve">se negó el acceso a la información peticionada por la persona Recurrente, al considerar que estaba </w:t>
      </w:r>
      <w:r w:rsidRPr="001143C7">
        <w:rPr>
          <w:rFonts w:ascii="Palatino Linotype" w:eastAsia="Times New Roman" w:hAnsi="Palatino Linotype" w:cs="Arial"/>
          <w:bCs/>
          <w:sz w:val="24"/>
          <w:szCs w:val="24"/>
          <w:lang w:eastAsia="es-ES"/>
        </w:rPr>
        <w:lastRenderedPageBreak/>
        <w:t xml:space="preserve">clasificada; tan es así, que consideró que actualizaba la reserva en términos del artículo 140 de la Ley </w:t>
      </w:r>
      <w:r w:rsidRPr="001143C7">
        <w:rPr>
          <w:rFonts w:ascii="Palatino Linotype" w:eastAsia="Times New Roman" w:hAnsi="Palatino Linotype" w:cs="Arial"/>
          <w:bCs/>
          <w:iCs/>
          <w:sz w:val="24"/>
          <w:szCs w:val="24"/>
          <w:lang w:val="es-ES" w:eastAsia="es-ES"/>
        </w:rPr>
        <w:t xml:space="preserve">de Transparencia y Acceso a la Información Pública del Estado de México y Municipios. </w:t>
      </w:r>
      <w:r w:rsidRPr="001143C7">
        <w:rPr>
          <w:rFonts w:ascii="Palatino Linotype" w:eastAsia="Times New Roman" w:hAnsi="Palatino Linotype" w:cs="Arial"/>
          <w:iCs/>
          <w:sz w:val="24"/>
          <w:szCs w:val="24"/>
          <w:lang w:val="es-ES" w:eastAsia="es-ES"/>
        </w:rPr>
        <w:t xml:space="preserve"> </w:t>
      </w:r>
    </w:p>
    <w:p w14:paraId="679E10B0"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iCs/>
          <w:sz w:val="24"/>
          <w:szCs w:val="24"/>
          <w:lang w:eastAsia="es-ES"/>
        </w:rPr>
      </w:pPr>
    </w:p>
    <w:p w14:paraId="35F320C8"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Cs/>
          <w:iCs/>
          <w:sz w:val="24"/>
          <w:szCs w:val="24"/>
          <w:lang w:eastAsia="es-ES"/>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1143C7">
        <w:rPr>
          <w:rFonts w:ascii="Palatino Linotype" w:eastAsia="Times New Roman" w:hAnsi="Palatino Linotype" w:cs="Arial"/>
          <w:b/>
          <w:bCs/>
          <w:iCs/>
          <w:sz w:val="24"/>
          <w:szCs w:val="24"/>
          <w:lang w:eastAsia="es-ES"/>
        </w:rPr>
        <w:t>análisis caso por caso.</w:t>
      </w:r>
    </w:p>
    <w:p w14:paraId="4B3D6143"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0CC9218F"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eastAsia="es-ES"/>
        </w:rPr>
        <w:t xml:space="preserve">Además, el artículo 131 de la Ley referida, así como el Quinto de los Lineamientos Generales, establecen que los sujetos obligados </w:t>
      </w:r>
      <w:r w:rsidRPr="001143C7">
        <w:rPr>
          <w:rFonts w:ascii="Palatino Linotype" w:eastAsia="Times New Roman" w:hAnsi="Palatino Linotype" w:cs="Arial"/>
          <w:b/>
          <w:bCs/>
          <w:iCs/>
          <w:sz w:val="24"/>
          <w:szCs w:val="24"/>
          <w:lang w:eastAsia="es-ES"/>
        </w:rPr>
        <w:t>deberán fundar y motivar</w:t>
      </w:r>
      <w:r w:rsidRPr="001143C7">
        <w:rPr>
          <w:rFonts w:ascii="Palatino Linotype" w:eastAsia="Times New Roman" w:hAnsi="Palatino Linotype" w:cs="Arial"/>
          <w:bCs/>
          <w:iCs/>
          <w:sz w:val="24"/>
          <w:szCs w:val="24"/>
          <w:lang w:eastAsia="es-ES"/>
        </w:rPr>
        <w:t xml:space="preserve"> debidamente la clasificación de la información.</w:t>
      </w:r>
    </w:p>
    <w:p w14:paraId="1B1912BD"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p>
    <w:p w14:paraId="2BF0A172"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eastAsia="es-ES"/>
        </w:rPr>
        <w:t>Al respecto, el Octavo de los Lineamientos Generales, precisa lo siguiente:</w:t>
      </w:r>
    </w:p>
    <w:p w14:paraId="496E6283"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2AC61C19" w14:textId="77777777" w:rsidR="001143C7" w:rsidRPr="001143C7" w:rsidRDefault="001143C7" w:rsidP="001143C7">
      <w:pPr>
        <w:numPr>
          <w:ilvl w:val="0"/>
          <w:numId w:val="21"/>
        </w:num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
          <w:bCs/>
          <w:iCs/>
          <w:sz w:val="24"/>
          <w:szCs w:val="24"/>
          <w:lang w:eastAsia="es-ES"/>
        </w:rPr>
        <w:t>Para fundar la clasificación</w:t>
      </w:r>
      <w:r w:rsidRPr="001143C7">
        <w:rPr>
          <w:rFonts w:ascii="Palatino Linotype" w:eastAsia="Times New Roman" w:hAnsi="Palatino Linotype" w:cs="Arial"/>
          <w:bCs/>
          <w:iCs/>
          <w:sz w:val="24"/>
          <w:szCs w:val="24"/>
          <w:lang w:eastAsia="es-ES"/>
        </w:rPr>
        <w:t xml:space="preserve"> de la información se deberán señalar el artículo, fracción, inciso, párrafo o numeral de la Ley aplicable;</w:t>
      </w:r>
    </w:p>
    <w:p w14:paraId="0D30C320"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22BA6683" w14:textId="77777777" w:rsidR="001143C7" w:rsidRPr="001143C7" w:rsidRDefault="001143C7" w:rsidP="001143C7">
      <w:pPr>
        <w:numPr>
          <w:ilvl w:val="0"/>
          <w:numId w:val="21"/>
        </w:num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
          <w:bCs/>
          <w:iCs/>
          <w:sz w:val="24"/>
          <w:szCs w:val="24"/>
          <w:lang w:eastAsia="es-ES"/>
        </w:rPr>
        <w:t>Para motivar la clasificación</w:t>
      </w:r>
      <w:r w:rsidRPr="001143C7">
        <w:rPr>
          <w:rFonts w:ascii="Palatino Linotype" w:eastAsia="Times New Roman" w:hAnsi="Palatino Linotype" w:cs="Arial"/>
          <w:bCs/>
          <w:iCs/>
          <w:sz w:val="24"/>
          <w:szCs w:val="24"/>
          <w:lang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3FB78CB"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4155EF58"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18CBD684"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5EF14DBC"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
          <w:iCs/>
          <w:sz w:val="24"/>
          <w:szCs w:val="24"/>
          <w:lang w:eastAsia="es-ES"/>
        </w:rPr>
      </w:pPr>
      <w:r w:rsidRPr="001143C7">
        <w:rPr>
          <w:rFonts w:ascii="Palatino Linotype" w:eastAsia="Times New Roman" w:hAnsi="Palatino Linotype" w:cs="Arial"/>
          <w:b/>
          <w:bCs/>
          <w:i/>
          <w:iCs/>
          <w:sz w:val="24"/>
          <w:szCs w:val="24"/>
          <w:lang w:eastAsia="es-ES"/>
        </w:rPr>
        <w:t xml:space="preserve">“FUNDAMENTACION Y MOTIVACION, CONCEPTO DE. </w:t>
      </w:r>
      <w:r w:rsidRPr="001143C7">
        <w:rPr>
          <w:rFonts w:ascii="Palatino Linotype" w:eastAsia="Times New Roman" w:hAnsi="Palatino Linotype" w:cs="Arial"/>
          <w:bCs/>
          <w:i/>
          <w:iCs/>
          <w:sz w:val="24"/>
          <w:szCs w:val="24"/>
          <w:lang w:eastAsia="es-ES"/>
        </w:rPr>
        <w:t xml:space="preserve">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w:t>
      </w:r>
      <w:r w:rsidRPr="001143C7">
        <w:rPr>
          <w:rFonts w:ascii="Palatino Linotype" w:eastAsia="Times New Roman" w:hAnsi="Palatino Linotype" w:cs="Arial"/>
          <w:bCs/>
          <w:i/>
          <w:iCs/>
          <w:sz w:val="24"/>
          <w:szCs w:val="24"/>
          <w:lang w:eastAsia="es-ES"/>
        </w:rPr>
        <w:lastRenderedPageBreak/>
        <w:t>razonamientos lógico-jurídicos sobre el por qué consideró que el caso concreto se ajusta a la hipótesis normativa.”</w:t>
      </w:r>
    </w:p>
    <w:p w14:paraId="6A3FFF95"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343CF29D"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eastAsia="es-ES"/>
        </w:rPr>
        <w:t>Conforme a lo anterior, se advierte lo siguiente:</w:t>
      </w:r>
    </w:p>
    <w:p w14:paraId="213431B3"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6A637080" w14:textId="77777777" w:rsidR="001143C7" w:rsidRPr="001143C7" w:rsidRDefault="001143C7" w:rsidP="001143C7">
      <w:pPr>
        <w:numPr>
          <w:ilvl w:val="0"/>
          <w:numId w:val="22"/>
        </w:num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
          <w:bCs/>
          <w:iCs/>
          <w:sz w:val="24"/>
          <w:szCs w:val="24"/>
          <w:lang w:eastAsia="es-ES"/>
        </w:rPr>
        <w:t xml:space="preserve">Fundamentación: </w:t>
      </w:r>
      <w:r w:rsidRPr="001143C7">
        <w:rPr>
          <w:rFonts w:ascii="Palatino Linotype" w:eastAsia="Times New Roman" w:hAnsi="Palatino Linotype" w:cs="Arial"/>
          <w:bCs/>
          <w:iCs/>
          <w:sz w:val="24"/>
          <w:szCs w:val="24"/>
          <w:lang w:eastAsia="es-ES"/>
        </w:rPr>
        <w:t>Obligación de la autoridad que emite un acto, para citar los preceptos legales, sustantivos y adjetivos, en que se apoye para la determinación tomada.</w:t>
      </w:r>
    </w:p>
    <w:p w14:paraId="03DFBB7D" w14:textId="77777777" w:rsidR="001143C7" w:rsidRPr="001143C7" w:rsidRDefault="001143C7" w:rsidP="001143C7">
      <w:pPr>
        <w:numPr>
          <w:ilvl w:val="0"/>
          <w:numId w:val="22"/>
        </w:numPr>
        <w:autoSpaceDE w:val="0"/>
        <w:autoSpaceDN w:val="0"/>
        <w:adjustRightInd w:val="0"/>
        <w:spacing w:before="240" w:after="0" w:line="360" w:lineRule="auto"/>
        <w:jc w:val="both"/>
        <w:rPr>
          <w:rFonts w:ascii="Palatino Linotype" w:eastAsia="Times New Roman" w:hAnsi="Palatino Linotype" w:cs="Arial"/>
          <w:b/>
          <w:bCs/>
          <w:iCs/>
          <w:sz w:val="24"/>
          <w:szCs w:val="24"/>
          <w:lang w:eastAsia="es-ES"/>
        </w:rPr>
      </w:pPr>
      <w:r w:rsidRPr="001143C7">
        <w:rPr>
          <w:rFonts w:ascii="Palatino Linotype" w:eastAsia="Times New Roman" w:hAnsi="Palatino Linotype" w:cs="Arial"/>
          <w:b/>
          <w:bCs/>
          <w:iCs/>
          <w:sz w:val="24"/>
          <w:szCs w:val="24"/>
          <w:lang w:eastAsia="es-ES"/>
        </w:rPr>
        <w:t xml:space="preserve">Motivación: </w:t>
      </w:r>
      <w:r w:rsidRPr="001143C7">
        <w:rPr>
          <w:rFonts w:ascii="Palatino Linotype" w:eastAsia="Times New Roman" w:hAnsi="Palatino Linotype" w:cs="Arial"/>
          <w:bCs/>
          <w:iCs/>
          <w:sz w:val="24"/>
          <w:szCs w:val="24"/>
          <w:lang w:eastAsia="es-ES"/>
        </w:rPr>
        <w:t>Razonamientos lógico-jurídicos sobre porque se consideró en el caso en concreto, que se ajusta a la hipótesis normativa.</w:t>
      </w:r>
    </w:p>
    <w:p w14:paraId="39286DD9"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5F0AE397"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En ese orden de ideas, el Trigésimo tercero de los Lineamientos Generales establece la forma en que se debe fundamentar y motivar la reserva de la información, es decir, a través de los siguientes pasos:</w:t>
      </w:r>
    </w:p>
    <w:p w14:paraId="3FC9F5D1"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p>
    <w:p w14:paraId="41E82439" w14:textId="77777777" w:rsidR="001143C7" w:rsidRPr="001143C7" w:rsidRDefault="001143C7" w:rsidP="001143C7">
      <w:pPr>
        <w:numPr>
          <w:ilvl w:val="0"/>
          <w:numId w:val="23"/>
        </w:num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eastAsia="es-E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01C27B9F" w14:textId="77777777" w:rsidR="001143C7" w:rsidRPr="001143C7" w:rsidRDefault="001143C7" w:rsidP="001143C7">
      <w:pPr>
        <w:numPr>
          <w:ilvl w:val="0"/>
          <w:numId w:val="23"/>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lastRenderedPageBreak/>
        <w:t>Se deberá demostrar que la publicidad de la información generaría un riesgo de perjuicio, que rebasa el interés público;</w:t>
      </w:r>
    </w:p>
    <w:p w14:paraId="1D0D3F3B" w14:textId="77777777" w:rsidR="001143C7" w:rsidRPr="001143C7" w:rsidRDefault="001143C7" w:rsidP="001143C7">
      <w:pPr>
        <w:numPr>
          <w:ilvl w:val="0"/>
          <w:numId w:val="23"/>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Se acreditará el vínculo entre la difusión de la información y la afectación del interés jurídico tutelado;</w:t>
      </w:r>
    </w:p>
    <w:p w14:paraId="203F8451" w14:textId="77777777" w:rsidR="001143C7" w:rsidRPr="001143C7" w:rsidRDefault="001143C7" w:rsidP="001143C7">
      <w:pPr>
        <w:numPr>
          <w:ilvl w:val="0"/>
          <w:numId w:val="23"/>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Se precisará las razones objetivas por las que la apertura de la información generaría una afectación, por medio del riesgo real, demostrable e identificable;</w:t>
      </w:r>
    </w:p>
    <w:p w14:paraId="3FC3E5A7" w14:textId="77777777" w:rsidR="001143C7" w:rsidRPr="001143C7" w:rsidRDefault="001143C7" w:rsidP="001143C7">
      <w:pPr>
        <w:numPr>
          <w:ilvl w:val="0"/>
          <w:numId w:val="23"/>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Se deberán señalar las circunstancias de modo, tiempo y lugar del daño, y</w:t>
      </w:r>
    </w:p>
    <w:p w14:paraId="594E036B" w14:textId="77777777" w:rsidR="001143C7" w:rsidRPr="001143C7" w:rsidRDefault="001143C7" w:rsidP="001143C7">
      <w:pPr>
        <w:numPr>
          <w:ilvl w:val="0"/>
          <w:numId w:val="23"/>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Se elegirá la opción de excepción al acceso a la información que menos restrinja, la cual será adecuada y proporcional para la protección del interés público.</w:t>
      </w:r>
    </w:p>
    <w:p w14:paraId="20E61237"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35558280"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iCs/>
          <w:sz w:val="24"/>
          <w:szCs w:val="24"/>
          <w:lang w:val="es-ES" w:eastAsia="es-ES"/>
        </w:rPr>
        <w:t xml:space="preserve">Así, tomando en consideración, las formalidades previstas por la Ley de la Materia, de los Lineamientos Generales y el análisis de las constancias se logra advertir que el Sujeto Obligado, </w:t>
      </w:r>
      <w:r w:rsidRPr="001143C7">
        <w:rPr>
          <w:rFonts w:ascii="Palatino Linotype" w:eastAsia="Times New Roman" w:hAnsi="Palatino Linotype" w:cs="Arial"/>
          <w:bCs/>
          <w:iCs/>
          <w:sz w:val="24"/>
          <w:szCs w:val="24"/>
          <w:lang w:eastAsia="es-ES"/>
        </w:rPr>
        <w:t>no fundamentó, ni motivó la clasificación de la información, por las siguientes consideraciones:</w:t>
      </w:r>
    </w:p>
    <w:p w14:paraId="2C7C3D05"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sz w:val="24"/>
          <w:szCs w:val="24"/>
          <w:lang w:eastAsia="es-ES"/>
        </w:rPr>
      </w:pPr>
    </w:p>
    <w:p w14:paraId="353DBE76" w14:textId="77777777" w:rsidR="001143C7" w:rsidRPr="001143C7" w:rsidRDefault="001143C7" w:rsidP="001143C7">
      <w:pPr>
        <w:numPr>
          <w:ilvl w:val="0"/>
          <w:numId w:val="24"/>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sz w:val="24"/>
          <w:szCs w:val="24"/>
          <w:lang w:eastAsia="es-ES"/>
        </w:rPr>
        <w:t>No señaló los fundamentos específicos aplicables de la Ley de Transparencia y Acceso a la Información Pública del Estado de México y Municipios, la Ley General de Transparencia y Acceso a la Información Pública y Lineamientos Generales.</w:t>
      </w:r>
    </w:p>
    <w:p w14:paraId="1CC07FF3" w14:textId="77777777" w:rsidR="001143C7" w:rsidRPr="001143C7" w:rsidRDefault="001143C7" w:rsidP="001143C7">
      <w:pPr>
        <w:numPr>
          <w:ilvl w:val="0"/>
          <w:numId w:val="24"/>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lastRenderedPageBreak/>
        <w:t>No indicó las razones objetivas, concretas y específicas por las cuales la apertura de la información generaría una afectación que rebase el interés público, pues no realizó ninguna motivación.</w:t>
      </w:r>
    </w:p>
    <w:p w14:paraId="1FF940E8"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383BBD87" w14:textId="77777777" w:rsidR="001143C7" w:rsidRPr="001143C7" w:rsidRDefault="001143C7" w:rsidP="001143C7">
      <w:pPr>
        <w:numPr>
          <w:ilvl w:val="0"/>
          <w:numId w:val="24"/>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 xml:space="preserve">No acreditó el vínculo entre la información peticionada y la afectación que podría ocasionar la entrega de la información. </w:t>
      </w:r>
    </w:p>
    <w:p w14:paraId="66E2B530"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224DE7C7" w14:textId="77777777" w:rsidR="001143C7" w:rsidRPr="001143C7" w:rsidRDefault="001143C7" w:rsidP="001143C7">
      <w:pPr>
        <w:numPr>
          <w:ilvl w:val="0"/>
          <w:numId w:val="24"/>
        </w:num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r w:rsidRPr="001143C7">
        <w:rPr>
          <w:rFonts w:ascii="Palatino Linotype" w:eastAsia="Times New Roman" w:hAnsi="Palatino Linotype" w:cs="Arial"/>
          <w:bCs/>
          <w:iCs/>
          <w:sz w:val="24"/>
          <w:szCs w:val="24"/>
          <w:lang w:val="es-ES" w:eastAsia="es-ES"/>
        </w:rPr>
        <w:t>Omitió señalar, las circunstancias de tiempo, modo y lugar del daño que produciría entregar la información peticionada.</w:t>
      </w:r>
    </w:p>
    <w:p w14:paraId="21C18201"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17A5297F"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Así, se advierte que el Comité</w:t>
      </w:r>
      <w:r w:rsidRPr="001143C7">
        <w:rPr>
          <w:rFonts w:ascii="Palatino Linotype" w:eastAsia="Times New Roman" w:hAnsi="Palatino Linotype" w:cs="Arial"/>
          <w:bCs/>
          <w:sz w:val="24"/>
          <w:szCs w:val="24"/>
          <w:lang w:val="x-none" w:eastAsia="es-ES"/>
        </w:rPr>
        <w:t xml:space="preserve"> de Transparencia</w:t>
      </w:r>
      <w:r w:rsidRPr="001143C7">
        <w:rPr>
          <w:rFonts w:ascii="Palatino Linotype" w:eastAsia="Times New Roman" w:hAnsi="Palatino Linotype" w:cs="Arial"/>
          <w:bCs/>
          <w:sz w:val="24"/>
          <w:szCs w:val="24"/>
          <w:lang w:val="es-ES_tradnl" w:eastAsia="es-ES"/>
        </w:rPr>
        <w:t>, no fundamentó y motivó la reserva, pues no realizaron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p>
    <w:p w14:paraId="3635AB67"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p>
    <w:p w14:paraId="43FD6616"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lastRenderedPageBreak/>
        <w:t>Además, este Instituto considera que la Cédula de Identificación Fiscal no actualiza ninguna de las causales referidas en el artículo 140 de la Ley de Transparencia y Acceso a la Información Pública del Estado de México y Municipios, pues proporcionarla:</w:t>
      </w:r>
    </w:p>
    <w:p w14:paraId="6B422166"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p>
    <w:p w14:paraId="630823DD"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compromete la seguridad pública;</w:t>
      </w:r>
    </w:p>
    <w:p w14:paraId="4A54BF02"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menoscaba la conducción de las negociaciones y relaciones internacionales;</w:t>
      </w:r>
    </w:p>
    <w:p w14:paraId="303094E2"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se proporciona con carácter de reservado por sujetos obligados de derecho internacional;</w:t>
      </w:r>
    </w:p>
    <w:p w14:paraId="52CC5DD2"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pone en riesgo la vida, seguridad o salud de personas;</w:t>
      </w:r>
    </w:p>
    <w:p w14:paraId="05381237"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obstruye, ni perjudica las actividades de fiscalización, verificación, inspección, comprobación, auditoría o de recaudación de contribuciones;</w:t>
      </w:r>
    </w:p>
    <w:p w14:paraId="531F820D"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obstruye la prevención o persecución de delitos;</w:t>
      </w:r>
    </w:p>
    <w:p w14:paraId="7ACCFDCB"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altera el proceso de investigación de carpeta de investigación;</w:t>
      </w:r>
    </w:p>
    <w:p w14:paraId="2531431E"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afecta la conducción de juicios o procedimientos administrativos seguidos en forma de juicio, o bien, el debido proceso;</w:t>
      </w:r>
    </w:p>
    <w:p w14:paraId="6DE89ECD"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afecta la sustanciación de procedimientos de responsabilidad administrativas o resarcitorias, y</w:t>
      </w:r>
    </w:p>
    <w:p w14:paraId="10211490" w14:textId="77777777" w:rsidR="001143C7" w:rsidRPr="001143C7" w:rsidRDefault="001143C7" w:rsidP="001143C7">
      <w:pPr>
        <w:numPr>
          <w:ilvl w:val="0"/>
          <w:numId w:val="25"/>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contiene opiniones, recomendaciones o puntos de vista que formen parte del proceso deliberativo en trámite.</w:t>
      </w:r>
    </w:p>
    <w:p w14:paraId="601E95FA"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val="es-ES_tradnl" w:eastAsia="es-ES"/>
        </w:rPr>
      </w:pPr>
      <w:r w:rsidRPr="001143C7">
        <w:rPr>
          <w:rFonts w:ascii="Palatino Linotype" w:eastAsia="Times New Roman" w:hAnsi="Palatino Linotype" w:cs="Arial"/>
          <w:sz w:val="24"/>
          <w:szCs w:val="24"/>
          <w:lang w:val="es-ES_tradnl" w:eastAsia="es-ES"/>
        </w:rPr>
        <w:lastRenderedPageBreak/>
        <w:t xml:space="preserve"> </w:t>
      </w:r>
    </w:p>
    <w:p w14:paraId="106C8478"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1143C7">
        <w:rPr>
          <w:rFonts w:ascii="Palatino Linotype" w:eastAsia="Times New Roman" w:hAnsi="Palatino Linotype" w:cs="Arial"/>
          <w:sz w:val="24"/>
          <w:szCs w:val="24"/>
          <w:lang w:eastAsia="es-ES"/>
        </w:rPr>
        <w:t>Así</w:t>
      </w:r>
      <w:r w:rsidRPr="001143C7">
        <w:rPr>
          <w:rFonts w:ascii="Palatino Linotype" w:eastAsia="Times New Roman" w:hAnsi="Palatino Linotype" w:cs="Arial"/>
          <w:iCs/>
          <w:sz w:val="24"/>
          <w:szCs w:val="24"/>
          <w:lang w:val="es-ES" w:eastAsia="es-ES"/>
        </w:rPr>
        <w:t>, se consider</w:t>
      </w:r>
      <w:r w:rsidRPr="001143C7">
        <w:rPr>
          <w:rFonts w:ascii="Palatino Linotype" w:eastAsia="Times New Roman" w:hAnsi="Palatino Linotype" w:cs="Arial"/>
          <w:bCs/>
          <w:sz w:val="24"/>
          <w:szCs w:val="24"/>
          <w:lang w:val="es-ES" w:eastAsia="es-ES"/>
        </w:rPr>
        <w:t xml:space="preserve">a que para atender el requerimiento de información, el Sujeto Obligado deberá realizar una búsqueda exhaustiva y razonable en los archivos de la Tesorería Municipal, a fin de que proporcione el documento que contenga la Cédula de Identificación Fiscal, como puede ser la Constancia de Situación Fiscal;  </w:t>
      </w:r>
      <w:r w:rsidRPr="001143C7">
        <w:rPr>
          <w:rFonts w:ascii="Palatino Linotype" w:eastAsia="Times New Roman" w:hAnsi="Palatino Linotype" w:cs="Arial"/>
          <w:sz w:val="24"/>
          <w:szCs w:val="24"/>
          <w:lang w:val="es-ES" w:eastAsia="es-ES"/>
        </w:rPr>
        <w:t>d</w:t>
      </w:r>
      <w:r w:rsidRPr="001143C7">
        <w:rPr>
          <w:rFonts w:ascii="Palatino Linotype" w:eastAsia="Times New Roman" w:hAnsi="Palatino Linotype" w:cs="Arial"/>
          <w:bCs/>
          <w:sz w:val="24"/>
          <w:szCs w:val="24"/>
          <w:lang w:eastAsia="es-ES"/>
        </w:rPr>
        <w:t>icha</w:t>
      </w:r>
      <w:r w:rsidRPr="001143C7">
        <w:rPr>
          <w:rFonts w:ascii="Palatino Linotype" w:eastAsia="Times New Roman" w:hAnsi="Palatino Linotype" w:cs="Arial"/>
          <w:bCs/>
          <w:iCs/>
          <w:sz w:val="24"/>
          <w:szCs w:val="24"/>
          <w:lang w:val="es-ES" w:eastAsia="es-ES"/>
        </w:rPr>
        <w:t xml:space="preserve"> determinación toma relevancia, pues </w:t>
      </w:r>
      <w:r w:rsidRPr="001143C7">
        <w:rPr>
          <w:rFonts w:ascii="Palatino Linotype" w:eastAsia="Times New Roman" w:hAnsi="Palatino Linotype" w:cs="Arial"/>
          <w:sz w:val="24"/>
          <w:szCs w:val="24"/>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E22B19B"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eastAsia="es-ES"/>
        </w:rPr>
      </w:pPr>
    </w:p>
    <w:p w14:paraId="04046220" w14:textId="77777777" w:rsidR="001143C7" w:rsidRPr="001143C7" w:rsidRDefault="001143C7" w:rsidP="001143C7">
      <w:pPr>
        <w:autoSpaceDE w:val="0"/>
        <w:autoSpaceDN w:val="0"/>
        <w:adjustRightInd w:val="0"/>
        <w:spacing w:before="240" w:after="0" w:line="360" w:lineRule="auto"/>
        <w:jc w:val="both"/>
        <w:rPr>
          <w:rFonts w:ascii="Palatino Linotype" w:eastAsia="Times New Roman" w:hAnsi="Palatino Linotype" w:cs="Arial"/>
          <w:sz w:val="24"/>
          <w:szCs w:val="24"/>
          <w:lang w:eastAsia="es-ES"/>
        </w:rPr>
      </w:pPr>
      <w:r w:rsidRPr="001143C7">
        <w:rPr>
          <w:rFonts w:ascii="Palatino Linotype" w:eastAsia="Times New Roman" w:hAnsi="Palatino Linotype" w:cs="Arial"/>
          <w:sz w:val="24"/>
          <w:szCs w:val="24"/>
          <w:lang w:eastAsia="es-ES"/>
        </w:rPr>
        <w:t xml:space="preserve">De esta manera, </w:t>
      </w:r>
      <w:r w:rsidRPr="001143C7">
        <w:rPr>
          <w:rFonts w:ascii="Palatino Linotype" w:eastAsia="Times New Roman" w:hAnsi="Palatino Linotype" w:cs="Arial"/>
          <w:sz w:val="24"/>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1143C7">
        <w:rPr>
          <w:rFonts w:ascii="Palatino Linotype" w:eastAsia="Times New Roman" w:hAnsi="Palatino Linotype" w:cs="Arial"/>
          <w:i/>
          <w:sz w:val="24"/>
          <w:szCs w:val="24"/>
          <w:lang w:eastAsia="es-ES"/>
        </w:rPr>
        <w:t>ad hoc</w:t>
      </w:r>
      <w:r w:rsidRPr="001143C7">
        <w:rPr>
          <w:rFonts w:ascii="Palatino Linotype" w:eastAsia="Times New Roman" w:hAnsi="Palatino Linotype" w:cs="Arial"/>
          <w:sz w:val="24"/>
          <w:szCs w:val="24"/>
          <w:lang w:eastAsia="es-ES"/>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37351ECC" w14:textId="77777777" w:rsidR="00E171A6" w:rsidRDefault="00E171A6" w:rsidP="007F0D3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0BEB424B" w14:textId="77777777" w:rsidR="007F0D36" w:rsidRDefault="001143C7" w:rsidP="007F0D3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1143C7">
        <w:rPr>
          <w:rFonts w:ascii="Palatino Linotype" w:eastAsia="Times New Roman" w:hAnsi="Palatino Linotype" w:cs="Arial"/>
          <w:sz w:val="24"/>
          <w:szCs w:val="24"/>
          <w:lang w:val="es-ES" w:eastAsia="es-ES"/>
        </w:rPr>
        <w:t xml:space="preserve">De tales circunstancias, se concluye que los sujetos obligados únicamente se encuentran constreñidos a proporcionar los documentos que den cuenta de la </w:t>
      </w:r>
      <w:r w:rsidRPr="001143C7">
        <w:rPr>
          <w:rFonts w:ascii="Palatino Linotype" w:eastAsia="Times New Roman" w:hAnsi="Palatino Linotype" w:cs="Arial"/>
          <w:sz w:val="24"/>
          <w:szCs w:val="24"/>
          <w:lang w:val="es-ES" w:eastAsia="es-ES"/>
        </w:rPr>
        <w:lastRenderedPageBreak/>
        <w:t>información solicitada, como obren en sus archivos, sin tener que elaborarlos a las necesidades del Recurrente; por lo que, en el presente caso, deberá proporcionar el documento que contenga lo peticionado.</w:t>
      </w:r>
    </w:p>
    <w:p w14:paraId="5B5AE3FA" w14:textId="77777777" w:rsidR="00E171A6" w:rsidRPr="00CD0D60" w:rsidRDefault="00E171A6" w:rsidP="00E171A6">
      <w:pPr>
        <w:spacing w:after="0" w:line="360" w:lineRule="auto"/>
        <w:jc w:val="both"/>
        <w:rPr>
          <w:rFonts w:ascii="Palatino Linotype" w:eastAsia="Palatino Linotype" w:hAnsi="Palatino Linotype" w:cs="Palatino Linotype"/>
          <w:sz w:val="24"/>
          <w:szCs w:val="24"/>
          <w:lang w:val="es-ES_tradnl" w:eastAsia="es-MX"/>
        </w:rPr>
      </w:pPr>
    </w:p>
    <w:p w14:paraId="48E8D885"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D0D60">
        <w:rPr>
          <w:rFonts w:ascii="Palatino Linotype" w:eastAsia="Palatino Linotype" w:hAnsi="Palatino Linotype" w:cs="Palatino Linotype"/>
          <w:color w:val="000000"/>
          <w:sz w:val="24"/>
          <w:szCs w:val="24"/>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CD0D60">
        <w:rPr>
          <w:rFonts w:ascii="Palatino Linotype" w:eastAsia="Palatino Linotype" w:hAnsi="Palatino Linotype" w:cs="Palatino Linotype"/>
          <w:b/>
          <w:color w:val="000000"/>
          <w:sz w:val="24"/>
          <w:szCs w:val="24"/>
          <w:lang w:val="es-ES_tradnl" w:eastAsia="es-MX"/>
        </w:rPr>
        <w:t xml:space="preserve">con fundamento en la </w:t>
      </w:r>
      <w:r>
        <w:rPr>
          <w:rFonts w:ascii="Palatino Linotype" w:eastAsia="Palatino Linotype" w:hAnsi="Palatino Linotype" w:cs="Palatino Linotype"/>
          <w:b/>
          <w:color w:val="000000"/>
          <w:sz w:val="24"/>
          <w:szCs w:val="24"/>
          <w:lang w:val="es-ES_tradnl" w:eastAsia="es-MX"/>
        </w:rPr>
        <w:t>primera</w:t>
      </w:r>
      <w:r w:rsidRPr="00CD0D60">
        <w:rPr>
          <w:rFonts w:ascii="Palatino Linotype" w:eastAsia="Palatino Linotype" w:hAnsi="Palatino Linotype" w:cs="Palatino Linotype"/>
          <w:b/>
          <w:color w:val="000000"/>
          <w:sz w:val="24"/>
          <w:szCs w:val="24"/>
          <w:lang w:val="es-ES_tradnl" w:eastAsia="es-MX"/>
        </w:rPr>
        <w:t xml:space="preserve"> hipótesis de la fracción III del artículo 186 </w:t>
      </w:r>
      <w:r w:rsidRPr="00CD0D60">
        <w:rPr>
          <w:rFonts w:ascii="Palatino Linotype" w:eastAsia="Palatino Linotype" w:hAnsi="Palatino Linotype" w:cs="Palatino Linotype"/>
          <w:color w:val="000000"/>
          <w:sz w:val="24"/>
          <w:szCs w:val="24"/>
          <w:lang w:val="es-ES_tradnl" w:eastAsia="es-MX"/>
        </w:rPr>
        <w:t xml:space="preserve">de la Ley de Transparencia y Acceso a la Información Pública del Estado de México y Municipios, se </w:t>
      </w:r>
      <w:r>
        <w:rPr>
          <w:rFonts w:ascii="Palatino Linotype" w:eastAsia="Palatino Linotype" w:hAnsi="Palatino Linotype" w:cs="Palatino Linotype"/>
          <w:b/>
          <w:color w:val="000000"/>
          <w:sz w:val="24"/>
          <w:szCs w:val="24"/>
          <w:lang w:val="es-ES_tradnl" w:eastAsia="es-MX"/>
        </w:rPr>
        <w:t>REVO</w:t>
      </w:r>
      <w:r w:rsidRPr="00CD0D60">
        <w:rPr>
          <w:rFonts w:ascii="Palatino Linotype" w:eastAsia="Palatino Linotype" w:hAnsi="Palatino Linotype" w:cs="Palatino Linotype"/>
          <w:b/>
          <w:color w:val="000000"/>
          <w:sz w:val="24"/>
          <w:szCs w:val="24"/>
          <w:lang w:val="es-ES_tradnl" w:eastAsia="es-MX"/>
        </w:rPr>
        <w:t xml:space="preserve">CA </w:t>
      </w:r>
      <w:r w:rsidRPr="00CD0D60">
        <w:rPr>
          <w:rFonts w:ascii="Palatino Linotype" w:eastAsia="Palatino Linotype" w:hAnsi="Palatino Linotype" w:cs="Palatino Linotype"/>
          <w:color w:val="000000"/>
          <w:sz w:val="24"/>
          <w:szCs w:val="24"/>
          <w:lang w:val="es-ES_tradnl" w:eastAsia="es-MX"/>
        </w:rPr>
        <w:t>la respuesta a la solicitud de información número</w:t>
      </w:r>
      <w:r w:rsidRPr="00CD0D60">
        <w:rPr>
          <w:rFonts w:ascii="Palatino Linotype" w:eastAsia="Palatino Linotype" w:hAnsi="Palatino Linotype" w:cs="Palatino Linotype"/>
          <w:b/>
          <w:color w:val="000000"/>
          <w:sz w:val="24"/>
          <w:szCs w:val="24"/>
          <w:lang w:val="es-ES_tradnl" w:eastAsia="es-MX"/>
        </w:rPr>
        <w:t xml:space="preserve"> </w:t>
      </w:r>
      <w:r>
        <w:rPr>
          <w:rFonts w:ascii="Palatino Linotype" w:eastAsia="Palatino Linotype" w:hAnsi="Palatino Linotype" w:cs="Palatino Linotype"/>
          <w:b/>
          <w:bCs/>
          <w:color w:val="000000"/>
          <w:sz w:val="24"/>
          <w:szCs w:val="24"/>
          <w:lang w:val="es-ES_tradnl" w:eastAsia="es-MX"/>
        </w:rPr>
        <w:t>00037/SULTEPEC/IP/2024</w:t>
      </w:r>
      <w:r w:rsidRPr="00CD0D60">
        <w:rPr>
          <w:rFonts w:ascii="Palatino Linotype" w:eastAsia="Palatino Linotype" w:hAnsi="Palatino Linotype" w:cs="Palatino Linotype"/>
          <w:color w:val="000000"/>
          <w:sz w:val="24"/>
          <w:szCs w:val="24"/>
          <w:lang w:val="es-ES_tradnl" w:eastAsia="es-MX"/>
        </w:rPr>
        <w:t>, que ha sido materia del presente estudio.</w:t>
      </w:r>
    </w:p>
    <w:p w14:paraId="27C732F8"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1FFB26F7"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D0D60">
        <w:rPr>
          <w:rFonts w:ascii="Palatino Linotype" w:eastAsia="Palatino Linotype" w:hAnsi="Palatino Linotype" w:cs="Palatino Linotype"/>
          <w:color w:val="000000"/>
          <w:sz w:val="24"/>
          <w:szCs w:val="24"/>
          <w:lang w:val="es-ES_tradnl" w:eastAsia="es-MX"/>
        </w:rPr>
        <w:t>Por lo antes expuesto y fundado es de resolverse y,</w:t>
      </w:r>
    </w:p>
    <w:p w14:paraId="0112A787"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43B198B2" w14:textId="77777777" w:rsidR="00E171A6" w:rsidRPr="00CD0D60" w:rsidRDefault="00E171A6" w:rsidP="00E171A6">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val="es-ES_tradnl" w:eastAsia="es-MX"/>
        </w:rPr>
      </w:pPr>
      <w:r w:rsidRPr="00CD0D60">
        <w:rPr>
          <w:rFonts w:ascii="Palatino Linotype" w:eastAsia="Palatino Linotype" w:hAnsi="Palatino Linotype" w:cs="Palatino Linotype"/>
          <w:b/>
          <w:color w:val="000000"/>
          <w:sz w:val="28"/>
          <w:szCs w:val="28"/>
          <w:lang w:val="es-ES_tradnl" w:eastAsia="es-MX"/>
        </w:rPr>
        <w:t>S E    R E S U E L V E</w:t>
      </w:r>
    </w:p>
    <w:p w14:paraId="0F3BB66A"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00D1C5F8"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PRIMERO.</w:t>
      </w:r>
      <w:r w:rsidRPr="00CD0D60">
        <w:rPr>
          <w:rFonts w:ascii="Palatino Linotype" w:eastAsia="Palatino Linotype" w:hAnsi="Palatino Linotype" w:cs="Palatino Linotype"/>
          <w:color w:val="000000"/>
          <w:sz w:val="24"/>
          <w:szCs w:val="24"/>
          <w:lang w:val="es-ES_tradnl" w:eastAsia="es-MX"/>
        </w:rPr>
        <w:t xml:space="preserve"> Se </w:t>
      </w:r>
      <w:r>
        <w:rPr>
          <w:rFonts w:ascii="Palatino Linotype" w:eastAsia="Palatino Linotype" w:hAnsi="Palatino Linotype" w:cs="Palatino Linotype"/>
          <w:b/>
          <w:color w:val="000000"/>
          <w:sz w:val="26"/>
          <w:szCs w:val="26"/>
          <w:lang w:val="es-ES_tradnl" w:eastAsia="es-MX"/>
        </w:rPr>
        <w:t>REVO</w:t>
      </w:r>
      <w:r w:rsidRPr="00B40D75">
        <w:rPr>
          <w:rFonts w:ascii="Palatino Linotype" w:eastAsia="Palatino Linotype" w:hAnsi="Palatino Linotype" w:cs="Palatino Linotype"/>
          <w:b/>
          <w:color w:val="000000"/>
          <w:sz w:val="26"/>
          <w:szCs w:val="26"/>
          <w:lang w:val="es-ES_tradnl" w:eastAsia="es-MX"/>
        </w:rPr>
        <w:t>CA</w:t>
      </w:r>
      <w:r w:rsidRPr="00CD0D60">
        <w:rPr>
          <w:rFonts w:ascii="Palatino Linotype" w:eastAsia="Palatino Linotype" w:hAnsi="Palatino Linotype" w:cs="Palatino Linotype"/>
          <w:color w:val="000000"/>
          <w:sz w:val="24"/>
          <w:szCs w:val="24"/>
          <w:lang w:val="es-ES_tradnl" w:eastAsia="es-MX"/>
        </w:rPr>
        <w:t xml:space="preserve"> la respuesta entregada por el Sujeto Obligado</w:t>
      </w:r>
      <w:r w:rsidRPr="00CD0D60">
        <w:rPr>
          <w:rFonts w:ascii="Palatino Linotype" w:eastAsia="Palatino Linotype" w:hAnsi="Palatino Linotype" w:cs="Palatino Linotype"/>
          <w:b/>
          <w:color w:val="000000"/>
          <w:sz w:val="24"/>
          <w:szCs w:val="24"/>
          <w:lang w:val="es-ES_tradnl" w:eastAsia="es-MX"/>
        </w:rPr>
        <w:t xml:space="preserve"> </w:t>
      </w:r>
      <w:r w:rsidRPr="00CD0D60">
        <w:rPr>
          <w:rFonts w:ascii="Palatino Linotype" w:eastAsia="Palatino Linotype" w:hAnsi="Palatino Linotype" w:cs="Palatino Linotype"/>
          <w:color w:val="000000"/>
          <w:sz w:val="24"/>
          <w:szCs w:val="24"/>
          <w:lang w:val="es-ES_tradnl" w:eastAsia="es-MX"/>
        </w:rPr>
        <w:t xml:space="preserve">a la solicitud de información número </w:t>
      </w:r>
      <w:r>
        <w:rPr>
          <w:rFonts w:ascii="Palatino Linotype" w:eastAsia="Palatino Linotype" w:hAnsi="Palatino Linotype" w:cs="Palatino Linotype"/>
          <w:b/>
          <w:bCs/>
          <w:color w:val="000000"/>
          <w:sz w:val="24"/>
          <w:szCs w:val="24"/>
          <w:lang w:val="es-ES_tradnl" w:eastAsia="es-MX"/>
        </w:rPr>
        <w:t>00037/SULTEPEC/IP/2024</w:t>
      </w:r>
      <w:r w:rsidRPr="00CD0D60">
        <w:rPr>
          <w:rFonts w:ascii="Palatino Linotype" w:eastAsia="Palatino Linotype" w:hAnsi="Palatino Linotype" w:cs="Palatino Linotype"/>
          <w:color w:val="000000"/>
          <w:sz w:val="24"/>
          <w:szCs w:val="24"/>
          <w:lang w:val="es-ES_tradnl" w:eastAsia="es-MX"/>
        </w:rPr>
        <w:t xml:space="preserve">, por resultar fundados los motivos de inconformidad </w:t>
      </w:r>
      <w:r>
        <w:rPr>
          <w:rFonts w:ascii="Palatino Linotype" w:eastAsia="Palatino Linotype" w:hAnsi="Palatino Linotype" w:cs="Palatino Linotype"/>
          <w:color w:val="000000"/>
          <w:sz w:val="24"/>
          <w:szCs w:val="24"/>
          <w:lang w:val="es-ES_tradnl" w:eastAsia="es-MX"/>
        </w:rPr>
        <w:t>planteados</w:t>
      </w:r>
      <w:r w:rsidRPr="00CD0D60">
        <w:rPr>
          <w:rFonts w:ascii="Palatino Linotype" w:eastAsia="Palatino Linotype" w:hAnsi="Palatino Linotype" w:cs="Palatino Linotype"/>
          <w:color w:val="000000"/>
          <w:sz w:val="24"/>
          <w:szCs w:val="24"/>
          <w:lang w:val="es-ES_tradnl" w:eastAsia="es-MX"/>
        </w:rPr>
        <w:t xml:space="preserve"> por el Recurrente, en términos del</w:t>
      </w:r>
      <w:r w:rsidRPr="00CD0D60">
        <w:rPr>
          <w:rFonts w:ascii="Palatino Linotype" w:eastAsia="Palatino Linotype" w:hAnsi="Palatino Linotype" w:cs="Palatino Linotype"/>
          <w:b/>
          <w:color w:val="000000"/>
          <w:sz w:val="24"/>
          <w:szCs w:val="24"/>
          <w:lang w:val="es-ES_tradnl" w:eastAsia="es-MX"/>
        </w:rPr>
        <w:t xml:space="preserve"> Considerando CUARTO </w:t>
      </w:r>
      <w:r w:rsidRPr="00CD0D60">
        <w:rPr>
          <w:rFonts w:ascii="Palatino Linotype" w:eastAsia="Palatino Linotype" w:hAnsi="Palatino Linotype" w:cs="Palatino Linotype"/>
          <w:color w:val="000000"/>
          <w:sz w:val="24"/>
          <w:szCs w:val="24"/>
          <w:lang w:val="es-ES_tradnl" w:eastAsia="es-MX"/>
        </w:rPr>
        <w:t xml:space="preserve">de la presente resolución. </w:t>
      </w:r>
    </w:p>
    <w:p w14:paraId="0AA47D2F"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63632F7E"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SEGUNDO.</w:t>
      </w:r>
      <w:r w:rsidRPr="00CD0D60">
        <w:rPr>
          <w:rFonts w:ascii="Palatino Linotype" w:eastAsia="Palatino Linotype" w:hAnsi="Palatino Linotype" w:cs="Palatino Linotype"/>
          <w:color w:val="000000"/>
          <w:sz w:val="24"/>
          <w:szCs w:val="24"/>
          <w:lang w:val="es-ES_tradnl" w:eastAsia="es-MX"/>
        </w:rPr>
        <w:t xml:space="preserve"> Se </w:t>
      </w:r>
      <w:r w:rsidRPr="00CD0D60">
        <w:rPr>
          <w:rFonts w:ascii="Palatino Linotype" w:eastAsia="Palatino Linotype" w:hAnsi="Palatino Linotype" w:cs="Palatino Linotype"/>
          <w:b/>
          <w:color w:val="000000"/>
          <w:sz w:val="24"/>
          <w:szCs w:val="24"/>
          <w:lang w:val="es-ES_tradnl" w:eastAsia="es-MX"/>
        </w:rPr>
        <w:t>ORDENA</w:t>
      </w:r>
      <w:r w:rsidRPr="00CD0D60">
        <w:rPr>
          <w:rFonts w:ascii="Palatino Linotype" w:eastAsia="Palatino Linotype" w:hAnsi="Palatino Linotype" w:cs="Palatino Linotype"/>
          <w:color w:val="000000"/>
          <w:sz w:val="24"/>
          <w:szCs w:val="24"/>
          <w:lang w:val="es-ES_tradnl" w:eastAsia="es-MX"/>
        </w:rPr>
        <w:t xml:space="preserve"> al Sujeto Obligado que haga entrega </w:t>
      </w:r>
      <w:r>
        <w:rPr>
          <w:rFonts w:ascii="Palatino Linotype" w:eastAsia="Palatino Linotype" w:hAnsi="Palatino Linotype" w:cs="Palatino Linotype"/>
          <w:color w:val="000000"/>
          <w:sz w:val="24"/>
          <w:szCs w:val="24"/>
          <w:lang w:val="es-ES_tradnl" w:eastAsia="es-MX"/>
        </w:rPr>
        <w:t>a</w:t>
      </w:r>
      <w:r w:rsidRPr="00CD0D60">
        <w:rPr>
          <w:rFonts w:ascii="Palatino Linotype" w:eastAsia="Palatino Linotype" w:hAnsi="Palatino Linotype" w:cs="Palatino Linotype"/>
          <w:color w:val="000000"/>
          <w:sz w:val="24"/>
          <w:szCs w:val="24"/>
          <w:lang w:val="es-ES_tradnl" w:eastAsia="es-MX"/>
        </w:rPr>
        <w:t>l Recurrente mediante el Sistema de Acceso a la I</w:t>
      </w:r>
      <w:r>
        <w:rPr>
          <w:rFonts w:ascii="Palatino Linotype" w:eastAsia="Palatino Linotype" w:hAnsi="Palatino Linotype" w:cs="Palatino Linotype"/>
          <w:color w:val="000000"/>
          <w:sz w:val="24"/>
          <w:szCs w:val="24"/>
          <w:lang w:val="es-ES_tradnl" w:eastAsia="es-MX"/>
        </w:rPr>
        <w:t>nformación Mexiquense (SAIMEX)</w:t>
      </w:r>
      <w:r w:rsidRPr="00CD0D60">
        <w:rPr>
          <w:rFonts w:ascii="Palatino Linotype" w:eastAsia="Palatino Linotype" w:hAnsi="Palatino Linotype" w:cs="Palatino Linotype"/>
          <w:color w:val="000000"/>
          <w:sz w:val="24"/>
          <w:szCs w:val="24"/>
          <w:lang w:val="es-ES_tradnl" w:eastAsia="es-MX"/>
        </w:rPr>
        <w:t xml:space="preserve">, </w:t>
      </w:r>
      <w:r>
        <w:rPr>
          <w:rFonts w:ascii="Palatino Linotype" w:eastAsia="Palatino Linotype" w:hAnsi="Palatino Linotype" w:cs="Palatino Linotype"/>
          <w:color w:val="000000"/>
          <w:sz w:val="24"/>
          <w:szCs w:val="24"/>
          <w:lang w:val="es-ES_tradnl" w:eastAsia="es-MX"/>
        </w:rPr>
        <w:t xml:space="preserve">en versión íntegra </w:t>
      </w:r>
      <w:r w:rsidRPr="00CD0D60">
        <w:rPr>
          <w:rFonts w:ascii="Palatino Linotype" w:eastAsia="Palatino Linotype" w:hAnsi="Palatino Linotype" w:cs="Palatino Linotype"/>
          <w:color w:val="000000"/>
          <w:sz w:val="24"/>
          <w:szCs w:val="24"/>
          <w:lang w:val="es-ES_tradnl" w:eastAsia="es-MX"/>
        </w:rPr>
        <w:t xml:space="preserve">y en términos del </w:t>
      </w:r>
      <w:r w:rsidRPr="00CD0D60">
        <w:rPr>
          <w:rFonts w:ascii="Palatino Linotype" w:eastAsia="Palatino Linotype" w:hAnsi="Palatino Linotype" w:cs="Palatino Linotype"/>
          <w:b/>
          <w:color w:val="000000"/>
          <w:sz w:val="24"/>
          <w:szCs w:val="24"/>
          <w:lang w:val="es-ES_tradnl" w:eastAsia="es-MX"/>
        </w:rPr>
        <w:t>Considerando CUARTO</w:t>
      </w:r>
      <w:r w:rsidRPr="00CD0D60">
        <w:rPr>
          <w:rFonts w:ascii="Palatino Linotype" w:eastAsia="Palatino Linotype" w:hAnsi="Palatino Linotype" w:cs="Palatino Linotype"/>
          <w:color w:val="000000"/>
          <w:sz w:val="24"/>
          <w:szCs w:val="24"/>
          <w:lang w:val="es-ES_tradnl" w:eastAsia="es-MX"/>
        </w:rPr>
        <w:t xml:space="preserve">, de lo siguiente: </w:t>
      </w:r>
    </w:p>
    <w:p w14:paraId="6F21DBAF"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00F5C81B" w14:textId="77777777" w:rsidR="00E171A6" w:rsidRDefault="00E171A6" w:rsidP="00E171A6">
      <w:pPr>
        <w:pStyle w:val="Citas"/>
        <w:numPr>
          <w:ilvl w:val="0"/>
          <w:numId w:val="26"/>
        </w:numPr>
        <w:tabs>
          <w:tab w:val="left" w:pos="7470"/>
        </w:tabs>
        <w:ind w:right="72"/>
        <w:rPr>
          <w:bCs/>
          <w:i w:val="0"/>
          <w:sz w:val="24"/>
          <w:szCs w:val="24"/>
        </w:rPr>
      </w:pPr>
      <w:r>
        <w:rPr>
          <w:bCs/>
          <w:i w:val="0"/>
          <w:sz w:val="24"/>
          <w:szCs w:val="24"/>
        </w:rPr>
        <w:t xml:space="preserve">Documento que dé cuenta del RFC </w:t>
      </w:r>
      <w:r w:rsidRPr="00E171A6">
        <w:rPr>
          <w:bCs/>
          <w:i w:val="0"/>
          <w:iCs/>
          <w:sz w:val="24"/>
          <w:szCs w:val="24"/>
          <w:lang w:val="es-ES_tradnl"/>
        </w:rPr>
        <w:t>del Ayuntamiento</w:t>
      </w:r>
      <w:r>
        <w:rPr>
          <w:bCs/>
          <w:i w:val="0"/>
          <w:iCs/>
          <w:sz w:val="24"/>
          <w:szCs w:val="24"/>
          <w:lang w:val="es-ES_tradnl"/>
        </w:rPr>
        <w:t xml:space="preserve"> de Sultepec</w:t>
      </w:r>
      <w:r w:rsidRPr="00E171A6">
        <w:rPr>
          <w:bCs/>
          <w:i w:val="0"/>
          <w:iCs/>
          <w:sz w:val="24"/>
          <w:szCs w:val="24"/>
          <w:lang w:val="es-ES_tradnl"/>
        </w:rPr>
        <w:t xml:space="preserve">, vigente al </w:t>
      </w:r>
      <w:r>
        <w:rPr>
          <w:bCs/>
          <w:i w:val="0"/>
          <w:iCs/>
          <w:sz w:val="24"/>
          <w:szCs w:val="24"/>
          <w:lang w:val="es-ES_tradnl"/>
        </w:rPr>
        <w:t>veintidós</w:t>
      </w:r>
      <w:r w:rsidRPr="00E171A6">
        <w:rPr>
          <w:bCs/>
          <w:i w:val="0"/>
          <w:iCs/>
          <w:sz w:val="24"/>
          <w:szCs w:val="24"/>
          <w:lang w:val="es-ES_tradnl"/>
        </w:rPr>
        <w:t xml:space="preserve"> de abril de dos mil veinticuatro.</w:t>
      </w:r>
    </w:p>
    <w:p w14:paraId="700A6D47" w14:textId="77777777" w:rsidR="00E171A6" w:rsidRPr="00CD0D60" w:rsidRDefault="00E171A6" w:rsidP="00E171A6">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lang w:val="es-ES_tradnl" w:eastAsia="es-MX"/>
        </w:rPr>
      </w:pPr>
    </w:p>
    <w:p w14:paraId="5B0F22D8"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eastAsia="es-MX"/>
        </w:rPr>
      </w:pPr>
    </w:p>
    <w:p w14:paraId="6EB8ACFB" w14:textId="77777777" w:rsidR="00E171A6" w:rsidRPr="0055568C"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TERCERO.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la presente resolución al Titular de la Unidad de Transparencia del Sujeto Obligado</w:t>
      </w:r>
      <w:r>
        <w:rPr>
          <w:rFonts w:ascii="Palatino Linotype" w:eastAsia="Palatino Linotype" w:hAnsi="Palatino Linotype" w:cs="Palatino Linotype"/>
          <w:color w:val="000000"/>
          <w:sz w:val="24"/>
          <w:szCs w:val="24"/>
          <w:lang w:val="es-ES_tradnl" w:eastAsia="es-MX"/>
        </w:rPr>
        <w:t xml:space="preserve"> </w:t>
      </w:r>
      <w:r w:rsidRPr="00507EB2">
        <w:rPr>
          <w:rFonts w:ascii="Palatino Linotype" w:hAnsi="Palatino Linotype" w:cs="Arial"/>
          <w:sz w:val="24"/>
          <w:szCs w:val="24"/>
          <w:lang w:val="es-ES" w:eastAsia="es-ES"/>
        </w:rPr>
        <w:t xml:space="preserve">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CD0D60">
        <w:rPr>
          <w:rFonts w:ascii="Palatino Linotype" w:eastAsia="Palatino Linotype" w:hAnsi="Palatino Linotype" w:cs="Palatino Linotype"/>
          <w:color w:val="000000"/>
          <w:sz w:val="24"/>
          <w:szCs w:val="24"/>
          <w:lang w:val="es-ES_tradnl" w:eastAsia="es-MX"/>
        </w:rPr>
        <w:t xml:space="preserve">, para que conforme al artículo 186 último párrafo, 189 segundo párrafo y 194 de la Ley de Transparencia y Acceso a la Información Pública del Estado de México y Municipios; dé cumplimiento a lo ordenado dentro del plazo de </w:t>
      </w:r>
      <w:r w:rsidRPr="0076094F">
        <w:rPr>
          <w:rFonts w:ascii="Palatino Linotype" w:eastAsia="Palatino Linotype" w:hAnsi="Palatino Linotype" w:cs="Palatino Linotype"/>
          <w:b/>
          <w:color w:val="000000"/>
          <w:sz w:val="24"/>
          <w:szCs w:val="24"/>
          <w:lang w:val="es-ES_tradnl" w:eastAsia="es-MX"/>
        </w:rPr>
        <w:t>diez días hábiles</w:t>
      </w:r>
      <w:r w:rsidRPr="00CD0D60">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CD0D60">
        <w:rPr>
          <w:rFonts w:ascii="Palatino Linotype" w:eastAsia="Palatino Linotype" w:hAnsi="Palatino Linotype" w:cs="Palatino Linotype"/>
          <w:b/>
          <w:color w:val="000000"/>
          <w:sz w:val="24"/>
          <w:szCs w:val="24"/>
          <w:lang w:val="es-ES_tradnl" w:eastAsia="es-MX"/>
        </w:rPr>
        <w:t xml:space="preserve">, </w:t>
      </w:r>
      <w:r w:rsidRPr="00E24C8E">
        <w:rPr>
          <w:rFonts w:ascii="Palatino Linotype" w:eastAsia="Palatino Linotype" w:hAnsi="Palatino Linotype" w:cs="Palatino Linotype"/>
          <w:b/>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D10455"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16A00121"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 xml:space="preserve">CUARTO. </w:t>
      </w:r>
      <w:r w:rsidRPr="00CD0D60">
        <w:rPr>
          <w:rFonts w:ascii="Palatino Linotype" w:eastAsia="Palatino Linotype" w:hAnsi="Palatino Linotype" w:cs="Palatino Linotype"/>
          <w:color w:val="000000"/>
          <w:sz w:val="24"/>
          <w:szCs w:val="24"/>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3581713" w14:textId="77777777" w:rsidR="00E171A6" w:rsidRPr="00CD0D60" w:rsidRDefault="00E171A6" w:rsidP="00E171A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14:paraId="1FE167B0" w14:textId="1F5C8A51" w:rsidR="001143C7" w:rsidRDefault="00E171A6" w:rsidP="00F00DA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lastRenderedPageBreak/>
        <w:t>QUINTO.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 xml:space="preserve">la presente resolución al Recurrente mediante el </w:t>
      </w:r>
      <w:r w:rsidRPr="000C43DE">
        <w:rPr>
          <w:rFonts w:ascii="Palatino Linotype" w:eastAsia="Palatino Linotype" w:hAnsi="Palatino Linotype" w:cs="Palatino Linotype"/>
          <w:b/>
          <w:color w:val="000000"/>
          <w:sz w:val="24"/>
          <w:szCs w:val="24"/>
          <w:lang w:val="es-ES_tradnl" w:eastAsia="es-MX"/>
        </w:rPr>
        <w:t>Sistema de Acceso a la Información Mexiquense (SAIMEX)</w:t>
      </w:r>
      <w:r w:rsidRPr="00CD0D60">
        <w:rPr>
          <w:rFonts w:ascii="Palatino Linotype" w:eastAsia="Palatino Linotype" w:hAnsi="Palatino Linotype" w:cs="Palatino Linotype"/>
          <w:color w:val="000000"/>
          <w:sz w:val="24"/>
          <w:szCs w:val="24"/>
          <w:lang w:val="es-ES_tradnl" w:eastAsia="es-MX"/>
        </w:rPr>
        <w:t xml:space="preserve">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0E6BDA96" w14:textId="77777777" w:rsidR="00F00DAA" w:rsidRPr="00F00DAA" w:rsidRDefault="00F00DAA" w:rsidP="00F00DA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25538D53" w14:textId="44A394A0" w:rsidR="007F0D36" w:rsidRDefault="007F0D36" w:rsidP="00F00DAA">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sidR="00DE574D">
        <w:rPr>
          <w:rFonts w:ascii="Palatino Linotype" w:hAnsi="Palatino Linotype" w:cs="Arial"/>
          <w:sz w:val="24"/>
        </w:rPr>
        <w:t xml:space="preserve"> (AUSENCIA JUSTIFICADA)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Pr>
          <w:rFonts w:ascii="Palatino Linotype" w:hAnsi="Palatino Linotype" w:cs="Arial"/>
          <w:sz w:val="24"/>
        </w:rPr>
        <w:t>VIGÉ</w:t>
      </w:r>
      <w:r w:rsidR="00457C7A">
        <w:rPr>
          <w:rFonts w:ascii="Palatino Linotype" w:hAnsi="Palatino Linotype" w:cs="Arial"/>
          <w:sz w:val="24"/>
        </w:rPr>
        <w:t>S</w:t>
      </w:r>
      <w:r>
        <w:rPr>
          <w:rFonts w:ascii="Palatino Linotype" w:hAnsi="Palatino Linotype" w:cs="Arial"/>
          <w:sz w:val="24"/>
        </w:rPr>
        <w:t xml:space="preserve">IMA </w:t>
      </w:r>
      <w:r w:rsidR="00457C7A">
        <w:rPr>
          <w:rFonts w:ascii="Palatino Linotype" w:hAnsi="Palatino Linotype" w:cs="Arial"/>
          <w:sz w:val="24"/>
        </w:rPr>
        <w:t xml:space="preserve">TERCERA </w:t>
      </w:r>
      <w:r w:rsidRPr="00B574E5">
        <w:rPr>
          <w:rFonts w:ascii="Palatino Linotype" w:hAnsi="Palatino Linotype" w:cs="Arial"/>
          <w:sz w:val="24"/>
        </w:rPr>
        <w:t xml:space="preserve">SESIÓN ORDINARIA CELEBRADA EL </w:t>
      </w:r>
      <w:r w:rsidR="00457C7A">
        <w:rPr>
          <w:rFonts w:ascii="Palatino Linotype" w:hAnsi="Palatino Linotype" w:cs="Arial"/>
          <w:sz w:val="24"/>
        </w:rPr>
        <w:t>VEINTISÉIS</w:t>
      </w:r>
      <w:r>
        <w:rPr>
          <w:rFonts w:ascii="Palatino Linotype" w:hAnsi="Palatino Linotype" w:cs="Arial"/>
          <w:sz w:val="24"/>
        </w:rPr>
        <w:t xml:space="preserve"> DE JUNIO DE DOS MIL VEINTICUATRO</w:t>
      </w:r>
      <w:r w:rsidRPr="00B574E5">
        <w:rPr>
          <w:rFonts w:ascii="Palatino Linotype" w:hAnsi="Palatino Linotype" w:cs="Arial"/>
          <w:sz w:val="24"/>
        </w:rPr>
        <w:t>, ANTE EL SECRETARIO TÉCNICO DEL PLENO, ALEXIS TAPIA RAMÍREZ. -----------------------------------------------------------------</w:t>
      </w:r>
    </w:p>
    <w:p w14:paraId="11618072" w14:textId="77777777" w:rsidR="007F0D36" w:rsidRDefault="007F0D36" w:rsidP="00F00DA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64896057" w14:textId="00F5685D" w:rsidR="007F0D36" w:rsidRDefault="007F0D36" w:rsidP="00F00DA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F00DAA">
        <w:rPr>
          <w:rFonts w:ascii="Palatino Linotype" w:hAnsi="Palatino Linotype" w:cs="Arial"/>
        </w:rPr>
        <w:t>------------------------------------------------------------------------------------------------------------------------------------------------------------------------------------------------------------------------------------------------------------------------------------------------------------------------------------------------------------------------------------------------------------------------------------------------------------------------------------------------------------------------------------------------------------------------------------</w:t>
      </w:r>
    </w:p>
    <w:p w14:paraId="0541DC06" w14:textId="77777777" w:rsidR="007F0D36" w:rsidRDefault="007F0D36" w:rsidP="00F00DA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4AA293AB" w14:textId="77777777" w:rsidR="00AA2160" w:rsidRPr="00E11432" w:rsidRDefault="007F0D36" w:rsidP="00AA2160">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bCs/>
          <w:sz w:val="16"/>
          <w:szCs w:val="18"/>
        </w:rPr>
        <w:t>CCR/</w:t>
      </w:r>
      <w:r w:rsidR="00AA2160" w:rsidRPr="00AA2160">
        <w:rPr>
          <w:rFonts w:ascii="Palatino Linotype" w:hAnsi="Palatino Linotype"/>
          <w:sz w:val="16"/>
          <w:szCs w:val="18"/>
        </w:rPr>
        <w:t xml:space="preserve"> </w:t>
      </w:r>
      <w:r w:rsidR="00AA2160">
        <w:rPr>
          <w:rFonts w:ascii="Palatino Linotype" w:hAnsi="Palatino Linotype"/>
          <w:sz w:val="16"/>
          <w:szCs w:val="18"/>
        </w:rPr>
        <w:t>LMST</w:t>
      </w:r>
    </w:p>
    <w:p w14:paraId="5A07D785" w14:textId="77777777" w:rsidR="007F0D36" w:rsidRPr="00AB0A3C" w:rsidRDefault="007F0D36" w:rsidP="007F0D36">
      <w:pPr>
        <w:spacing w:line="360" w:lineRule="auto"/>
        <w:jc w:val="both"/>
        <w:rPr>
          <w:sz w:val="20"/>
        </w:rPr>
      </w:pPr>
    </w:p>
    <w:p w14:paraId="79E3DF55" w14:textId="77777777" w:rsidR="007F0D36" w:rsidRDefault="007F0D36" w:rsidP="007F0D36"/>
    <w:p w14:paraId="35FBADCD" w14:textId="77777777" w:rsidR="007F0D36" w:rsidRDefault="007F0D36" w:rsidP="007F0D36"/>
    <w:p w14:paraId="134756EF" w14:textId="77777777" w:rsidR="007F0D36" w:rsidRDefault="007F0D36" w:rsidP="007F0D36"/>
    <w:p w14:paraId="32DED0E9" w14:textId="77777777" w:rsidR="007F0D36" w:rsidRDefault="007F0D36" w:rsidP="007F0D36"/>
    <w:p w14:paraId="29015C6D" w14:textId="77777777" w:rsidR="007F0D36" w:rsidRDefault="007F0D36" w:rsidP="007F0D36"/>
    <w:p w14:paraId="34439D03" w14:textId="77777777" w:rsidR="007F0D36" w:rsidRDefault="007F0D36" w:rsidP="007F0D36"/>
    <w:p w14:paraId="20EB46A5" w14:textId="77777777" w:rsidR="007F0D36" w:rsidRDefault="007F0D36" w:rsidP="007F0D36"/>
    <w:p w14:paraId="7D01F783" w14:textId="77777777" w:rsidR="007F0D36" w:rsidRDefault="007F0D36" w:rsidP="007F0D36"/>
    <w:p w14:paraId="4F81590C" w14:textId="77777777" w:rsidR="007F0D36" w:rsidRDefault="007F0D36" w:rsidP="007F0D36"/>
    <w:p w14:paraId="3041EFF6" w14:textId="77777777" w:rsidR="007F0D36" w:rsidRDefault="007F0D36" w:rsidP="007F0D36"/>
    <w:p w14:paraId="6C9F7898" w14:textId="77777777" w:rsidR="007F0D36" w:rsidRDefault="007F0D36" w:rsidP="007F0D36"/>
    <w:p w14:paraId="3CE26351" w14:textId="77777777" w:rsidR="007F0D36" w:rsidRDefault="007F0D36" w:rsidP="007F0D36"/>
    <w:p w14:paraId="5408FD41" w14:textId="77777777" w:rsidR="007F0D36" w:rsidRDefault="007F0D36" w:rsidP="007F0D36"/>
    <w:p w14:paraId="77E896DA" w14:textId="77777777" w:rsidR="007F0D36" w:rsidRDefault="007F0D36" w:rsidP="007F0D36"/>
    <w:p w14:paraId="30F02D25" w14:textId="77777777" w:rsidR="00D46BEB" w:rsidRDefault="00D46BEB"/>
    <w:sectPr w:rsidR="00D46BEB" w:rsidSect="004A58F0">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1AEC" w14:textId="77777777" w:rsidR="001143C7" w:rsidRDefault="001143C7" w:rsidP="007F0D36">
      <w:pPr>
        <w:spacing w:after="0" w:line="240" w:lineRule="auto"/>
      </w:pPr>
      <w:r>
        <w:separator/>
      </w:r>
    </w:p>
  </w:endnote>
  <w:endnote w:type="continuationSeparator" w:id="0">
    <w:p w14:paraId="3AB2DAA4" w14:textId="77777777" w:rsidR="001143C7" w:rsidRDefault="001143C7" w:rsidP="007F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0D63" w14:textId="77777777" w:rsidR="001143C7" w:rsidRPr="000B69FA" w:rsidRDefault="001143C7" w:rsidP="004A58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4684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4684D">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B43C" w14:textId="77777777" w:rsidR="001143C7" w:rsidRPr="000B69FA" w:rsidRDefault="001143C7" w:rsidP="004A58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4684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4684D">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B178B" w14:textId="77777777" w:rsidR="001143C7" w:rsidRDefault="001143C7" w:rsidP="007F0D36">
      <w:pPr>
        <w:spacing w:after="0" w:line="240" w:lineRule="auto"/>
      </w:pPr>
      <w:r>
        <w:separator/>
      </w:r>
    </w:p>
  </w:footnote>
  <w:footnote w:type="continuationSeparator" w:id="0">
    <w:p w14:paraId="3939B559" w14:textId="77777777" w:rsidR="001143C7" w:rsidRDefault="001143C7" w:rsidP="007F0D36">
      <w:pPr>
        <w:spacing w:after="0" w:line="240" w:lineRule="auto"/>
      </w:pPr>
      <w:r>
        <w:continuationSeparator/>
      </w:r>
    </w:p>
  </w:footnote>
  <w:footnote w:id="1">
    <w:p w14:paraId="76752369" w14:textId="77777777" w:rsidR="001143C7" w:rsidRPr="00911081" w:rsidRDefault="001143C7" w:rsidP="002233EB">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6DC62DE" w14:textId="77777777" w:rsidR="001143C7" w:rsidRPr="00911081" w:rsidRDefault="001143C7" w:rsidP="002233E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FC98B88" w14:textId="77777777" w:rsidR="001143C7" w:rsidRPr="005552A8" w:rsidRDefault="001143C7" w:rsidP="00D3198D">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1FAB2AE" w14:textId="77777777" w:rsidR="001143C7" w:rsidRPr="005552A8" w:rsidRDefault="001143C7" w:rsidP="00D3198D">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3"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4"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3B07" w14:textId="77777777" w:rsidR="001143C7" w:rsidRDefault="001143C7">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6CD208C" wp14:editId="16668975">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1143C7" w14:paraId="14C185B5" w14:textId="77777777" w:rsidTr="004A58F0">
      <w:trPr>
        <w:trHeight w:val="227"/>
      </w:trPr>
      <w:tc>
        <w:tcPr>
          <w:tcW w:w="5529" w:type="dxa"/>
          <w:hideMark/>
        </w:tcPr>
        <w:p w14:paraId="58EC67F7" w14:textId="77777777" w:rsidR="001143C7" w:rsidRDefault="001143C7" w:rsidP="004A58F0">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05D4234" w14:textId="144EF926" w:rsidR="001143C7" w:rsidRPr="00B4142F" w:rsidRDefault="0065212F" w:rsidP="004A58F0">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143C7">
            <w:rPr>
              <w:rFonts w:ascii="Palatino Linotype" w:hAnsi="Palatino Linotype" w:cs="Arial"/>
              <w:bCs/>
              <w:sz w:val="24"/>
              <w:lang w:eastAsia="es-MX"/>
            </w:rPr>
            <w:t>2625/INFOEM/IP/RR/2024</w:t>
          </w:r>
        </w:p>
      </w:tc>
    </w:tr>
    <w:tr w:rsidR="001143C7" w14:paraId="4EAEF8C0" w14:textId="77777777" w:rsidTr="004A58F0">
      <w:trPr>
        <w:trHeight w:val="242"/>
      </w:trPr>
      <w:tc>
        <w:tcPr>
          <w:tcW w:w="5529" w:type="dxa"/>
          <w:hideMark/>
        </w:tcPr>
        <w:p w14:paraId="5F3328CD" w14:textId="77777777" w:rsidR="001143C7" w:rsidRDefault="001143C7" w:rsidP="004A58F0">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8B12395" w14:textId="77777777" w:rsidR="001143C7" w:rsidRPr="00F06FED" w:rsidRDefault="001143C7" w:rsidP="004A58F0">
          <w:pPr>
            <w:spacing w:after="120" w:line="256" w:lineRule="auto"/>
            <w:ind w:left="639" w:right="214"/>
            <w:jc w:val="both"/>
            <w:rPr>
              <w:rFonts w:ascii="Palatino Linotype" w:hAnsi="Palatino Linotype" w:cs="Arial"/>
            </w:rPr>
          </w:pPr>
          <w:r w:rsidRPr="007F0D36">
            <w:rPr>
              <w:rFonts w:ascii="Palatino Linotype" w:hAnsi="Palatino Linotype" w:cs="Arial"/>
              <w:szCs w:val="20"/>
            </w:rPr>
            <w:t>Ayuntamiento de Sultepec</w:t>
          </w:r>
        </w:p>
      </w:tc>
    </w:tr>
    <w:tr w:rsidR="001143C7" w14:paraId="419429F9" w14:textId="77777777" w:rsidTr="004A58F0">
      <w:trPr>
        <w:trHeight w:val="342"/>
      </w:trPr>
      <w:tc>
        <w:tcPr>
          <w:tcW w:w="5529" w:type="dxa"/>
          <w:hideMark/>
        </w:tcPr>
        <w:p w14:paraId="2989ADA0" w14:textId="77777777" w:rsidR="001143C7" w:rsidRDefault="001143C7" w:rsidP="004A58F0">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1D69EBB" w14:textId="77777777" w:rsidR="001143C7" w:rsidRDefault="001143C7" w:rsidP="004A58F0">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C1B1E94" w14:textId="77777777" w:rsidR="001143C7" w:rsidRDefault="001143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1143C7" w14:paraId="37B8E8B2" w14:textId="77777777" w:rsidTr="004A58F0">
      <w:trPr>
        <w:trHeight w:val="227"/>
      </w:trPr>
      <w:tc>
        <w:tcPr>
          <w:tcW w:w="5529" w:type="dxa"/>
          <w:hideMark/>
        </w:tcPr>
        <w:p w14:paraId="19CBD2F4" w14:textId="77777777" w:rsidR="001143C7" w:rsidRDefault="001143C7" w:rsidP="004A58F0">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3B689F6D" w14:textId="7F7DB328" w:rsidR="001143C7" w:rsidRPr="00B4142F" w:rsidRDefault="0065212F" w:rsidP="004A58F0">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143C7">
            <w:rPr>
              <w:rFonts w:ascii="Palatino Linotype" w:hAnsi="Palatino Linotype" w:cs="Arial"/>
              <w:bCs/>
              <w:sz w:val="24"/>
              <w:lang w:eastAsia="es-MX"/>
            </w:rPr>
            <w:t>2625/INFOEM/IP/RR/2024</w:t>
          </w:r>
        </w:p>
      </w:tc>
    </w:tr>
    <w:tr w:rsidR="001143C7" w14:paraId="4FC0BD6D" w14:textId="77777777" w:rsidTr="004A58F0">
      <w:trPr>
        <w:trHeight w:val="196"/>
      </w:trPr>
      <w:tc>
        <w:tcPr>
          <w:tcW w:w="5529" w:type="dxa"/>
          <w:hideMark/>
        </w:tcPr>
        <w:p w14:paraId="4BC3D52C" w14:textId="77777777" w:rsidR="001143C7" w:rsidRDefault="001143C7" w:rsidP="004A58F0">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2D5D107" w14:textId="171C6640" w:rsidR="001143C7" w:rsidRPr="00F06FED" w:rsidRDefault="00B4684D" w:rsidP="004A58F0">
          <w:pPr>
            <w:spacing w:after="120" w:line="256" w:lineRule="auto"/>
            <w:ind w:left="639" w:right="214"/>
            <w:jc w:val="both"/>
            <w:rPr>
              <w:rFonts w:ascii="Palatino Linotype" w:hAnsi="Palatino Linotype" w:cs="Arial"/>
            </w:rPr>
          </w:pPr>
          <w:r>
            <w:rPr>
              <w:rFonts w:ascii="Palatino Linotype" w:hAnsi="Palatino Linotype" w:cs="Arial"/>
            </w:rPr>
            <w:t>XXXXXXXXXXXXXXXXX</w:t>
          </w:r>
        </w:p>
      </w:tc>
    </w:tr>
    <w:tr w:rsidR="001143C7" w14:paraId="1584211B" w14:textId="77777777" w:rsidTr="004A58F0">
      <w:trPr>
        <w:trHeight w:val="242"/>
      </w:trPr>
      <w:tc>
        <w:tcPr>
          <w:tcW w:w="5529" w:type="dxa"/>
          <w:hideMark/>
        </w:tcPr>
        <w:p w14:paraId="302FEE2B" w14:textId="77777777" w:rsidR="001143C7" w:rsidRDefault="001143C7" w:rsidP="004A58F0">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9D0ACDB" w14:textId="77777777" w:rsidR="001143C7" w:rsidRDefault="001143C7" w:rsidP="004A58F0">
          <w:pPr>
            <w:spacing w:after="120" w:line="256" w:lineRule="auto"/>
            <w:ind w:left="639" w:right="214"/>
            <w:jc w:val="both"/>
            <w:rPr>
              <w:rFonts w:ascii="Palatino Linotype" w:hAnsi="Palatino Linotype" w:cs="Arial"/>
              <w:szCs w:val="20"/>
            </w:rPr>
          </w:pPr>
          <w:r w:rsidRPr="007F0D36">
            <w:rPr>
              <w:rFonts w:ascii="Palatino Linotype" w:hAnsi="Palatino Linotype" w:cs="Arial"/>
              <w:szCs w:val="20"/>
            </w:rPr>
            <w:t>Ayuntamiento de Sultepec</w:t>
          </w:r>
        </w:p>
      </w:tc>
    </w:tr>
    <w:tr w:rsidR="001143C7" w14:paraId="2C915F90" w14:textId="77777777" w:rsidTr="004A58F0">
      <w:trPr>
        <w:trHeight w:val="342"/>
      </w:trPr>
      <w:tc>
        <w:tcPr>
          <w:tcW w:w="5529" w:type="dxa"/>
          <w:hideMark/>
        </w:tcPr>
        <w:p w14:paraId="08F6D098" w14:textId="77777777" w:rsidR="001143C7" w:rsidRDefault="001143C7" w:rsidP="004A58F0">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FAD0B24" w14:textId="77777777" w:rsidR="001143C7" w:rsidRDefault="001143C7" w:rsidP="004A58F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600BD7F9" w14:textId="77777777" w:rsidR="001143C7" w:rsidRDefault="001143C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6B404DF" wp14:editId="732BE821">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BF83587"/>
    <w:multiLevelType w:val="hybridMultilevel"/>
    <w:tmpl w:val="6B225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AB11B9"/>
    <w:multiLevelType w:val="hybridMultilevel"/>
    <w:tmpl w:val="21200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7DB1117"/>
    <w:multiLevelType w:val="hybridMultilevel"/>
    <w:tmpl w:val="B2E8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E24D57"/>
    <w:multiLevelType w:val="hybridMultilevel"/>
    <w:tmpl w:val="7E84149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1" w15:restartNumberingAfterBreak="0">
    <w:nsid w:val="6C210745"/>
    <w:multiLevelType w:val="hybridMultilevel"/>
    <w:tmpl w:val="2F926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0"/>
  </w:num>
  <w:num w:numId="4">
    <w:abstractNumId w:val="10"/>
  </w:num>
  <w:num w:numId="5">
    <w:abstractNumId w:val="2"/>
  </w:num>
  <w:num w:numId="6">
    <w:abstractNumId w:val="11"/>
  </w:num>
  <w:num w:numId="7">
    <w:abstractNumId w:val="6"/>
  </w:num>
  <w:num w:numId="8">
    <w:abstractNumId w:val="24"/>
  </w:num>
  <w:num w:numId="9">
    <w:abstractNumId w:val="12"/>
  </w:num>
  <w:num w:numId="10">
    <w:abstractNumId w:val="20"/>
  </w:num>
  <w:num w:numId="11">
    <w:abstractNumId w:val="16"/>
  </w:num>
  <w:num w:numId="12">
    <w:abstractNumId w:val="5"/>
  </w:num>
  <w:num w:numId="13">
    <w:abstractNumId w:val="14"/>
  </w:num>
  <w:num w:numId="14">
    <w:abstractNumId w:val="18"/>
  </w:num>
  <w:num w:numId="15">
    <w:abstractNumId w:val="9"/>
  </w:num>
  <w:num w:numId="16">
    <w:abstractNumId w:val="15"/>
  </w:num>
  <w:num w:numId="17">
    <w:abstractNumId w:val="22"/>
  </w:num>
  <w:num w:numId="18">
    <w:abstractNumId w:val="8"/>
  </w:num>
  <w:num w:numId="19">
    <w:abstractNumId w:val="3"/>
  </w:num>
  <w:num w:numId="20">
    <w:abstractNumId w:val="4"/>
  </w:num>
  <w:num w:numId="21">
    <w:abstractNumId w:val="25"/>
  </w:num>
  <w:num w:numId="22">
    <w:abstractNumId w:val="7"/>
  </w:num>
  <w:num w:numId="23">
    <w:abstractNumId w:val="17"/>
  </w:num>
  <w:num w:numId="24">
    <w:abstractNumId w:val="13"/>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36"/>
    <w:rsid w:val="000E4F37"/>
    <w:rsid w:val="001143C7"/>
    <w:rsid w:val="00190BAA"/>
    <w:rsid w:val="002233EB"/>
    <w:rsid w:val="002743C0"/>
    <w:rsid w:val="002B7AFD"/>
    <w:rsid w:val="00457C7A"/>
    <w:rsid w:val="004A58F0"/>
    <w:rsid w:val="00603716"/>
    <w:rsid w:val="0065212F"/>
    <w:rsid w:val="007F0D36"/>
    <w:rsid w:val="0087728F"/>
    <w:rsid w:val="00AA2160"/>
    <w:rsid w:val="00B4684D"/>
    <w:rsid w:val="00BB0227"/>
    <w:rsid w:val="00D3198D"/>
    <w:rsid w:val="00D46BEB"/>
    <w:rsid w:val="00DE574D"/>
    <w:rsid w:val="00E171A6"/>
    <w:rsid w:val="00F00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8958"/>
  <w15:chartTrackingRefBased/>
  <w15:docId w15:val="{6CA493CF-2BAA-47B7-86DC-32BFC7E8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36"/>
  </w:style>
  <w:style w:type="paragraph" w:styleId="Ttulo1">
    <w:name w:val="heading 1"/>
    <w:basedOn w:val="Normal"/>
    <w:next w:val="Normal"/>
    <w:link w:val="Ttulo1Car"/>
    <w:uiPriority w:val="9"/>
    <w:qFormat/>
    <w:rsid w:val="006037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D3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F0D3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F0D3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F0D3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F0D3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F0D3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F0D3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F0D3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F0D36"/>
    <w:rPr>
      <w:color w:val="0563C1" w:themeColor="hyperlink"/>
      <w:u w:val="single"/>
    </w:rPr>
  </w:style>
  <w:style w:type="paragraph" w:styleId="Sinespaciado">
    <w:name w:val="No Spacing"/>
    <w:aliases w:val="Francesa,INAI"/>
    <w:link w:val="SinespaciadoCar"/>
    <w:uiPriority w:val="1"/>
    <w:qFormat/>
    <w:rsid w:val="007F0D3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F0D36"/>
    <w:rPr>
      <w:rFonts w:ascii="Times New Roman" w:eastAsia="Times New Roman" w:hAnsi="Times New Roman" w:cs="Times New Roman"/>
      <w:sz w:val="24"/>
      <w:szCs w:val="24"/>
      <w:lang w:eastAsia="es-ES"/>
    </w:rPr>
  </w:style>
  <w:style w:type="paragraph" w:customStyle="1" w:styleId="infoemcitas">
    <w:name w:val="infoem citas"/>
    <w:basedOn w:val="Normal"/>
    <w:qFormat/>
    <w:rsid w:val="007F0D36"/>
    <w:pPr>
      <w:spacing w:before="240" w:line="360" w:lineRule="auto"/>
      <w:ind w:left="851" w:right="851"/>
      <w:jc w:val="both"/>
    </w:pPr>
    <w:rPr>
      <w:rFonts w:ascii="Palatino Linotype" w:hAnsi="Palatino Linotype"/>
      <w:i/>
    </w:rPr>
  </w:style>
  <w:style w:type="paragraph" w:customStyle="1" w:styleId="INFOEM">
    <w:name w:val="INFOEM"/>
    <w:basedOn w:val="Normal"/>
    <w:qFormat/>
    <w:rsid w:val="007F0D36"/>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7F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F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233EB"/>
    <w:pPr>
      <w:spacing w:before="240" w:line="360" w:lineRule="auto"/>
      <w:ind w:left="851" w:right="851"/>
      <w:jc w:val="both"/>
    </w:pPr>
    <w:rPr>
      <w:rFonts w:ascii="Palatino Linotype" w:hAnsi="Palatino Linotype" w:cs="Arial"/>
      <w:i/>
    </w:rPr>
  </w:style>
  <w:style w:type="character" w:customStyle="1" w:styleId="Ttulo1Car">
    <w:name w:val="Título 1 Car"/>
    <w:basedOn w:val="Fuentedeprrafopredeter"/>
    <w:link w:val="Ttulo1"/>
    <w:uiPriority w:val="9"/>
    <w:rsid w:val="00603716"/>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1"/>
    <w:unhideWhenUsed/>
    <w:qFormat/>
    <w:rsid w:val="00AA2160"/>
    <w:pPr>
      <w:spacing w:after="120"/>
    </w:pPr>
  </w:style>
  <w:style w:type="character" w:customStyle="1" w:styleId="TextoindependienteCar">
    <w:name w:val="Texto independiente Car"/>
    <w:basedOn w:val="Fuentedeprrafopredeter"/>
    <w:link w:val="Textoindependiente"/>
    <w:uiPriority w:val="1"/>
    <w:rsid w:val="00AA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javascript:AbrirModal(1)"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javascript:AbrirModal(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31</Pages>
  <Words>5991</Words>
  <Characters>32954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9</cp:revision>
  <dcterms:created xsi:type="dcterms:W3CDTF">2024-06-11T00:33:00Z</dcterms:created>
  <dcterms:modified xsi:type="dcterms:W3CDTF">2024-07-04T23:09:00Z</dcterms:modified>
</cp:coreProperties>
</file>