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40E9" w14:textId="77777777" w:rsidR="00176458" w:rsidRDefault="00AE3C26">
      <w:pPr>
        <w:tabs>
          <w:tab w:val="left" w:pos="3465"/>
        </w:tabs>
        <w:spacing w:line="360" w:lineRule="auto"/>
        <w:jc w:val="both"/>
        <w:rPr>
          <w:rFonts w:ascii="Palatino Linotype" w:eastAsia="Palatino Linotype" w:hAnsi="Palatino Linotype" w:cs="Palatino Linotype"/>
        </w:rPr>
      </w:pPr>
      <w:bookmarkStart w:id="0" w:name="_heading=h.gjdgxs" w:colFirst="0" w:colLast="0"/>
      <w:bookmarkEnd w:id="0"/>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junio de dos mil veinticuatro.</w:t>
      </w:r>
    </w:p>
    <w:p w14:paraId="30E5230E" w14:textId="77777777" w:rsidR="00176458" w:rsidRDefault="00176458">
      <w:pPr>
        <w:tabs>
          <w:tab w:val="left" w:pos="3465"/>
        </w:tabs>
        <w:spacing w:line="360" w:lineRule="auto"/>
        <w:jc w:val="both"/>
        <w:rPr>
          <w:rFonts w:ascii="Palatino Linotype" w:eastAsia="Palatino Linotype" w:hAnsi="Palatino Linotype" w:cs="Palatino Linotype"/>
        </w:rPr>
      </w:pPr>
    </w:p>
    <w:p w14:paraId="617EA607" w14:textId="1B54B0EF" w:rsidR="00176458" w:rsidRDefault="00AE3C26">
      <w:pPr>
        <w:spacing w:line="360" w:lineRule="auto"/>
        <w:jc w:val="both"/>
        <w:rPr>
          <w:rFonts w:ascii="Palatino Linotype" w:eastAsia="Palatino Linotype" w:hAnsi="Palatino Linotype" w:cs="Palatino Linotype"/>
        </w:rPr>
      </w:pPr>
      <w:bookmarkStart w:id="1" w:name="_heading=h.30j0zll" w:colFirst="0" w:colLast="0"/>
      <w:bookmarkEnd w:id="1"/>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03233/INFOEM/IP/RR/2024, </w:t>
      </w:r>
      <w:r>
        <w:rPr>
          <w:rFonts w:ascii="Palatino Linotype" w:eastAsia="Palatino Linotype" w:hAnsi="Palatino Linotype" w:cs="Palatino Linotype"/>
        </w:rPr>
        <w:t xml:space="preserve">promovido por </w:t>
      </w:r>
      <w:r w:rsidR="00D40694">
        <w:rPr>
          <w:rFonts w:ascii="Palatino Linotype" w:eastAsia="Palatino Linotype" w:hAnsi="Palatino Linotype" w:cs="Palatino Linotype"/>
          <w:b/>
          <w:color w:val="000000"/>
        </w:rPr>
        <w:t xml:space="preserve">XXX </w:t>
      </w:r>
      <w:proofErr w:type="spellStart"/>
      <w:r w:rsidR="00D40694">
        <w:rPr>
          <w:rFonts w:ascii="Palatino Linotype" w:eastAsia="Palatino Linotype" w:hAnsi="Palatino Linotype" w:cs="Palatino Linotype"/>
          <w:b/>
          <w:color w:val="000000"/>
        </w:rPr>
        <w:t>XXX</w:t>
      </w:r>
      <w:proofErr w:type="spellEnd"/>
      <w:r w:rsidR="00D40694">
        <w:rPr>
          <w:rFonts w:ascii="Palatino Linotype" w:eastAsia="Palatino Linotype" w:hAnsi="Palatino Linotype" w:cs="Palatino Linotype"/>
          <w:b/>
          <w:color w:val="000000"/>
        </w:rPr>
        <w:t xml:space="preserve">, </w:t>
      </w:r>
      <w:r>
        <w:rPr>
          <w:rFonts w:ascii="Palatino Linotype" w:eastAsia="Palatino Linotype" w:hAnsi="Palatino Linotype" w:cs="Palatino Linotype"/>
        </w:rPr>
        <w:t xml:space="preserve">a través del Sistema de Acceso a la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LA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Ecatepec de Morelos, </w:t>
      </w:r>
      <w:r>
        <w:rPr>
          <w:rFonts w:ascii="Palatino Linotype" w:eastAsia="Palatino Linotype" w:hAnsi="Palatino Linotype" w:cs="Palatino Linotype"/>
        </w:rPr>
        <w:t xml:space="preserve">en adelante </w:t>
      </w:r>
      <w:r>
        <w:rPr>
          <w:rFonts w:ascii="Palatino Linotype" w:eastAsia="Palatino Linotype" w:hAnsi="Palatino Linotype" w:cs="Palatino Linotype"/>
          <w:b/>
        </w:rPr>
        <w:t>EL SUJETO OBLIGADO</w:t>
      </w:r>
      <w:r>
        <w:rPr>
          <w:rFonts w:ascii="Palatino Linotype" w:eastAsia="Palatino Linotype" w:hAnsi="Palatino Linotype" w:cs="Palatino Linotype"/>
        </w:rPr>
        <w:t>, se procede a dictar la presente resolución, con base en los siguientes:</w:t>
      </w:r>
    </w:p>
    <w:p w14:paraId="52B4417E" w14:textId="77777777" w:rsidR="00176458" w:rsidRDefault="00176458">
      <w:pPr>
        <w:spacing w:line="360" w:lineRule="auto"/>
        <w:jc w:val="both"/>
        <w:rPr>
          <w:rFonts w:ascii="Palatino Linotype" w:eastAsia="Palatino Linotype" w:hAnsi="Palatino Linotype" w:cs="Palatino Linotype"/>
        </w:rPr>
      </w:pPr>
    </w:p>
    <w:p w14:paraId="68416EA4" w14:textId="77777777" w:rsidR="00176458" w:rsidRDefault="00AE3C26">
      <w:pP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313E6AB0" w14:textId="77777777" w:rsidR="00176458" w:rsidRDefault="00176458">
      <w:pPr>
        <w:spacing w:line="360" w:lineRule="auto"/>
        <w:rPr>
          <w:rFonts w:ascii="Palatino Linotype" w:eastAsia="Palatino Linotype" w:hAnsi="Palatino Linotype" w:cs="Palatino Linotype"/>
        </w:rPr>
      </w:pPr>
    </w:p>
    <w:p w14:paraId="428FA50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día veintidós de abril de dos mil veinticuatro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solicitud de información pública registrada con el número</w:t>
      </w:r>
      <w:r>
        <w:rPr>
          <w:rFonts w:ascii="Palatino Linotype" w:eastAsia="Palatino Linotype" w:hAnsi="Palatino Linotype" w:cs="Palatino Linotype"/>
          <w:b/>
          <w:color w:val="000000"/>
        </w:rPr>
        <w:t xml:space="preserve">  00472/ECATEPEC/IP/2024,</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en la que </w:t>
      </w:r>
      <w:r>
        <w:rPr>
          <w:rFonts w:ascii="Palatino Linotype" w:eastAsia="Palatino Linotype" w:hAnsi="Palatino Linotype" w:cs="Palatino Linotype"/>
          <w:color w:val="000000"/>
        </w:rPr>
        <w:t xml:space="preserve"> se solicitó la siguiente información:</w:t>
      </w:r>
    </w:p>
    <w:p w14:paraId="1BB9BA48"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2C285C" w14:textId="77777777" w:rsidR="00176458" w:rsidRDefault="00AE3C26">
      <w:pPr>
        <w:pBdr>
          <w:top w:val="nil"/>
          <w:left w:val="nil"/>
          <w:bottom w:val="nil"/>
          <w:right w:val="nil"/>
          <w:between w:val="nil"/>
        </w:pBdr>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“EL MUNICIPIO DE ECATEPEC DE MORELOS REPORTA PARA EL EJERCICIO DE 2022 UN TOTAL DE 187,448 CUENTAS PAGADAS POR CONCEPTO DE IMPUESTO PREDIAL, PARA UNA RECAUDACION SOLO POR ESE CONCEPTO DE $ 373,432,187. DESEO SABER EL MONTO TOTAL RECAUDADO POR CONCEPTO DE IMPUESTO PREDIAL EN EL EJERCICIO DE 2023 Y TAMBIEN EL TOTAL DE LAS CUENTAS CATASTRALES QUE FORMAN PARTE DEL PADRON </w:t>
      </w:r>
      <w:r>
        <w:rPr>
          <w:rFonts w:ascii="Palatino Linotype" w:eastAsia="Palatino Linotype" w:hAnsi="Palatino Linotype" w:cs="Palatino Linotype"/>
          <w:i/>
          <w:color w:val="000000"/>
        </w:rPr>
        <w:lastRenderedPageBreak/>
        <w:t>ACTUAL, POR ULTIMO MONTO TOTAL DE IMPUESTO PREDIAL QUE TIENE CONSIDERADO RECUDAR PARA EL EJERJCICIO DE 2024.”</w:t>
      </w:r>
    </w:p>
    <w:p w14:paraId="1C1520D9" w14:textId="77777777" w:rsidR="00176458" w:rsidRDefault="00176458">
      <w:pPr>
        <w:pBdr>
          <w:top w:val="nil"/>
          <w:left w:val="nil"/>
          <w:bottom w:val="nil"/>
          <w:right w:val="nil"/>
          <w:between w:val="nil"/>
        </w:pBdr>
        <w:spacing w:line="360" w:lineRule="auto"/>
        <w:ind w:left="426" w:right="474"/>
        <w:jc w:val="both"/>
        <w:rPr>
          <w:rFonts w:ascii="Palatino Linotype" w:eastAsia="Palatino Linotype" w:hAnsi="Palatino Linotype" w:cs="Palatino Linotype"/>
          <w:i/>
          <w:color w:val="000000"/>
        </w:rPr>
      </w:pPr>
    </w:p>
    <w:p w14:paraId="7199ECFC" w14:textId="77777777" w:rsidR="00176458" w:rsidRDefault="00AE3C26">
      <w:pPr>
        <w:numPr>
          <w:ilvl w:val="0"/>
          <w:numId w:val="7"/>
        </w:num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Modalidad de entrega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SAIMEX</w:t>
      </w:r>
    </w:p>
    <w:p w14:paraId="39257CAE" w14:textId="77777777" w:rsidR="00176458" w:rsidRDefault="00176458">
      <w:pPr>
        <w:pBdr>
          <w:top w:val="nil"/>
          <w:left w:val="nil"/>
          <w:bottom w:val="nil"/>
          <w:right w:val="nil"/>
          <w:between w:val="nil"/>
        </w:pBdr>
        <w:spacing w:line="360" w:lineRule="auto"/>
        <w:ind w:left="709" w:right="474"/>
        <w:jc w:val="both"/>
        <w:rPr>
          <w:rFonts w:ascii="Palatino Linotype" w:eastAsia="Palatino Linotype" w:hAnsi="Palatino Linotype" w:cs="Palatino Linotype"/>
          <w:color w:val="000000"/>
        </w:rPr>
      </w:pPr>
    </w:p>
    <w:p w14:paraId="6E2CDFDF"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1fob9te" w:colFirst="0" w:colLast="0"/>
      <w:bookmarkEnd w:id="2"/>
      <w:r>
        <w:rPr>
          <w:rFonts w:ascii="Palatino Linotype" w:eastAsia="Palatino Linotype" w:hAnsi="Palatino Linotype" w:cs="Palatino Linotype"/>
          <w:color w:val="000000"/>
        </w:rPr>
        <w:t xml:space="preserve">Ante la falta de respuesta, el </w:t>
      </w:r>
      <w:r>
        <w:rPr>
          <w:rFonts w:ascii="Palatino Linotype" w:eastAsia="Palatino Linotype" w:hAnsi="Palatino Linotype" w:cs="Palatino Linotype"/>
          <w:b/>
          <w:color w:val="000000"/>
        </w:rPr>
        <w:t>veintidós de mayo de dos mil veinticuatro</w:t>
      </w:r>
      <w:r>
        <w:rPr>
          <w:rFonts w:ascii="Palatino Linotype" w:eastAsia="Palatino Linotype" w:hAnsi="Palatino Linotype" w:cs="Palatino Linotype"/>
          <w:color w:val="000000"/>
        </w:rPr>
        <w:t>, el particular interpuso el recurso de revisión, señalando las siguientes razones o motivos de inconformidad:</w:t>
      </w:r>
    </w:p>
    <w:p w14:paraId="4A9564D9" w14:textId="77777777" w:rsidR="00176458" w:rsidRDefault="00AE3C2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i/>
          <w:color w:val="000000"/>
          <w:sz w:val="22"/>
          <w:szCs w:val="22"/>
        </w:rPr>
      </w:pPr>
      <w:bookmarkStart w:id="3" w:name="_heading=h.dpy37c4sdryc" w:colFirst="0" w:colLast="0"/>
      <w:bookmarkEnd w:id="3"/>
      <w:r>
        <w:rPr>
          <w:rFonts w:ascii="Palatino Linotype" w:eastAsia="Palatino Linotype" w:hAnsi="Palatino Linotype" w:cs="Palatino Linotype"/>
          <w:b/>
          <w:i/>
          <w:color w:val="000000"/>
          <w:sz w:val="22"/>
          <w:szCs w:val="22"/>
        </w:rPr>
        <w:t>ACTO IMPUGNADO</w:t>
      </w:r>
    </w:p>
    <w:p w14:paraId="604AB5F7" w14:textId="77777777" w:rsidR="00176458" w:rsidRDefault="00AE3C26">
      <w:pPr>
        <w:ind w:firstLine="708"/>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sz w:val="22"/>
          <w:szCs w:val="22"/>
        </w:rPr>
        <w:t>No se recibió la información solicitada</w:t>
      </w:r>
      <w:r>
        <w:rPr>
          <w:rFonts w:ascii="Palatino Linotype" w:eastAsia="Palatino Linotype" w:hAnsi="Palatino Linotype" w:cs="Palatino Linotype"/>
          <w:i/>
          <w:color w:val="000000"/>
          <w:sz w:val="22"/>
          <w:szCs w:val="22"/>
        </w:rPr>
        <w:t xml:space="preserve">”. </w:t>
      </w:r>
    </w:p>
    <w:p w14:paraId="2D33BC78" w14:textId="77777777" w:rsidR="00176458" w:rsidRDefault="00AE3C26">
      <w:pPr>
        <w:numPr>
          <w:ilvl w:val="0"/>
          <w:numId w:val="6"/>
        </w:numPr>
        <w:spacing w:line="360" w:lineRule="auto"/>
        <w:ind w:right="567"/>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RAZONES O MOTIVOS DE INCONFORMIDAD: </w:t>
      </w:r>
    </w:p>
    <w:p w14:paraId="34D2051C" w14:textId="77777777" w:rsidR="00176458" w:rsidRDefault="00AE3C26">
      <w:pPr>
        <w:spacing w:line="360" w:lineRule="auto"/>
        <w:ind w:left="720"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No se recibió la información solicitada”</w:t>
      </w:r>
    </w:p>
    <w:p w14:paraId="781AE1E1" w14:textId="77777777" w:rsidR="00176458" w:rsidRDefault="00176458">
      <w:pPr>
        <w:spacing w:line="360" w:lineRule="auto"/>
        <w:ind w:left="567"/>
        <w:jc w:val="both"/>
        <w:rPr>
          <w:rFonts w:ascii="Palatino Linotype" w:eastAsia="Palatino Linotype" w:hAnsi="Palatino Linotype" w:cs="Palatino Linotype"/>
          <w:i/>
          <w:color w:val="000000"/>
        </w:rPr>
      </w:pPr>
    </w:p>
    <w:p w14:paraId="3A58655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registró el recurso de revisión bajo el número de expediente al rubro indicado, y con fundamento en lo dispuesto por el artículo 185 fracción I de la Ley de Transparencia y Acceso a la Información Pública del Estado de México y Municipios, se </w:t>
      </w:r>
      <w:r>
        <w:rPr>
          <w:rFonts w:ascii="Palatino Linotype" w:eastAsia="Palatino Linotype" w:hAnsi="Palatino Linotype" w:cs="Palatino Linotype"/>
        </w:rPr>
        <w:t>turna</w:t>
      </w:r>
      <w:r>
        <w:rPr>
          <w:rFonts w:ascii="Palatino Linotype" w:eastAsia="Palatino Linotype" w:hAnsi="Palatino Linotype" w:cs="Palatino Linotype"/>
          <w:color w:val="000000"/>
        </w:rPr>
        <w:t xml:space="preserve"> a la </w:t>
      </w:r>
      <w:r>
        <w:rPr>
          <w:rFonts w:ascii="Palatino Linotype" w:eastAsia="Palatino Linotype" w:hAnsi="Palatino Linotype" w:cs="Palatino Linotype"/>
          <w:b/>
          <w:color w:val="000000"/>
        </w:rPr>
        <w:t>Comisionada María del Rosario Mejía Ayala</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para</w:t>
      </w:r>
      <w:r>
        <w:rPr>
          <w:rFonts w:ascii="Palatino Linotype" w:eastAsia="Palatino Linotype" w:hAnsi="Palatino Linotype" w:cs="Palatino Linotype"/>
          <w:color w:val="000000"/>
        </w:rPr>
        <w:t xml:space="preserve"> su análisis.</w:t>
      </w:r>
    </w:p>
    <w:p w14:paraId="6C352E32"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F3A21B5"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Pr>
          <w:rFonts w:ascii="Palatino Linotype" w:eastAsia="Palatino Linotype" w:hAnsi="Palatino Linotype" w:cs="Palatino Linotype"/>
          <w:b/>
          <w:color w:val="000000"/>
        </w:rPr>
        <w:t xml:space="preserve">acuerdo de admisión </w:t>
      </w:r>
      <w:r>
        <w:rPr>
          <w:rFonts w:ascii="Palatino Linotype" w:eastAsia="Palatino Linotype" w:hAnsi="Palatino Linotype" w:cs="Palatino Linotype"/>
          <w:color w:val="000000"/>
        </w:rPr>
        <w:t xml:space="preserve">de fecha </w:t>
      </w:r>
      <w:r>
        <w:rPr>
          <w:rFonts w:ascii="Palatino Linotype" w:eastAsia="Palatino Linotype" w:hAnsi="Palatino Linotype" w:cs="Palatino Linotype"/>
          <w:b/>
          <w:color w:val="000000"/>
        </w:rPr>
        <w:t>veintiocho de mayo de dos mil veinticuatro</w:t>
      </w:r>
      <w:r>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w:t>
      </w:r>
      <w:r>
        <w:rPr>
          <w:rFonts w:ascii="Palatino Linotype" w:eastAsia="Palatino Linotype" w:hAnsi="Palatino Linotype" w:cs="Palatino Linotype"/>
          <w:color w:val="000000"/>
        </w:rPr>
        <w:lastRenderedPageBreak/>
        <w:t xml:space="preserve">corresponda al caso concreto, de esta forma para que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rPr>
        <w:t>presentará</w:t>
      </w:r>
      <w:r>
        <w:rPr>
          <w:rFonts w:ascii="Palatino Linotype" w:eastAsia="Palatino Linotype" w:hAnsi="Palatino Linotype" w:cs="Palatino Linotype"/>
          <w:color w:val="000000"/>
        </w:rPr>
        <w:t xml:space="preserve"> el Informe Justificado procedente.</w:t>
      </w:r>
    </w:p>
    <w:p w14:paraId="042C0C2D"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28DBD1A5"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y 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 xml:space="preserve">dejaron de realizar manifestaciones que a su derecho conviniera y asistiera, respectivamente, tal y como se muestra en la siguiente captura de pantalla. </w:t>
      </w:r>
    </w:p>
    <w:p w14:paraId="140682BB"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58D206F7" w14:textId="77777777" w:rsidR="00176458" w:rsidRDefault="00AE3C26">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rPr>
        <w:drawing>
          <wp:inline distT="0" distB="0" distL="0" distR="0" wp14:anchorId="44ADCEDC" wp14:editId="5AE5B6BF">
            <wp:extent cx="4454969" cy="801975"/>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54969" cy="801975"/>
                    </a:xfrm>
                    <a:prstGeom prst="rect">
                      <a:avLst/>
                    </a:prstGeom>
                    <a:ln/>
                  </pic:spPr>
                </pic:pic>
              </a:graphicData>
            </a:graphic>
          </wp:inline>
        </w:drawing>
      </w:r>
    </w:p>
    <w:p w14:paraId="0C621311"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4" w:name="_heading=h.3znysh7" w:colFirst="0" w:colLast="0"/>
      <w:bookmarkEnd w:id="4"/>
      <w:r>
        <w:rPr>
          <w:rFonts w:ascii="Palatino Linotype" w:eastAsia="Palatino Linotype" w:hAnsi="Palatino Linotype" w:cs="Palatino Linotype"/>
          <w:color w:val="000000"/>
        </w:rPr>
        <w:t xml:space="preserve">La Comisionada Ponente mediante acuerdo de fecha </w:t>
      </w:r>
      <w:r>
        <w:rPr>
          <w:rFonts w:ascii="Palatino Linotype" w:eastAsia="Palatino Linotype" w:hAnsi="Palatino Linotype" w:cs="Palatino Linotype"/>
          <w:b/>
          <w:color w:val="000000"/>
        </w:rPr>
        <w:t>siete de junio de dos mil veinticuatro</w:t>
      </w:r>
      <w:r>
        <w:rPr>
          <w:rFonts w:ascii="Palatino Linotype" w:eastAsia="Palatino Linotype" w:hAnsi="Palatino Linotype" w:cs="Palatino Linotype"/>
          <w:color w:val="000000"/>
        </w:rPr>
        <w:t>, decretó el cierre de instrucción, por lo que no habiendo más que hacer constar, y ---------------------------------------------------------------------------------------</w:t>
      </w:r>
      <w:r>
        <w:rPr>
          <w:rFonts w:ascii="Palatino Linotype" w:eastAsia="Palatino Linotype" w:hAnsi="Palatino Linotype" w:cs="Palatino Linotype"/>
        </w:rPr>
        <w:t>--</w:t>
      </w:r>
    </w:p>
    <w:p w14:paraId="298224C8"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00C9C994" w14:textId="77777777" w:rsidR="00BF305C" w:rsidRDefault="00BF305C">
      <w:pPr>
        <w:pBdr>
          <w:top w:val="nil"/>
          <w:left w:val="nil"/>
          <w:bottom w:val="nil"/>
          <w:right w:val="nil"/>
          <w:between w:val="nil"/>
        </w:pBdr>
        <w:ind w:left="708"/>
        <w:rPr>
          <w:rFonts w:ascii="Palatino Linotype" w:eastAsia="Palatino Linotype" w:hAnsi="Palatino Linotype" w:cs="Palatino Linotype"/>
          <w:color w:val="000000"/>
        </w:rPr>
      </w:pPr>
    </w:p>
    <w:p w14:paraId="5846D9BA" w14:textId="77777777" w:rsidR="00176458" w:rsidRDefault="00AE3C26">
      <w:pPr>
        <w:pStyle w:val="Ttulo1"/>
        <w:spacing w:before="0" w:line="360" w:lineRule="auto"/>
        <w:jc w:val="center"/>
        <w:rPr>
          <w:rFonts w:ascii="Palatino Linotype" w:eastAsia="Palatino Linotype" w:hAnsi="Palatino Linotype" w:cs="Palatino Linotype"/>
          <w:b/>
          <w:color w:val="000000"/>
          <w:sz w:val="24"/>
          <w:szCs w:val="24"/>
        </w:rPr>
      </w:pPr>
      <w:bookmarkStart w:id="5" w:name="_heading=h.2et92p0" w:colFirst="0" w:colLast="0"/>
      <w:bookmarkEnd w:id="5"/>
      <w:r>
        <w:rPr>
          <w:rFonts w:ascii="Palatino Linotype" w:eastAsia="Palatino Linotype" w:hAnsi="Palatino Linotype" w:cs="Palatino Linotype"/>
          <w:b/>
          <w:color w:val="000000"/>
          <w:sz w:val="24"/>
          <w:szCs w:val="24"/>
        </w:rPr>
        <w:t>C O N S I D E R A N D O</w:t>
      </w:r>
    </w:p>
    <w:p w14:paraId="311B9FCC" w14:textId="77777777" w:rsidR="00176458" w:rsidRDefault="00176458">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p>
    <w:p w14:paraId="0BCE1148" w14:textId="77777777" w:rsidR="00176458" w:rsidRDefault="00AE3C26">
      <w:pPr>
        <w:pStyle w:val="Ttulo2"/>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Pr>
          <w:rFonts w:ascii="Palatino Linotype" w:eastAsia="Palatino Linotype" w:hAnsi="Palatino Linotype" w:cs="Palatino Linotype"/>
          <w:b/>
          <w:color w:val="000000"/>
          <w:sz w:val="24"/>
          <w:szCs w:val="24"/>
        </w:rPr>
        <w:t>PRIMERO. De la competencia</w:t>
      </w:r>
    </w:p>
    <w:p w14:paraId="7B79A529"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8" w:name="_heading=h.1t3h5sf" w:colFirst="0" w:colLast="0"/>
      <w:bookmarkEnd w:id="8"/>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w:t>
      </w:r>
      <w:r>
        <w:rPr>
          <w:rFonts w:ascii="Palatino Linotype" w:eastAsia="Palatino Linotype" w:hAnsi="Palatino Linotype" w:cs="Palatino Linotype"/>
          <w:color w:val="000000"/>
        </w:rPr>
        <w:lastRenderedPageBreak/>
        <w:t>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4C203F8"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21EEE21" w14:textId="77777777" w:rsidR="00176458" w:rsidRDefault="00AE3C2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bookmarkStart w:id="9" w:name="_heading=h.4d34og8" w:colFirst="0" w:colLast="0"/>
      <w:bookmarkEnd w:id="9"/>
      <w:r>
        <w:rPr>
          <w:rFonts w:ascii="Palatino Linotype" w:eastAsia="Palatino Linotype" w:hAnsi="Palatino Linotype" w:cs="Palatino Linotype"/>
          <w:b/>
          <w:color w:val="000000"/>
        </w:rPr>
        <w:t>SEGUNDO. De la oportunidad y procedencia.</w:t>
      </w:r>
    </w:p>
    <w:p w14:paraId="17A221D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0" w:name="_heading=h.2s8eyo1" w:colFirst="0" w:colLast="0"/>
      <w:bookmarkEnd w:id="10"/>
      <w:r>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41F8CAE9" w14:textId="77777777" w:rsidR="00176458" w:rsidRDefault="00176458">
      <w:pPr>
        <w:spacing w:line="360" w:lineRule="auto"/>
        <w:jc w:val="both"/>
        <w:rPr>
          <w:rFonts w:ascii="Palatino Linotype" w:eastAsia="Palatino Linotype" w:hAnsi="Palatino Linotype" w:cs="Palatino Linotype"/>
        </w:rPr>
      </w:pPr>
    </w:p>
    <w:p w14:paraId="008D2105"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ende, se constituye la figura jurídica de la </w:t>
      </w:r>
      <w:r>
        <w:rPr>
          <w:rFonts w:ascii="Palatino Linotype" w:eastAsia="Palatino Linotype" w:hAnsi="Palatino Linotype" w:cs="Palatino Linotype"/>
          <w:b/>
          <w:i/>
          <w:color w:val="000000"/>
        </w:rPr>
        <w:t>negativa ficta</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que establece el artículo </w:t>
      </w:r>
      <w:r>
        <w:rPr>
          <w:rFonts w:ascii="Palatino Linotype" w:eastAsia="Palatino Linotype" w:hAnsi="Palatino Linotype" w:cs="Palatino Linotype"/>
          <w:b/>
          <w:color w:val="000000"/>
        </w:rPr>
        <w:t>178</w:t>
      </w:r>
      <w:r>
        <w:rPr>
          <w:rFonts w:ascii="Palatino Linotype" w:eastAsia="Palatino Linotype" w:hAnsi="Palatino Linotype" w:cs="Palatino Linotype"/>
          <w:color w:val="000000"/>
        </w:rPr>
        <w:t xml:space="preserve"> segundo párrafo de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highlight w:val="white"/>
        </w:rPr>
        <w:t xml:space="preserve">, que dispone; ante la falta de respuesta del </w:t>
      </w:r>
      <w:r>
        <w:rPr>
          <w:rFonts w:ascii="Palatino Linotype" w:eastAsia="Palatino Linotype" w:hAnsi="Palatino Linotype" w:cs="Palatino Linotype"/>
          <w:b/>
          <w:color w:val="000000"/>
          <w:highlight w:val="white"/>
        </w:rPr>
        <w:t>SUJETO OBLIGADO,</w:t>
      </w:r>
      <w:r>
        <w:rPr>
          <w:rFonts w:ascii="Palatino Linotype" w:eastAsia="Palatino Linotype" w:hAnsi="Palatino Linotype" w:cs="Palatino Linotype"/>
          <w:color w:val="000000"/>
          <w:highlight w:val="white"/>
        </w:rPr>
        <w:t xml:space="preserve"> dentro de los plazos establecidos en esta Ley, a una solicitud de acceso a la información pública, el recurso </w:t>
      </w:r>
      <w:r>
        <w:rPr>
          <w:rFonts w:ascii="Palatino Linotype" w:eastAsia="Palatino Linotype" w:hAnsi="Palatino Linotype" w:cs="Palatino Linotype"/>
          <w:b/>
          <w:color w:val="000000"/>
          <w:highlight w:val="white"/>
        </w:rPr>
        <w:t xml:space="preserve">podrá ser interpuesto en cualquier momento. </w:t>
      </w:r>
    </w:p>
    <w:p w14:paraId="41385E29"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que, tratándose de la </w:t>
      </w:r>
      <w:r>
        <w:rPr>
          <w:rFonts w:ascii="Palatino Linotype" w:eastAsia="Palatino Linotype" w:hAnsi="Palatino Linotype" w:cs="Palatino Linotype"/>
          <w:b/>
          <w:i/>
          <w:color w:val="000000"/>
        </w:rPr>
        <w:t>negativa ficta</w:t>
      </w:r>
      <w:r>
        <w:rPr>
          <w:rFonts w:ascii="Palatino Linotype" w:eastAsia="Palatino Linotype" w:hAnsi="Palatino Linotype" w:cs="Palatino Linotype"/>
          <w:color w:val="000000"/>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Pr>
          <w:rFonts w:ascii="Palatino Linotype" w:eastAsia="Palatino Linotype" w:hAnsi="Palatino Linotype" w:cs="Palatino Linotype"/>
          <w:i/>
          <w:color w:val="000000"/>
        </w:rPr>
        <w:t>negativa ficta</w:t>
      </w:r>
      <w:r>
        <w:rPr>
          <w:rFonts w:ascii="Palatino Linotype" w:eastAsia="Palatino Linotype" w:hAnsi="Palatino Linotype" w:cs="Palatino Linotype"/>
          <w:color w:val="000000"/>
        </w:rPr>
        <w:t>, que señala:</w:t>
      </w:r>
    </w:p>
    <w:p w14:paraId="2A811E38" w14:textId="77777777" w:rsidR="00176458" w:rsidRDefault="00AE3C26">
      <w:pPr>
        <w:tabs>
          <w:tab w:val="left" w:pos="7655"/>
        </w:tabs>
        <w:ind w:left="1134" w:right="900"/>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Criterio 0001-15</w:t>
      </w:r>
    </w:p>
    <w:p w14:paraId="367108AF" w14:textId="77777777" w:rsidR="00176458" w:rsidRDefault="00AE3C26">
      <w:pPr>
        <w:tabs>
          <w:tab w:val="left" w:pos="7655"/>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NEGATIVA FICTA. PLAZO PARA INTERPONER EL RECURSO DE REVISIÓN TRATÁNDOSE DE.</w:t>
      </w:r>
      <w:r>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29670036" w14:textId="77777777" w:rsidR="00176458" w:rsidRDefault="00176458">
      <w:pPr>
        <w:tabs>
          <w:tab w:val="left" w:pos="7655"/>
        </w:tabs>
        <w:spacing w:line="360" w:lineRule="auto"/>
        <w:ind w:left="567" w:right="567"/>
        <w:jc w:val="both"/>
        <w:rPr>
          <w:rFonts w:ascii="Palatino Linotype" w:eastAsia="Palatino Linotype" w:hAnsi="Palatino Linotype" w:cs="Palatino Linotype"/>
          <w:i/>
          <w:sz w:val="22"/>
          <w:szCs w:val="22"/>
        </w:rPr>
      </w:pPr>
    </w:p>
    <w:p w14:paraId="6F7FDAE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Lo anterior, se explica porque la </w:t>
      </w:r>
      <w:r>
        <w:rPr>
          <w:rFonts w:ascii="Palatino Linotype" w:eastAsia="Palatino Linotype" w:hAnsi="Palatino Linotype" w:cs="Palatino Linotype"/>
          <w:b/>
          <w:color w:val="000000"/>
          <w:u w:val="single"/>
        </w:rPr>
        <w:t>posible ausencia</w:t>
      </w:r>
      <w:r>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w:t>
      </w:r>
    </w:p>
    <w:p w14:paraId="16FDAE1B" w14:textId="77777777" w:rsidR="00176458" w:rsidRDefault="00176458">
      <w:pPr>
        <w:spacing w:line="360" w:lineRule="auto"/>
        <w:rPr>
          <w:rFonts w:ascii="Palatino Linotype" w:eastAsia="Palatino Linotype" w:hAnsi="Palatino Linotype" w:cs="Palatino Linotype"/>
        </w:rPr>
      </w:pPr>
    </w:p>
    <w:p w14:paraId="1D0D01BA"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707EDBA"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2637B20B" w14:textId="77777777" w:rsidR="00176458" w:rsidRDefault="00AE3C26">
      <w:pPr>
        <w:pStyle w:val="Ttulo1"/>
        <w:spacing w:before="0" w:line="360" w:lineRule="auto"/>
        <w:rPr>
          <w:rFonts w:ascii="Palatino Linotype" w:eastAsia="Palatino Linotype" w:hAnsi="Palatino Linotype" w:cs="Palatino Linotype"/>
          <w:b/>
          <w:color w:val="000000"/>
          <w:sz w:val="24"/>
          <w:szCs w:val="24"/>
        </w:rPr>
      </w:pPr>
      <w:bookmarkStart w:id="11" w:name="_heading=h.17dp8vu" w:colFirst="0" w:colLast="0"/>
      <w:bookmarkEnd w:id="11"/>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14:paraId="41B60FAF"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las constancias en el expediente al rubro indicado, se desprende que el particular solicitó información relativa a: </w:t>
      </w:r>
      <w:r>
        <w:rPr>
          <w:rFonts w:ascii="Palatino Linotype" w:eastAsia="Palatino Linotype" w:hAnsi="Palatino Linotype" w:cs="Palatino Linotype"/>
          <w:i/>
          <w:color w:val="000000"/>
        </w:rPr>
        <w:t>“EL MUNICIPIO DE ECATEPEC DE MORELOS REPORTA PARA EL EJERCICIO DE 2022 UN TOTAL DE 187,448 CUENTAS PAGADAS POR CONCEPTO DE IMPUESTO PREDIAL, PARA UNA RECAUDACION SOLO POR ESE CONCEPTO DE $ 373,432,187. DESEO SABER EL MONTO TOTAL RECAUDADO POR CONCEPTO DE IMPUESTO PREDIAL EN EL EJERCICIO DE 2023 Y TAMBIEN EL TOTAL DE LAS CUENTAS CATASTRALES QUE FORMAN PARTE DEL PADRON ACTUAL, POR ULTIMO MONTO TOTAL DE IMPUESTO PREDIAL QUE TIENE CONSIDERADO RECUDAR PARA EL EJERJCICIO DE 2024.”;</w:t>
      </w:r>
      <w:r>
        <w:rPr>
          <w:rFonts w:ascii="Palatino Linotype" w:eastAsia="Palatino Linotype" w:hAnsi="Palatino Linotype" w:cs="Palatino Linotype"/>
          <w:color w:val="000000"/>
        </w:rPr>
        <w:t xml:space="preserve"> derivado de la falta de respuesta por parte del </w:t>
      </w:r>
      <w:r>
        <w:rPr>
          <w:rFonts w:ascii="Palatino Linotype" w:eastAsia="Palatino Linotype" w:hAnsi="Palatino Linotype" w:cs="Palatino Linotype"/>
          <w:b/>
          <w:color w:val="000000"/>
        </w:rPr>
        <w:t xml:space="preserve">SUJETO </w:t>
      </w:r>
      <w:r>
        <w:rPr>
          <w:rFonts w:ascii="Palatino Linotype" w:eastAsia="Palatino Linotype" w:hAnsi="Palatino Linotype" w:cs="Palatino Linotype"/>
          <w:b/>
          <w:color w:val="000000"/>
        </w:rPr>
        <w:lastRenderedPageBreak/>
        <w:t>OBLIGADO</w:t>
      </w:r>
      <w:r>
        <w:rPr>
          <w:rFonts w:ascii="Palatino Linotype" w:eastAsia="Palatino Linotype" w:hAnsi="Palatino Linotype" w:cs="Palatino Linotype"/>
          <w:color w:val="000000"/>
        </w:rPr>
        <w:t>, el particular interpuso el Recurso de Revisión, ante este Órgano Garante para hacer valer su derecho de acceso a la información pública.</w:t>
      </w:r>
    </w:p>
    <w:p w14:paraId="0084958E" w14:textId="77777777" w:rsidR="00176458" w:rsidRDefault="00176458">
      <w:pPr>
        <w:tabs>
          <w:tab w:val="left" w:pos="284"/>
        </w:tabs>
        <w:spacing w:line="360" w:lineRule="auto"/>
        <w:jc w:val="both"/>
        <w:rPr>
          <w:rFonts w:ascii="Palatino Linotype" w:eastAsia="Palatino Linotype" w:hAnsi="Palatino Linotype" w:cs="Palatino Linotype"/>
          <w:i/>
        </w:rPr>
      </w:pPr>
    </w:p>
    <w:p w14:paraId="796A080D"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dichas condiciones,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a resolver en el presente recurso de revisión se circunscribe a determinar si se actualizan la causal de procedencia prevista en el artículo 179, fracción </w:t>
      </w:r>
      <w:r>
        <w:rPr>
          <w:rFonts w:ascii="Palatino Linotype" w:eastAsia="Palatino Linotype" w:hAnsi="Palatino Linotype" w:cs="Palatino Linotype"/>
          <w:b/>
          <w:color w:val="000000"/>
        </w:rPr>
        <w:t>VII</w:t>
      </w:r>
      <w:r>
        <w:rPr>
          <w:rFonts w:ascii="Palatino Linotype" w:eastAsia="Palatino Linotype" w:hAnsi="Palatino Linotype" w:cs="Palatino Linotype"/>
          <w:color w:val="000000"/>
        </w:rPr>
        <w:t xml:space="preserve"> de la </w:t>
      </w:r>
      <w:r>
        <w:rPr>
          <w:rFonts w:ascii="Palatino Linotype" w:eastAsia="Palatino Linotype" w:hAnsi="Palatino Linotype" w:cs="Palatino Linotype"/>
          <w:b/>
          <w:color w:val="000000"/>
        </w:rPr>
        <w:t>Ley de Transparencia y Acceso a la Información Pública del Estado de México y Municipios</w:t>
      </w:r>
      <w:r>
        <w:rPr>
          <w:rFonts w:ascii="Palatino Linotype" w:eastAsia="Palatino Linotype" w:hAnsi="Palatino Linotype" w:cs="Palatino Linotype"/>
          <w:color w:val="000000"/>
        </w:rPr>
        <w:t>; fracción que determina la hipótesis jurídica relativa a</w:t>
      </w:r>
      <w:r>
        <w:rPr>
          <w:rFonts w:ascii="Palatino Linotype" w:eastAsia="Palatino Linotype" w:hAnsi="Palatino Linotype" w:cs="Palatino Linotype"/>
          <w:b/>
          <w:color w:val="000000"/>
        </w:rPr>
        <w:t xml:space="preserve"> la falta de respuesta a una solicitud de acceso a la información</w:t>
      </w:r>
      <w:r>
        <w:rPr>
          <w:rFonts w:ascii="Palatino Linotype" w:eastAsia="Palatino Linotype" w:hAnsi="Palatino Linotype" w:cs="Palatino Linotype"/>
          <w:color w:val="000000"/>
        </w:rPr>
        <w:t xml:space="preserve">; contexto del cual se dolió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al momento de interponer su recurso de revisión;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73C3E603"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3D5C003E" w14:textId="77777777" w:rsidR="00176458" w:rsidRDefault="00AE3C26">
      <w:pPr>
        <w:keepNext/>
        <w:keepLines/>
        <w:spacing w:line="360" w:lineRule="auto"/>
        <w:rPr>
          <w:rFonts w:ascii="Palatino Linotype" w:eastAsia="Palatino Linotype" w:hAnsi="Palatino Linotype" w:cs="Palatino Linotype"/>
          <w:b/>
        </w:rPr>
      </w:pPr>
      <w:bookmarkStart w:id="12" w:name="_heading=h.3rdcrjn" w:colFirst="0" w:colLast="0"/>
      <w:bookmarkEnd w:id="12"/>
      <w:r>
        <w:rPr>
          <w:rFonts w:ascii="Palatino Linotype" w:eastAsia="Palatino Linotype" w:hAnsi="Palatino Linotype" w:cs="Palatino Linotype"/>
          <w:b/>
        </w:rPr>
        <w:t>CUARTO. Del estudio y resolución del asunto.</w:t>
      </w:r>
    </w:p>
    <w:p w14:paraId="0D822DCF" w14:textId="77777777" w:rsidR="00176458" w:rsidRDefault="00AE3C26">
      <w:pPr>
        <w:keepNext/>
        <w:keepLines/>
        <w:numPr>
          <w:ilvl w:val="1"/>
          <w:numId w:val="8"/>
        </w:numPr>
        <w:spacing w:line="360" w:lineRule="auto"/>
        <w:ind w:left="851"/>
        <w:jc w:val="both"/>
        <w:rPr>
          <w:rFonts w:ascii="Palatino Linotype" w:eastAsia="Palatino Linotype" w:hAnsi="Palatino Linotype" w:cs="Palatino Linotype"/>
          <w:b/>
        </w:rPr>
      </w:pPr>
      <w:bookmarkStart w:id="13" w:name="_heading=h.26in1rg" w:colFirst="0" w:colLast="0"/>
      <w:bookmarkEnd w:id="13"/>
      <w:r>
        <w:rPr>
          <w:rFonts w:ascii="Palatino Linotype" w:eastAsia="Palatino Linotype" w:hAnsi="Palatino Linotype" w:cs="Palatino Linotype"/>
          <w:b/>
        </w:rPr>
        <w:t>Del Derecho de Acceso a la Información.</w:t>
      </w:r>
    </w:p>
    <w:p w14:paraId="56240529"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4" w:name="_heading=h.lnxbz9" w:colFirst="0" w:colLast="0"/>
      <w:bookmarkEnd w:id="14"/>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3EE6E11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color w:val="000000"/>
          <w:vertAlign w:val="superscript"/>
        </w:rPr>
        <w:footnoteReference w:id="1"/>
      </w:r>
      <w:r>
        <w:rPr>
          <w:rFonts w:ascii="Palatino Linotype" w:eastAsia="Palatino Linotype" w:hAnsi="Palatino Linotype" w:cs="Palatino Linotype"/>
          <w:i/>
          <w:color w:val="000000"/>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color w:val="000000"/>
          <w:vertAlign w:val="superscript"/>
        </w:rPr>
        <w:footnoteReference w:id="2"/>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Pr>
          <w:rFonts w:ascii="Palatino Linotype" w:eastAsia="Palatino Linotype" w:hAnsi="Palatino Linotype" w:cs="Palatino Linotype"/>
          <w:i/>
          <w:color w:val="000000"/>
          <w:vertAlign w:val="superscript"/>
        </w:rPr>
        <w:footnoteReference w:id="3"/>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color w:val="000000"/>
          <w:vertAlign w:val="superscript"/>
        </w:rPr>
        <w:footnoteReference w:id="4"/>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3A5712F7" w14:textId="77777777" w:rsidR="00176458" w:rsidRDefault="00176458">
      <w:pPr>
        <w:spacing w:line="360" w:lineRule="auto"/>
        <w:jc w:val="both"/>
        <w:rPr>
          <w:rFonts w:ascii="Palatino Linotype" w:eastAsia="Palatino Linotype" w:hAnsi="Palatino Linotype" w:cs="Palatino Linotype"/>
        </w:rPr>
      </w:pPr>
    </w:p>
    <w:p w14:paraId="397F6A1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14:paraId="6816D950"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14:paraId="4F9BB8CA"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40CF859"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20A03571" w14:textId="77777777" w:rsidR="00176458" w:rsidRDefault="00AE3C2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3D2EF1FD" w14:textId="77777777" w:rsidR="00176458" w:rsidRDefault="00AE3C2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4D064AC1" w14:textId="77777777" w:rsidR="00176458" w:rsidRDefault="00176458">
      <w:pPr>
        <w:ind w:right="567"/>
        <w:jc w:val="both"/>
        <w:rPr>
          <w:rFonts w:ascii="Palatino Linotype" w:eastAsia="Palatino Linotype" w:hAnsi="Palatino Linotype" w:cs="Palatino Linotype"/>
        </w:rPr>
      </w:pPr>
    </w:p>
    <w:p w14:paraId="056EB1C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 mismo artículo.</w:t>
      </w:r>
    </w:p>
    <w:p w14:paraId="02A69C60" w14:textId="77777777" w:rsidR="00176458" w:rsidRDefault="00176458">
      <w:pPr>
        <w:spacing w:line="360" w:lineRule="auto"/>
        <w:jc w:val="both"/>
        <w:rPr>
          <w:rFonts w:ascii="Palatino Linotype" w:eastAsia="Palatino Linotype" w:hAnsi="Palatino Linotype" w:cs="Palatino Linotype"/>
          <w:i/>
        </w:rPr>
      </w:pPr>
    </w:p>
    <w:p w14:paraId="4CC9BF21"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conforme a la Constitución Política de los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2B62DEE" w14:textId="77777777" w:rsidR="00176458" w:rsidRDefault="00AE3C26">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Constitución Política de los Estados Unidos Mexicanos</w:t>
      </w:r>
    </w:p>
    <w:p w14:paraId="520CE53E" w14:textId="77777777" w:rsidR="00176458" w:rsidRDefault="00AE3C2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w:t>
      </w:r>
    </w:p>
    <w:p w14:paraId="53C35703"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7EDDF9E"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14:paraId="4BA8557D" w14:textId="77777777" w:rsidR="00176458" w:rsidRDefault="00AE3C2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3E472E1"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 xml:space="preserve">En la interpretación de este derecho deberá prevalecer el principio de </w:t>
      </w:r>
      <w:r>
        <w:rPr>
          <w:rFonts w:ascii="Palatino Linotype" w:eastAsia="Palatino Linotype" w:hAnsi="Palatino Linotype" w:cs="Palatino Linotype"/>
          <w:b/>
          <w:i/>
          <w:sz w:val="22"/>
          <w:szCs w:val="22"/>
        </w:rPr>
        <w:lastRenderedPageBreak/>
        <w:t>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E17ECBE" w14:textId="77777777" w:rsidR="00176458" w:rsidRDefault="00AE3C26">
      <w:pPr>
        <w:pBdr>
          <w:top w:val="nil"/>
          <w:left w:val="nil"/>
          <w:bottom w:val="nil"/>
          <w:right w:val="nil"/>
          <w:between w:val="nil"/>
        </w:pBdr>
        <w:tabs>
          <w:tab w:val="left" w:pos="567"/>
        </w:tabs>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36E2080B" w14:textId="77777777" w:rsidR="00176458" w:rsidRDefault="00176458">
      <w:pPr>
        <w:pBdr>
          <w:top w:val="nil"/>
          <w:left w:val="nil"/>
          <w:bottom w:val="nil"/>
          <w:right w:val="nil"/>
          <w:between w:val="nil"/>
        </w:pBdr>
        <w:tabs>
          <w:tab w:val="left" w:pos="567"/>
        </w:tabs>
        <w:ind w:left="1134" w:right="900"/>
        <w:jc w:val="both"/>
        <w:rPr>
          <w:rFonts w:ascii="Palatino Linotype" w:eastAsia="Palatino Linotype" w:hAnsi="Palatino Linotype" w:cs="Palatino Linotype"/>
          <w:color w:val="000000"/>
          <w:sz w:val="22"/>
          <w:szCs w:val="22"/>
        </w:rPr>
      </w:pPr>
    </w:p>
    <w:p w14:paraId="185B71BA" w14:textId="77777777" w:rsidR="00176458" w:rsidRDefault="00AE3C26">
      <w:pPr>
        <w:ind w:left="1134" w:right="900"/>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14:paraId="0726BD59"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w:t>
      </w:r>
    </w:p>
    <w:p w14:paraId="743AAB76"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09D0CD8C"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14:paraId="2A6A3B1E"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86ABDC6" w14:textId="77777777" w:rsidR="00176458" w:rsidRDefault="00176458">
      <w:pPr>
        <w:ind w:left="1134" w:right="900"/>
        <w:jc w:val="both"/>
        <w:rPr>
          <w:rFonts w:ascii="Palatino Linotype" w:eastAsia="Palatino Linotype" w:hAnsi="Palatino Linotype" w:cs="Palatino Linotype"/>
          <w:i/>
          <w:sz w:val="22"/>
          <w:szCs w:val="22"/>
        </w:rPr>
      </w:pPr>
    </w:p>
    <w:p w14:paraId="41FF2088"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14:paraId="738FE5CF" w14:textId="77777777" w:rsidR="00176458" w:rsidRDefault="00AE3C26">
      <w:pPr>
        <w:numPr>
          <w:ilvl w:val="0"/>
          <w:numId w:val="5"/>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Toda la información en posesión de cualquier autoridad, entidad, órgano y organismos de los</w:t>
      </w:r>
      <w:r>
        <w:rPr>
          <w:rFonts w:ascii="Palatino Linotype" w:eastAsia="Palatino Linotype" w:hAnsi="Palatino Linotype" w:cs="Palatino Linotype"/>
          <w:i/>
          <w:color w:val="000000"/>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color w:val="000000"/>
          <w:sz w:val="22"/>
          <w:szCs w:val="22"/>
        </w:rPr>
        <w:t>municipales</w:t>
      </w:r>
      <w:r>
        <w:rPr>
          <w:rFonts w:ascii="Palatino Linotype" w:eastAsia="Palatino Linotype" w:hAnsi="Palatino Linotype" w:cs="Palatino Linotype"/>
          <w:i/>
          <w:color w:val="000000"/>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color w:val="000000"/>
          <w:sz w:val="22"/>
          <w:szCs w:val="22"/>
        </w:rPr>
        <w:t>es pública</w:t>
      </w:r>
      <w:r>
        <w:rPr>
          <w:rFonts w:ascii="Palatino Linotype" w:eastAsia="Palatino Linotype" w:hAnsi="Palatino Linotype" w:cs="Palatino Linotype"/>
          <w:i/>
          <w:color w:val="000000"/>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color w:val="000000"/>
          <w:sz w:val="22"/>
          <w:szCs w:val="22"/>
        </w:rPr>
        <w:t>En la interpretación de este derecho deberá prevalecer el principio de máxima publicidad</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b/>
          <w:i/>
          <w:color w:val="000000"/>
          <w:sz w:val="22"/>
          <w:szCs w:val="22"/>
        </w:rPr>
        <w:t>Los sujetos obligados deberán documentar todo acto que derive del ejercicio de sus facultades, competencias o funciones</w:t>
      </w:r>
      <w:r>
        <w:rPr>
          <w:rFonts w:ascii="Palatino Linotype" w:eastAsia="Palatino Linotype" w:hAnsi="Palatino Linotype" w:cs="Palatino Linotype"/>
          <w:i/>
          <w:color w:val="000000"/>
          <w:sz w:val="22"/>
          <w:szCs w:val="22"/>
        </w:rPr>
        <w:t>, la ley determinará los supuestos específicos bajo los cuales procederá la declaración de inexistencia de la información.”</w:t>
      </w:r>
    </w:p>
    <w:p w14:paraId="72701F52" w14:textId="77777777" w:rsidR="00176458" w:rsidRDefault="00AE3C26">
      <w:pPr>
        <w:pBdr>
          <w:top w:val="nil"/>
          <w:left w:val="nil"/>
          <w:bottom w:val="nil"/>
          <w:right w:val="nil"/>
          <w:between w:val="nil"/>
        </w:pBdr>
        <w:tabs>
          <w:tab w:val="left" w:pos="567"/>
        </w:tabs>
        <w:ind w:left="1134" w:right="90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(Énfasis añadido)</w:t>
      </w:r>
    </w:p>
    <w:p w14:paraId="526E86FF" w14:textId="77777777" w:rsidR="00176458" w:rsidRDefault="00176458">
      <w:pPr>
        <w:ind w:left="567" w:right="567"/>
        <w:jc w:val="both"/>
        <w:rPr>
          <w:rFonts w:ascii="Palatino Linotype" w:eastAsia="Palatino Linotype" w:hAnsi="Palatino Linotype" w:cs="Palatino Linotype"/>
          <w:i/>
        </w:rPr>
      </w:pPr>
    </w:p>
    <w:p w14:paraId="753DC85D"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color w:val="000000"/>
        </w:rPr>
        <w:t xml:space="preserve">por </w:t>
      </w:r>
      <w:r>
        <w:rPr>
          <w:rFonts w:ascii="Palatino Linotype" w:eastAsia="Palatino Linotype" w:hAnsi="Palatino Linotype" w:cs="Palatino Linotype"/>
          <w:color w:val="000000"/>
        </w:rPr>
        <w:t>los</w:t>
      </w:r>
      <w:r>
        <w:rPr>
          <w:rFonts w:ascii="Palatino Linotype" w:eastAsia="Palatino Linotype" w:hAnsi="Palatino Linotype" w:cs="Palatino Linotype"/>
          <w:i/>
          <w:color w:val="000000"/>
        </w:rPr>
        <w:t xml:space="preserve"> principios de simplicidad, rapidez gratuidad del procedimiento, auxilio y orientación a los particulares</w:t>
      </w:r>
      <w:r>
        <w:rPr>
          <w:rFonts w:ascii="Palatino Linotype" w:eastAsia="Palatino Linotype" w:hAnsi="Palatino Linotype" w:cs="Palatino Linotype"/>
          <w:color w:val="000000"/>
        </w:rPr>
        <w:t>, contemplando el derecho de las personas con discapacidad y hablantes de lengua indígena.</w:t>
      </w:r>
    </w:p>
    <w:p w14:paraId="5E3C8EEB"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443C661"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Derecho de Acceso a la Información se garantiza y respeta oportunamente, y según lo que dispone la Ley, las </w:t>
      </w:r>
      <w:r>
        <w:rPr>
          <w:rFonts w:ascii="Palatino Linotype" w:eastAsia="Palatino Linotype" w:hAnsi="Palatino Linotype" w:cs="Palatino Linotype"/>
          <w:i/>
          <w:color w:val="000000"/>
        </w:rPr>
        <w:t>solicitudes de acceso a la información</w:t>
      </w:r>
      <w:r>
        <w:rPr>
          <w:rFonts w:ascii="Palatino Linotype" w:eastAsia="Palatino Linotype" w:hAnsi="Palatino Linotype" w:cs="Palatino Linotype"/>
          <w:color w:val="000000"/>
        </w:rPr>
        <w:t>.</w:t>
      </w:r>
    </w:p>
    <w:p w14:paraId="471E5E7D" w14:textId="77777777" w:rsidR="00176458" w:rsidRDefault="0017645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731BC6C9" w14:textId="77777777" w:rsidR="00176458" w:rsidRDefault="00AE3C26">
      <w:pPr>
        <w:keepNext/>
        <w:keepLines/>
        <w:numPr>
          <w:ilvl w:val="1"/>
          <w:numId w:val="8"/>
        </w:numPr>
        <w:spacing w:line="360" w:lineRule="auto"/>
        <w:ind w:left="851"/>
        <w:jc w:val="both"/>
        <w:rPr>
          <w:rFonts w:ascii="Palatino Linotype" w:eastAsia="Palatino Linotype" w:hAnsi="Palatino Linotype" w:cs="Palatino Linotype"/>
          <w:b/>
        </w:rPr>
      </w:pPr>
      <w:bookmarkStart w:id="15" w:name="_heading=h.35nkun2" w:colFirst="0" w:colLast="0"/>
      <w:bookmarkEnd w:id="15"/>
      <w:r>
        <w:rPr>
          <w:rFonts w:ascii="Palatino Linotype" w:eastAsia="Palatino Linotype" w:hAnsi="Palatino Linotype" w:cs="Palatino Linotype"/>
          <w:b/>
        </w:rPr>
        <w:t xml:space="preserve">Del deber de las autoridades de promover, respetar, proteger y garantizar el derecho de acceso a la información pública. </w:t>
      </w:r>
    </w:p>
    <w:p w14:paraId="0BA6040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 fundamento en el artículo 150 de la Ley de Transparencia y Acceso a la Información Pública del Estado de México y Municipios, la solicitud de información es la garantía primaria del Derecho de Acceso a la información Pública, además, establece que se regirá por los principios de simplicidad, rapidez gratuidad del procedimiento, auxilio y orientación a los particulares, contemplando el derecho de las personas con discapacidad y hablantes de lengua indígena.</w:t>
      </w:r>
    </w:p>
    <w:p w14:paraId="7AF48548"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14:paraId="11AA231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w:t>
      </w:r>
      <w:r>
        <w:rPr>
          <w:rFonts w:ascii="Palatino Linotype" w:eastAsia="Palatino Linotype" w:hAnsi="Palatino Linotype" w:cs="Palatino Linotype"/>
          <w:color w:val="000000"/>
        </w:rPr>
        <w:lastRenderedPageBreak/>
        <w:t>uno de los principios del procedimiento de acceso a la información se rige por la simplicidad y la rapidez.</w:t>
      </w:r>
    </w:p>
    <w:p w14:paraId="47107CEC" w14:textId="77777777" w:rsidR="00176458" w:rsidRDefault="00176458">
      <w:pPr>
        <w:pBdr>
          <w:top w:val="nil"/>
          <w:left w:val="nil"/>
          <w:bottom w:val="nil"/>
          <w:right w:val="nil"/>
          <w:between w:val="nil"/>
        </w:pBdr>
        <w:ind w:left="708"/>
        <w:rPr>
          <w:rFonts w:ascii="Palatino Linotype" w:eastAsia="Palatino Linotype" w:hAnsi="Palatino Linotype" w:cs="Palatino Linotype"/>
          <w:b/>
          <w:color w:val="000000"/>
        </w:rPr>
      </w:pPr>
    </w:p>
    <w:p w14:paraId="5E954E9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20F4BD11" w14:textId="77777777" w:rsidR="00176458" w:rsidRDefault="00AE3C2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163.</w:t>
      </w:r>
      <w:r>
        <w:rPr>
          <w:rFonts w:ascii="Palatino Linotype" w:eastAsia="Palatino Linotype" w:hAnsi="Palatino Linotype" w:cs="Palatino Linotype"/>
          <w:i/>
          <w:color w:val="000000"/>
          <w:sz w:val="22"/>
          <w:szCs w:val="22"/>
        </w:rPr>
        <w:t xml:space="preserve"> La Unidad de Transparencia deberá notificar la respuesta a la solicitud al interesado en el menor tiempo posible, que no podrá exceder de quince días hábiles, contados a partir del día siguiente a la presentación de aquélla. </w:t>
      </w:r>
    </w:p>
    <w:p w14:paraId="6805F038" w14:textId="77777777" w:rsidR="00176458" w:rsidRDefault="00AE3C2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p>
    <w:p w14:paraId="46DD7347" w14:textId="77777777" w:rsidR="00176458" w:rsidRDefault="00176458">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p>
    <w:p w14:paraId="389C49F4" w14:textId="77777777" w:rsidR="00176458" w:rsidRDefault="00AE3C2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Artículo 166.</w:t>
      </w:r>
      <w:r>
        <w:rPr>
          <w:rFonts w:ascii="Palatino Linotype" w:eastAsia="Palatino Linotype" w:hAnsi="Palatino Linotype" w:cs="Palatino Linotype"/>
          <w:i/>
          <w:color w:val="000000"/>
          <w:sz w:val="22"/>
          <w:szCs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5ECDE357" w14:textId="77777777" w:rsidR="00176458" w:rsidRDefault="00176458">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sz w:val="22"/>
          <w:szCs w:val="22"/>
        </w:rPr>
      </w:pPr>
    </w:p>
    <w:p w14:paraId="1B97684F"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este caso, dado que el</w:t>
      </w:r>
      <w:r>
        <w:rPr>
          <w:rFonts w:ascii="Palatino Linotype" w:eastAsia="Palatino Linotype" w:hAnsi="Palatino Linotype" w:cs="Palatino Linotype"/>
          <w:b/>
          <w:color w:val="000000"/>
        </w:rPr>
        <w:t xml:space="preserve"> SUJETO OBLIGADO</w:t>
      </w:r>
      <w:r>
        <w:rPr>
          <w:rFonts w:ascii="Palatino Linotype" w:eastAsia="Palatino Linotype" w:hAnsi="Palatino Linotype" w:cs="Palatino Linotype"/>
          <w:color w:val="000000"/>
        </w:rPr>
        <w:t xml:space="preserve"> omitió turnar la solicitud de información que formuló la particular al servidor público competente, como parte de derecho de acceso a la información pública, dicha solicitud no fue atendida, por lo que no se emitió una respuesta.</w:t>
      </w:r>
    </w:p>
    <w:p w14:paraId="1A89612A" w14:textId="77777777" w:rsidR="00176458" w:rsidRDefault="00176458">
      <w:pPr>
        <w:spacing w:line="360" w:lineRule="auto"/>
        <w:jc w:val="both"/>
        <w:rPr>
          <w:rFonts w:ascii="Palatino Linotype" w:eastAsia="Palatino Linotype" w:hAnsi="Palatino Linotype" w:cs="Palatino Linotype"/>
        </w:rPr>
      </w:pPr>
    </w:p>
    <w:p w14:paraId="23614028"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tanto, en cumplimiento a las obligaciones que la Constitución Federal, la Constitución Estatal y la Ley de la materia,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está constreñido a dar atención a las solicitudes de información que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o de vía directa que le sean presentadas en ejercicio del derecho humano de acceso a la información pública, lo cual, en el caso no aconteció, pues tal y como se ha </w:t>
      </w:r>
      <w:r>
        <w:rPr>
          <w:rFonts w:ascii="Palatino Linotype" w:eastAsia="Palatino Linotype" w:hAnsi="Palatino Linotype" w:cs="Palatino Linotype"/>
          <w:color w:val="000000"/>
        </w:rPr>
        <w:lastRenderedPageBreak/>
        <w:t xml:space="preserve">acreditado de la revisión del expediente electrónico formado en el </w:t>
      </w:r>
      <w:r>
        <w:rPr>
          <w:rFonts w:ascii="Palatino Linotype" w:eastAsia="Palatino Linotype" w:hAnsi="Palatino Linotype" w:cs="Palatino Linotype"/>
          <w:b/>
          <w:color w:val="000000"/>
        </w:rPr>
        <w:t>SAIME</w:t>
      </w:r>
      <w:r>
        <w:rPr>
          <w:rFonts w:ascii="Palatino Linotype" w:eastAsia="Palatino Linotype" w:hAnsi="Palatino Linotype" w:cs="Palatino Linotype"/>
          <w:color w:val="000000"/>
        </w:rPr>
        <w:t xml:space="preserve">X,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dar respuesta a las solicitudes. Prueba de ello, son las capturas de pantalla que se incorporan:</w:t>
      </w:r>
    </w:p>
    <w:p w14:paraId="64E70556" w14:textId="77777777" w:rsidR="00176458" w:rsidRDefault="00AE3C26">
      <w:pPr>
        <w:pBdr>
          <w:top w:val="nil"/>
          <w:left w:val="nil"/>
          <w:bottom w:val="nil"/>
          <w:right w:val="nil"/>
          <w:between w:val="nil"/>
        </w:pBdr>
        <w:rPr>
          <w:color w:val="000000"/>
        </w:rPr>
      </w:pPr>
      <w:r>
        <w:rPr>
          <w:noProof/>
          <w:color w:val="000000"/>
          <w:lang w:val="es-MX"/>
        </w:rPr>
        <w:drawing>
          <wp:inline distT="0" distB="0" distL="0" distR="0" wp14:anchorId="39A09BA6" wp14:editId="617FF61C">
            <wp:extent cx="5782628" cy="1267034"/>
            <wp:effectExtent l="0" t="0" r="0" b="0"/>
            <wp:docPr id="22" name="image2.jpg" descr="C:\Users\SERVICIO\Downloads\e43c0185-a02d-42aa-a4ee-f68e4db9e8b9.jpg"/>
            <wp:cNvGraphicFramePr/>
            <a:graphic xmlns:a="http://schemas.openxmlformats.org/drawingml/2006/main">
              <a:graphicData uri="http://schemas.openxmlformats.org/drawingml/2006/picture">
                <pic:pic xmlns:pic="http://schemas.openxmlformats.org/drawingml/2006/picture">
                  <pic:nvPicPr>
                    <pic:cNvPr id="0" name="image2.jpg" descr="C:\Users\SERVICIO\Downloads\e43c0185-a02d-42aa-a4ee-f68e4db9e8b9.jpg"/>
                    <pic:cNvPicPr preferRelativeResize="0"/>
                  </pic:nvPicPr>
                  <pic:blipFill>
                    <a:blip r:embed="rId9"/>
                    <a:srcRect/>
                    <a:stretch>
                      <a:fillRect/>
                    </a:stretch>
                  </pic:blipFill>
                  <pic:spPr>
                    <a:xfrm>
                      <a:off x="0" y="0"/>
                      <a:ext cx="5782628" cy="1267034"/>
                    </a:xfrm>
                    <a:prstGeom prst="rect">
                      <a:avLst/>
                    </a:prstGeom>
                    <a:ln/>
                  </pic:spPr>
                </pic:pic>
              </a:graphicData>
            </a:graphic>
          </wp:inline>
        </w:drawing>
      </w:r>
      <w:r>
        <w:rPr>
          <w:noProof/>
          <w:lang w:val="es-MX"/>
        </w:rPr>
        <mc:AlternateContent>
          <mc:Choice Requires="wpg">
            <w:drawing>
              <wp:anchor distT="0" distB="0" distL="114300" distR="114300" simplePos="0" relativeHeight="251658240" behindDoc="0" locked="0" layoutInCell="1" hidden="0" allowOverlap="1" wp14:anchorId="051182F7" wp14:editId="0BD9FBB3">
                <wp:simplePos x="0" y="0"/>
                <wp:positionH relativeFrom="column">
                  <wp:posOffset>5486400</wp:posOffset>
                </wp:positionH>
                <wp:positionV relativeFrom="paragraph">
                  <wp:posOffset>152400</wp:posOffset>
                </wp:positionV>
                <wp:extent cx="788035" cy="488950"/>
                <wp:effectExtent l="0" t="0" r="0" b="0"/>
                <wp:wrapNone/>
                <wp:docPr id="16" name="Rectángulo 16"/>
                <wp:cNvGraphicFramePr/>
                <a:graphic xmlns:a="http://schemas.openxmlformats.org/drawingml/2006/main">
                  <a:graphicData uri="http://schemas.microsoft.com/office/word/2010/wordprocessingShape">
                    <wps:wsp>
                      <wps:cNvSpPr/>
                      <wps:spPr>
                        <a:xfrm>
                          <a:off x="4956745" y="3540288"/>
                          <a:ext cx="778510" cy="479425"/>
                        </a:xfrm>
                        <a:prstGeom prst="rect">
                          <a:avLst/>
                        </a:prstGeom>
                        <a:solidFill>
                          <a:schemeClr val="lt1"/>
                        </a:solidFill>
                        <a:ln w="9525" cap="flat" cmpd="sng">
                          <a:solidFill>
                            <a:srgbClr val="000000"/>
                          </a:solidFill>
                          <a:prstDash val="solid"/>
                          <a:round/>
                          <a:headEnd type="none" w="sm" len="sm"/>
                          <a:tailEnd type="none" w="sm" len="sm"/>
                        </a:ln>
                        <a:effectLst>
                          <a:outerShdw blurRad="50800" dist="38100" dir="2700000" algn="tl" rotWithShape="0">
                            <a:srgbClr val="000000">
                              <a:alpha val="40000"/>
                            </a:srgbClr>
                          </a:outerShdw>
                        </a:effectLst>
                      </wps:spPr>
                      <wps:txbx>
                        <w:txbxContent>
                          <w:p w14:paraId="423EB4B3" w14:textId="77777777" w:rsidR="00176458" w:rsidRDefault="00AE3C26">
                            <w:pPr>
                              <w:jc w:val="center"/>
                              <w:textDirection w:val="btLr"/>
                            </w:pPr>
                            <w:r>
                              <w:rPr>
                                <w:color w:val="000000"/>
                              </w:rPr>
                              <w:t>No se dio respuesta</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5486400</wp:posOffset>
                </wp:positionH>
                <wp:positionV relativeFrom="paragraph">
                  <wp:posOffset>152400</wp:posOffset>
                </wp:positionV>
                <wp:extent cx="788035" cy="488950"/>
                <wp:effectExtent b="0" l="0" r="0" t="0"/>
                <wp:wrapNone/>
                <wp:docPr id="1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88035" cy="488950"/>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59264" behindDoc="0" locked="0" layoutInCell="1" hidden="0" allowOverlap="1" wp14:anchorId="4499BDD2" wp14:editId="5913F92E">
                <wp:simplePos x="0" y="0"/>
                <wp:positionH relativeFrom="column">
                  <wp:posOffset>5207000</wp:posOffset>
                </wp:positionH>
                <wp:positionV relativeFrom="paragraph">
                  <wp:posOffset>546100</wp:posOffset>
                </wp:positionV>
                <wp:extent cx="304234" cy="200119"/>
                <wp:effectExtent l="0" t="0" r="0" b="0"/>
                <wp:wrapNone/>
                <wp:docPr id="17" name="Flecha derecha 17"/>
                <wp:cNvGraphicFramePr/>
                <a:graphic xmlns:a="http://schemas.openxmlformats.org/drawingml/2006/main">
                  <a:graphicData uri="http://schemas.microsoft.com/office/word/2010/wordprocessingShape">
                    <wps:wsp>
                      <wps:cNvSpPr/>
                      <wps:spPr>
                        <a:xfrm rot="10800000">
                          <a:off x="5203408" y="3689466"/>
                          <a:ext cx="285184" cy="181069"/>
                        </a:xfrm>
                        <a:prstGeom prst="rightArrow">
                          <a:avLst>
                            <a:gd name="adj1" fmla="val 50000"/>
                            <a:gd name="adj2" fmla="val 50000"/>
                          </a:avLst>
                        </a:prstGeom>
                        <a:solidFill>
                          <a:schemeClr val="accent4"/>
                        </a:solidFill>
                        <a:ln w="19050" cap="flat" cmpd="sng">
                          <a:solidFill>
                            <a:schemeClr val="lt1"/>
                          </a:solidFill>
                          <a:prstDash val="solid"/>
                          <a:miter lim="800000"/>
                          <a:headEnd type="none" w="sm" len="sm"/>
                          <a:tailEnd type="none" w="sm" len="sm"/>
                        </a:ln>
                      </wps:spPr>
                      <wps:txbx>
                        <w:txbxContent>
                          <w:p w14:paraId="74089FCB" w14:textId="77777777" w:rsidR="00176458" w:rsidRDefault="0017645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5207000</wp:posOffset>
                </wp:positionH>
                <wp:positionV relativeFrom="paragraph">
                  <wp:posOffset>546100</wp:posOffset>
                </wp:positionV>
                <wp:extent cx="304234" cy="200119"/>
                <wp:effectExtent b="0" l="0" r="0" t="0"/>
                <wp:wrapNone/>
                <wp:docPr id="17"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04234" cy="200119"/>
                        </a:xfrm>
                        <a:prstGeom prst="rect"/>
                        <a:ln/>
                      </pic:spPr>
                    </pic:pic>
                  </a:graphicData>
                </a:graphic>
              </wp:anchor>
            </w:drawing>
          </mc:Fallback>
        </mc:AlternateContent>
      </w:r>
      <w:r>
        <w:rPr>
          <w:noProof/>
          <w:lang w:val="es-MX"/>
        </w:rPr>
        <mc:AlternateContent>
          <mc:Choice Requires="wpg">
            <w:drawing>
              <wp:anchor distT="0" distB="0" distL="114300" distR="114300" simplePos="0" relativeHeight="251660288" behindDoc="0" locked="0" layoutInCell="1" hidden="0" allowOverlap="1" wp14:anchorId="6E4B3605" wp14:editId="566455A0">
                <wp:simplePos x="0" y="0"/>
                <wp:positionH relativeFrom="column">
                  <wp:posOffset>3124200</wp:posOffset>
                </wp:positionH>
                <wp:positionV relativeFrom="paragraph">
                  <wp:posOffset>787400</wp:posOffset>
                </wp:positionV>
                <wp:extent cx="169649" cy="224240"/>
                <wp:effectExtent l="0" t="0" r="0" b="0"/>
                <wp:wrapNone/>
                <wp:docPr id="18" name="Rectángulo 18"/>
                <wp:cNvGraphicFramePr/>
                <a:graphic xmlns:a="http://schemas.openxmlformats.org/drawingml/2006/main">
                  <a:graphicData uri="http://schemas.microsoft.com/office/word/2010/wordprocessingShape">
                    <wps:wsp>
                      <wps:cNvSpPr/>
                      <wps:spPr>
                        <a:xfrm>
                          <a:off x="5267526" y="3674230"/>
                          <a:ext cx="156949" cy="211540"/>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05E127F1" w14:textId="77777777" w:rsidR="00176458" w:rsidRDefault="0017645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3124200</wp:posOffset>
                </wp:positionH>
                <wp:positionV relativeFrom="paragraph">
                  <wp:posOffset>787400</wp:posOffset>
                </wp:positionV>
                <wp:extent cx="169649" cy="224240"/>
                <wp:effectExtent b="0" l="0" r="0" t="0"/>
                <wp:wrapNone/>
                <wp:docPr id="18"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69649" cy="224240"/>
                        </a:xfrm>
                        <a:prstGeom prst="rect"/>
                        <a:ln/>
                      </pic:spPr>
                    </pic:pic>
                  </a:graphicData>
                </a:graphic>
              </wp:anchor>
            </w:drawing>
          </mc:Fallback>
        </mc:AlternateContent>
      </w:r>
    </w:p>
    <w:p w14:paraId="0DC4A709" w14:textId="77777777" w:rsidR="00176458" w:rsidRDefault="00176458">
      <w:pPr>
        <w:pBdr>
          <w:top w:val="nil"/>
          <w:left w:val="nil"/>
          <w:bottom w:val="nil"/>
          <w:right w:val="nil"/>
          <w:between w:val="nil"/>
        </w:pBdr>
        <w:spacing w:line="360" w:lineRule="auto"/>
        <w:ind w:left="644"/>
        <w:jc w:val="both"/>
        <w:rPr>
          <w:rFonts w:ascii="Palatino Linotype" w:eastAsia="Palatino Linotype" w:hAnsi="Palatino Linotype" w:cs="Palatino Linotype"/>
        </w:rPr>
      </w:pPr>
    </w:p>
    <w:p w14:paraId="4C48C23C"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lo tanto, al no haber atendido ninguno de los deberes establecidos por la norma para la atención de las solicitudes de acceso a la información y al no haber respondido de ninguna manera a la solicitud, la falta de respuesta implica un incumplimiento al deber de atender las solicitudes y en consecuencia una afectación al derecho.</w:t>
      </w:r>
    </w:p>
    <w:p w14:paraId="1E5059F5" w14:textId="77777777" w:rsidR="00176458" w:rsidRDefault="00176458">
      <w:pPr>
        <w:spacing w:line="360" w:lineRule="auto"/>
        <w:jc w:val="both"/>
        <w:rPr>
          <w:rFonts w:ascii="Palatino Linotype" w:eastAsia="Palatino Linotype" w:hAnsi="Palatino Linotype" w:cs="Palatino Linotype"/>
        </w:rPr>
      </w:pPr>
    </w:p>
    <w:p w14:paraId="0B97BD89"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sobra decir que, al actuar de esta forma,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incumple con el primer mandato contenido en el párrafo tercero del artículo primero de la Constitución Política de los Estados Unidos Mexicanos que establece el deber de todas las autoridades, </w:t>
      </w:r>
      <w:r>
        <w:rPr>
          <w:rFonts w:ascii="Palatino Linotype" w:eastAsia="Palatino Linotype" w:hAnsi="Palatino Linotype" w:cs="Palatino Linotype"/>
          <w:i/>
          <w:color w:val="000000"/>
        </w:rPr>
        <w:t xml:space="preserve">en el ámbito de sus atribuciones, </w:t>
      </w:r>
      <w:r>
        <w:rPr>
          <w:rFonts w:ascii="Palatino Linotype" w:eastAsia="Palatino Linotype" w:hAnsi="Palatino Linotype" w:cs="Palatino Linotype"/>
          <w:b/>
          <w:i/>
          <w:color w:val="000000"/>
        </w:rPr>
        <w:t>de promover</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respetar, proteger y</w:t>
      </w:r>
      <w:r>
        <w:rPr>
          <w:rFonts w:ascii="Palatino Linotype" w:eastAsia="Palatino Linotype" w:hAnsi="Palatino Linotype" w:cs="Palatino Linotype"/>
          <w:i/>
          <w:color w:val="000000"/>
        </w:rPr>
        <w:t xml:space="preserve"> </w:t>
      </w:r>
      <w:r>
        <w:rPr>
          <w:rFonts w:ascii="Palatino Linotype" w:eastAsia="Palatino Linotype" w:hAnsi="Palatino Linotype" w:cs="Palatino Linotype"/>
          <w:b/>
          <w:i/>
          <w:color w:val="000000"/>
        </w:rPr>
        <w:t>garantizar</w:t>
      </w:r>
      <w:r>
        <w:rPr>
          <w:rFonts w:ascii="Palatino Linotype" w:eastAsia="Palatino Linotype" w:hAnsi="Palatino Linotype" w:cs="Palatino Linotype"/>
          <w:i/>
          <w:color w:val="000000"/>
        </w:rPr>
        <w:t xml:space="preserve"> los derechos humanos.</w:t>
      </w:r>
      <w:r>
        <w:rPr>
          <w:rFonts w:ascii="Palatino Linotype" w:eastAsia="Palatino Linotype" w:hAnsi="Palatino Linotype" w:cs="Palatino Linotype"/>
          <w:color w:val="000000"/>
        </w:rPr>
        <w:t xml:space="preserve"> Por lo tanto, la falta de respuesta a una solicitud de acceso a la información constituye un incumplimiento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su deber de garantizar el derecho, lo que constituye una vulneración al mismo y resulta. </w:t>
      </w:r>
    </w:p>
    <w:p w14:paraId="574EE6B8"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 su vez, la </w:t>
      </w:r>
      <w:r>
        <w:rPr>
          <w:rFonts w:ascii="Palatino Linotype" w:eastAsia="Palatino Linotype" w:hAnsi="Palatino Linotype" w:cs="Palatino Linotype"/>
          <w:b/>
          <w:color w:val="000000"/>
        </w:rPr>
        <w:t xml:space="preserve">Ley de Transparencia y Acceso a la Información Pública del Estado de México y Municipios, </w:t>
      </w:r>
      <w:r>
        <w:rPr>
          <w:rFonts w:ascii="Palatino Linotype" w:eastAsia="Palatino Linotype" w:hAnsi="Palatino Linotype" w:cs="Palatino Linotype"/>
          <w:color w:val="000000"/>
        </w:rPr>
        <w:t>cuyo objeto es establecer principios, bases generales y procedimientos para tutelar y garantizar la transparencia y el derecho humano de acceso a la información pública en posesión de los sujetos obligados; en su artículo 176</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establece que </w:t>
      </w:r>
      <w:r>
        <w:rPr>
          <w:rFonts w:ascii="Palatino Linotype" w:eastAsia="Palatino Linotype" w:hAnsi="Palatino Linotype" w:cs="Palatino Linotype"/>
          <w:b/>
          <w:i/>
          <w:color w:val="000000"/>
          <w:u w:val="single"/>
        </w:rPr>
        <w:t>el recurso de revisión es la garantía secundaria</w:t>
      </w:r>
      <w:r>
        <w:rPr>
          <w:rFonts w:ascii="Palatino Linotype" w:eastAsia="Palatino Linotype" w:hAnsi="Palatino Linotype" w:cs="Palatino Linotype"/>
          <w:b/>
          <w:i/>
          <w:color w:val="000000"/>
        </w:rPr>
        <w:t xml:space="preserve"> mediante la cual se pretende reparar cualquier posible afectación al derecho de acceso a la información pública</w:t>
      </w:r>
      <w:r>
        <w:rPr>
          <w:rFonts w:ascii="Palatino Linotype" w:eastAsia="Palatino Linotype" w:hAnsi="Palatino Linotype" w:cs="Palatino Linotype"/>
          <w:b/>
          <w:color w:val="000000"/>
        </w:rPr>
        <w:t>, s</w:t>
      </w:r>
      <w:r>
        <w:rPr>
          <w:rFonts w:ascii="Palatino Linotype" w:eastAsia="Palatino Linotype" w:hAnsi="Palatino Linotype" w:cs="Palatino Linotype"/>
          <w:color w:val="000000"/>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08F5F24B" w14:textId="77777777" w:rsidR="00176458" w:rsidRDefault="00176458">
      <w:pPr>
        <w:spacing w:line="360" w:lineRule="auto"/>
        <w:jc w:val="both"/>
        <w:rPr>
          <w:rFonts w:ascii="Palatino Linotype" w:eastAsia="Palatino Linotype" w:hAnsi="Palatino Linotype" w:cs="Palatino Linotype"/>
        </w:rPr>
      </w:pPr>
    </w:p>
    <w:p w14:paraId="5E5CEBB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acuerdo a lo dispuesto por el artículo 53 fracción II de la Ley de la materia, las unidades de transparencia tienen entre sus principales funciones la de recibir, tramitar y dar respuesta a las solicitudes de accesos a la información: </w:t>
      </w:r>
    </w:p>
    <w:p w14:paraId="2DCC3F86"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Unidades de Transparencia tendrán las siguientes funciones:</w:t>
      </w:r>
    </w:p>
    <w:p w14:paraId="0FADC250"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804273F" w14:textId="77777777" w:rsidR="00176458" w:rsidRDefault="00AE3C26">
      <w:pPr>
        <w:tabs>
          <w:tab w:val="left" w:pos="8222"/>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Auxiliar a los particulares en la elaboración de solicitudes de acceso a la información y, en su caso, orientarlos sobre los sujetos obligados competentes conforme a la normatividad aplicable;</w:t>
      </w:r>
    </w:p>
    <w:p w14:paraId="7262477E"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14:paraId="3F5DA209" w14:textId="77777777" w:rsidR="00176458" w:rsidRDefault="00AE3C2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061E1774" w14:textId="77777777" w:rsidR="00176458" w:rsidRDefault="00176458">
      <w:pPr>
        <w:spacing w:line="360" w:lineRule="auto"/>
        <w:jc w:val="both"/>
        <w:rPr>
          <w:rFonts w:ascii="Palatino Linotype" w:eastAsia="Palatino Linotype" w:hAnsi="Palatino Linotype" w:cs="Palatino Linotype"/>
          <w:sz w:val="22"/>
          <w:szCs w:val="22"/>
        </w:rPr>
      </w:pPr>
    </w:p>
    <w:p w14:paraId="4B766AFF"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es necesario precisar que de acuerdo al artículo 47, primer párrafo del Bando Municipal de Ecatepec de Morelos, la Tesorería Municipal es la encargada de la recaudación de ingresos municipales y la administración de hacienda municipal y demás ordenamientos legales de la materia, por lo que de </w:t>
      </w:r>
      <w:r>
        <w:rPr>
          <w:rFonts w:ascii="Palatino Linotype" w:eastAsia="Palatino Linotype" w:hAnsi="Palatino Linotype" w:cs="Palatino Linotype"/>
          <w:color w:val="000000"/>
        </w:rPr>
        <w:lastRenderedPageBreak/>
        <w:t xml:space="preserve">manera enunciativa, </w:t>
      </w:r>
      <w:r>
        <w:rPr>
          <w:rFonts w:ascii="Palatino Linotype" w:eastAsia="Palatino Linotype" w:hAnsi="Palatino Linotype" w:cs="Palatino Linotype"/>
        </w:rPr>
        <w:t>más</w:t>
      </w:r>
      <w:r>
        <w:rPr>
          <w:rFonts w:ascii="Palatino Linotype" w:eastAsia="Palatino Linotype" w:hAnsi="Palatino Linotype" w:cs="Palatino Linotype"/>
          <w:color w:val="000000"/>
        </w:rPr>
        <w:t xml:space="preserve"> no limitativa, se podría presumir que se cuenta con la información al ser emitida por la Procuraduría de Protección al Medio Ambiente del Estado de México.</w:t>
      </w:r>
    </w:p>
    <w:p w14:paraId="18F398C6" w14:textId="77777777" w:rsidR="00176458" w:rsidRDefault="00AE3C2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Artículo 65.</w:t>
      </w:r>
      <w:r>
        <w:rPr>
          <w:rFonts w:ascii="Palatino Linotype" w:eastAsia="Palatino Linotype" w:hAnsi="Palatino Linotype" w:cs="Palatino Linotype"/>
          <w:i/>
          <w:color w:val="000000"/>
          <w:sz w:val="22"/>
          <w:szCs w:val="22"/>
        </w:rPr>
        <w:t xml:space="preserve"> </w:t>
      </w:r>
    </w:p>
    <w:p w14:paraId="54389921" w14:textId="77777777" w:rsidR="00176458" w:rsidRDefault="00AE3C2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“La Tesorería Municipal es encargada de la recaudación de ingresos municipales y la administración de la Hacienda Pública Municipal, así mismo deberá implementar las medidas de mecanismos previamente aplicados por el H. Ayuntamiento, tendientes a difundir los pagos de diversas contribuciones.”</w:t>
      </w:r>
    </w:p>
    <w:p w14:paraId="1A575F7B"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highlight w:val="green"/>
        </w:rPr>
      </w:pPr>
    </w:p>
    <w:p w14:paraId="24F6B904"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highlight w:val="green"/>
        </w:rPr>
      </w:pPr>
    </w:p>
    <w:p w14:paraId="2824A54C"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Establecido lo anterior, resulta evidente que las razones o motivos de inconformidad hechos valer en el recurso de revisión resultan </w:t>
      </w:r>
      <w:r>
        <w:rPr>
          <w:rFonts w:ascii="Palatino Linotype" w:eastAsia="Palatino Linotype" w:hAnsi="Palatino Linotype" w:cs="Palatino Linotype"/>
          <w:b/>
          <w:color w:val="000000"/>
        </w:rPr>
        <w:t>fundadas y procedentes</w:t>
      </w:r>
      <w:r>
        <w:rPr>
          <w:rFonts w:ascii="Palatino Linotype" w:eastAsia="Palatino Linotype" w:hAnsi="Palatino Linotype" w:cs="Palatino Linotype"/>
          <w:color w:val="000000"/>
        </w:rPr>
        <w:t xml:space="preserve">, debido 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fue omiso en responder la solicitud de información en cuestión; es decir, no proporcionó respuesta alguna, negando así el acceso a cualquier tipo de información sin ofrecer mayores explicaciones, es decir, no fundó ni motivó su omisión, su falta de actuación en relación a sus obligaciones de garantizar el acceso a la información pública. </w:t>
      </w:r>
    </w:p>
    <w:p w14:paraId="20E61C18" w14:textId="77777777" w:rsidR="00176458" w:rsidRDefault="00176458">
      <w:pPr>
        <w:spacing w:line="360" w:lineRule="auto"/>
        <w:rPr>
          <w:rFonts w:ascii="Palatino Linotype" w:eastAsia="Palatino Linotype" w:hAnsi="Palatino Linotype" w:cs="Palatino Linotype"/>
        </w:rPr>
      </w:pPr>
    </w:p>
    <w:p w14:paraId="36D08323"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Éste Órgano Garante, como institución pública que forma parte del Estado Mexicano y en cuya representación actúa al substanciar el recurso de revisión, como garantía secundaria; es decir, como remedio materialmente jurisdiccional ante las posibles afectaciones al derecho de acceso a la información, según el artículo 176 de la norma estatal antes citada, para reparar la violación al derecho humano de acceso a la información que se deriva del incumplimiento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lastRenderedPageBreak/>
        <w:t xml:space="preserve">cumple con su alto deber de repararlo ordenando, en consecuencia,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responda a la solicitud de acceso a la información pública. </w:t>
      </w:r>
    </w:p>
    <w:p w14:paraId="784394F4"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53B63A2B" w14:textId="77777777" w:rsidR="00176458" w:rsidRDefault="00AE3C26">
      <w:pPr>
        <w:keepNext/>
        <w:keepLines/>
        <w:numPr>
          <w:ilvl w:val="0"/>
          <w:numId w:val="1"/>
        </w:numPr>
        <w:spacing w:line="360" w:lineRule="auto"/>
        <w:ind w:left="0" w:firstLine="0"/>
        <w:rPr>
          <w:rFonts w:ascii="Palatino Linotype" w:eastAsia="Palatino Linotype" w:hAnsi="Palatino Linotype" w:cs="Palatino Linotype"/>
          <w:b/>
        </w:rPr>
      </w:pPr>
      <w:bookmarkStart w:id="16" w:name="_heading=h.1ksv4uv" w:colFirst="0" w:colLast="0"/>
      <w:bookmarkEnd w:id="16"/>
      <w:r>
        <w:rPr>
          <w:rFonts w:ascii="Palatino Linotype" w:eastAsia="Palatino Linotype" w:hAnsi="Palatino Linotype" w:cs="Palatino Linotype"/>
          <w:b/>
        </w:rPr>
        <w:t>Sobre la respuesta que se emita a la solicitud.</w:t>
      </w:r>
    </w:p>
    <w:p w14:paraId="10E2624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cumplimiento a esta resolución,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dar atención a la solicitud de información, sin que sea materia de este recurso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analizar o</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prejuzgar si la información que le fue solicitada se encuentra en sus archivos o le corresponde generarla, puesto que el silencio administrativo que hizo patente al omitir dar respuesta, trae como consecuencia que se le ordene dar atención a la solicitud, lo cual deberá llevar a cabo en ejercicio de sus competencias, atribuciones y funciones y con arreglo a lo dispuesto por la ley de la materia.</w:t>
      </w:r>
    </w:p>
    <w:p w14:paraId="57E04143" w14:textId="77777777" w:rsidR="00176458" w:rsidRDefault="00176458">
      <w:pPr>
        <w:spacing w:line="360" w:lineRule="auto"/>
        <w:ind w:right="49"/>
        <w:jc w:val="both"/>
        <w:rPr>
          <w:rFonts w:ascii="Palatino Linotype" w:eastAsia="Palatino Linotype" w:hAnsi="Palatino Linotype" w:cs="Palatino Linotype"/>
          <w:b/>
        </w:rPr>
      </w:pPr>
    </w:p>
    <w:p w14:paraId="5134858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En este caso,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de sustanciar todo el procedimiento de acceso a la información pública verificando si la información que le ha sido requerida corresponde al ejercicio de sus facultades, competencias o funciones.</w:t>
      </w:r>
    </w:p>
    <w:p w14:paraId="66F34BE1" w14:textId="77777777" w:rsidR="00176458" w:rsidRDefault="00176458">
      <w:pPr>
        <w:spacing w:line="360" w:lineRule="auto"/>
        <w:ind w:right="49"/>
        <w:jc w:val="both"/>
        <w:rPr>
          <w:rFonts w:ascii="Palatino Linotype" w:eastAsia="Palatino Linotype" w:hAnsi="Palatino Linotype" w:cs="Palatino Linotype"/>
          <w:b/>
        </w:rPr>
      </w:pPr>
    </w:p>
    <w:p w14:paraId="1EB2EDA7"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 dentro de las facultades, atribuciones y competencias no se encuentra  la de poseer la información requerida, deberá hacerlo del conocimiento de la particular  de forma clara y precisa, fundado y motivando su actuación y en su caso orientar al solicitante sobre el o los Sujetos Obligados competentes, sin pasar desapercibido que tal orientación debe realizarse dentro de los tres días hábiles posteriores a la recepción de la solicitud, o de lo contrario deberá hacerlo a través del acuerdo de incompetencia de acuerdo a lo dispuesto en el artículo 49 fracción II y el artículo 167 </w:t>
      </w:r>
      <w:r>
        <w:rPr>
          <w:rFonts w:ascii="Palatino Linotype" w:eastAsia="Palatino Linotype" w:hAnsi="Palatino Linotype" w:cs="Palatino Linotype"/>
          <w:color w:val="000000"/>
        </w:rPr>
        <w:lastRenderedPageBreak/>
        <w:t xml:space="preserve">de la Ley de Transparencia y Acceso a la Información Pública del Estado de México y Municipios. </w:t>
      </w:r>
    </w:p>
    <w:p w14:paraId="5153DD42"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195C12A8"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está por demás señalar que la obligación constitucional de documentar todo acto que derive del ejercicio de las facultades, competencias o funciones de los Sujetos Obligados, encuentra expresión legal en los artículos 19 de la Ley General de Transparencia y de la Ley de Transparencia y Acceso a la Información Pública del Estado de México y Municipios.</w:t>
      </w:r>
    </w:p>
    <w:p w14:paraId="7C447D29"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6A828EB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Disposiciones que en su primer párrafo establecen que se presume la existencia de la información cuando ésta se encuentre relacionada con las facultades, competencias o funciones señaladas en la ley. Esta presunción puede ser explícita, cuando las disposiciones jurídicas expresamente señalan el tipo concreto de información, por ejemplo, cuando se establece la facultad de un sujeto obligado de aprobar un presupuesto de egresos; o implícita, cuando se infiere directa o indirectamente del propio texto normativo la existencia de la información, aun cuando ésta no se enuncie de manera precisa en la norma, por ejemplo, un decreto que sin crear a un sujeto obligado, le cambia el nombre, que de manera expresa no se encuentra enlistado en la primera fracción de los artículos que establecen las obligaciones de transparencia comunes pero que sí forma parte del marco normativo aplicable.</w:t>
      </w:r>
    </w:p>
    <w:p w14:paraId="2DA925CC"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4D1BC28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 importante también señalar que, la respuesta que dará en cumplimiento a la presente resolución, </w:t>
      </w:r>
      <w:r>
        <w:rPr>
          <w:rFonts w:ascii="Palatino Linotype" w:eastAsia="Palatino Linotype" w:hAnsi="Palatino Linotype" w:cs="Palatino Linotype"/>
          <w:b/>
          <w:color w:val="000000"/>
        </w:rPr>
        <w:t xml:space="preserve">deberá ajustarse a lo dispuesto a los criterios y precedentes </w:t>
      </w:r>
      <w:r>
        <w:rPr>
          <w:rFonts w:ascii="Palatino Linotype" w:eastAsia="Palatino Linotype" w:hAnsi="Palatino Linotype" w:cs="Palatino Linotype"/>
          <w:b/>
          <w:color w:val="000000"/>
        </w:rPr>
        <w:lastRenderedPageBreak/>
        <w:t>que este Órgano Garante ha resuelto y aprobado;</w:t>
      </w:r>
      <w:r>
        <w:rPr>
          <w:rFonts w:ascii="Palatino Linotype" w:eastAsia="Palatino Linotype" w:hAnsi="Palatino Linotype" w:cs="Palatino Linotype"/>
          <w:color w:val="000000"/>
        </w:rPr>
        <w:t xml:space="preserve"> es decir, por lo que constituye una alta responsabilidad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proporcionar la información que atienda la presente, ajustándose a la normatividad establecida y a los distintos asuntos de los cuales este órgano colegiado ha conocido. </w:t>
      </w:r>
    </w:p>
    <w:p w14:paraId="3D01759A" w14:textId="77777777" w:rsidR="00176458" w:rsidRDefault="00176458">
      <w:pPr>
        <w:spacing w:line="360" w:lineRule="auto"/>
        <w:rPr>
          <w:rFonts w:ascii="Palatino Linotype" w:eastAsia="Palatino Linotype" w:hAnsi="Palatino Linotype" w:cs="Palatino Linotype"/>
        </w:rPr>
      </w:pPr>
    </w:p>
    <w:p w14:paraId="7C096B4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lo que tratándose del tema o temas que se requieran en las solicitudes,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en todo momento ajustarse además de la normatividad aplicable a los asuntos, a las resoluciones aprobadas.</w:t>
      </w:r>
    </w:p>
    <w:p w14:paraId="1064CCC6"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06107CE8"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para responder a la solicitud de acceso a la información en cuestión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de verificar si esta corresponde a una facultad, competencia o función explícita o implícita. Si no estuviera comprendida en éstas, bastará con que su respuesta señale lo anterior. Pero si la información corresponde al ejercicio de sus facultades, competencias o funciones, deberá de proceder, según lo establecido en el artículo 162 de la Ley de Transparencia y Acceso a la Información Pública del Estado de México, turnando la solicitud a todas las áreas competentes que cuenten o deban tener la información, con objeto de que realicen una búsqueda exhaustiva y razonable de la información solicitada.</w:t>
      </w:r>
    </w:p>
    <w:p w14:paraId="419493DE" w14:textId="77777777" w:rsidR="00176458" w:rsidRDefault="00176458">
      <w:pPr>
        <w:spacing w:line="360" w:lineRule="auto"/>
        <w:jc w:val="both"/>
        <w:rPr>
          <w:rFonts w:ascii="Palatino Linotype" w:eastAsia="Palatino Linotype" w:hAnsi="Palatino Linotype" w:cs="Palatino Linotype"/>
        </w:rPr>
      </w:pPr>
    </w:p>
    <w:p w14:paraId="7BF97F57"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Una vez que la información sea localizada, los servidores públicos habilitados deberán de valorar si se entrega en su totalidad, en versión pública o si es susceptible de clasificarse, según lo que se describe en la sección siguiente.</w:t>
      </w:r>
    </w:p>
    <w:p w14:paraId="2D9728B0"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1B00B9FD"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No obstante, también debe considerarse que aun cuando la información requerida corresponda a alguna función, facultad o competencia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es posible que esta información no se localice, bien porque no se haya generado o porque no se encuentre disponible, en el momento de su búsqueda.</w:t>
      </w:r>
    </w:p>
    <w:p w14:paraId="05EBCE6B" w14:textId="77777777" w:rsidR="00176458" w:rsidRDefault="00176458">
      <w:pPr>
        <w:spacing w:line="360" w:lineRule="auto"/>
        <w:rPr>
          <w:rFonts w:ascii="Palatino Linotype" w:eastAsia="Palatino Linotype" w:hAnsi="Palatino Linotype" w:cs="Palatino Linotype"/>
        </w:rPr>
      </w:pPr>
    </w:p>
    <w:p w14:paraId="425A987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 diferencia de la Ley General, la Ley de Transparencia y Acceso a la Información Pública del Estado de México y Municipios establece, en su artículo 19, dos supuestos generales para proceder en el caso de información inexistente pero cuya existencia se presume por relacionarse con las facultades, competencias y funciones legales de los sujetos obligados, como a continuación se observa:</w:t>
      </w:r>
    </w:p>
    <w:p w14:paraId="2898E767" w14:textId="77777777" w:rsidR="00176458" w:rsidRDefault="00AE3C26">
      <w:pPr>
        <w:tabs>
          <w:tab w:val="left" w:pos="7938"/>
          <w:tab w:val="left" w:pos="8080"/>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Se presume que la información debe existir si se refiere a las facultades, competencias y funciones que los ordenamientos jurídicos aplicables otorgan a los sujetos obligados.</w:t>
      </w:r>
    </w:p>
    <w:p w14:paraId="0CF214CA" w14:textId="77777777" w:rsidR="00176458" w:rsidRDefault="00176458">
      <w:pPr>
        <w:tabs>
          <w:tab w:val="left" w:pos="7938"/>
          <w:tab w:val="left" w:pos="8080"/>
        </w:tabs>
        <w:ind w:left="1134" w:right="900"/>
        <w:jc w:val="both"/>
        <w:rPr>
          <w:rFonts w:ascii="Palatino Linotype" w:eastAsia="Palatino Linotype" w:hAnsi="Palatino Linotype" w:cs="Palatino Linotype"/>
          <w:i/>
          <w:sz w:val="22"/>
          <w:szCs w:val="22"/>
        </w:rPr>
      </w:pPr>
    </w:p>
    <w:p w14:paraId="3E144FF7" w14:textId="77777777" w:rsidR="00176458" w:rsidRDefault="00AE3C26">
      <w:pPr>
        <w:tabs>
          <w:tab w:val="left" w:pos="7938"/>
          <w:tab w:val="left" w:pos="8080"/>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En los casos en que ciertas facultades, competencias o funciones no se hayan ejercido, se debe motivar la respuesta en función de las causas que motiven tal circunstancia. </w:t>
      </w:r>
    </w:p>
    <w:p w14:paraId="2C4C949E" w14:textId="77777777" w:rsidR="00176458" w:rsidRDefault="00176458">
      <w:pPr>
        <w:tabs>
          <w:tab w:val="left" w:pos="8080"/>
        </w:tabs>
        <w:ind w:left="567" w:right="567"/>
        <w:jc w:val="both"/>
        <w:rPr>
          <w:rFonts w:ascii="Palatino Linotype" w:eastAsia="Palatino Linotype" w:hAnsi="Palatino Linotype" w:cs="Palatino Linotype"/>
          <w:i/>
          <w:sz w:val="22"/>
          <w:szCs w:val="22"/>
        </w:rPr>
      </w:pPr>
    </w:p>
    <w:p w14:paraId="10EE3BBB" w14:textId="77777777" w:rsidR="00176458" w:rsidRDefault="00AE3C26">
      <w:pPr>
        <w:tabs>
          <w:tab w:val="left" w:pos="8080"/>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E762F9B" w14:textId="77777777" w:rsidR="00176458" w:rsidRDefault="00AE3C26">
      <w:pPr>
        <w:tabs>
          <w:tab w:val="left" w:pos="8080"/>
        </w:tabs>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370D0967" w14:textId="77777777" w:rsidR="00176458" w:rsidRDefault="00176458">
      <w:pPr>
        <w:tabs>
          <w:tab w:val="left" w:pos="8080"/>
        </w:tabs>
        <w:ind w:left="567" w:right="567"/>
        <w:jc w:val="both"/>
        <w:rPr>
          <w:rFonts w:ascii="Palatino Linotype" w:eastAsia="Palatino Linotype" w:hAnsi="Palatino Linotype" w:cs="Palatino Linotype"/>
        </w:rPr>
      </w:pPr>
    </w:p>
    <w:p w14:paraId="0A2E81D3"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primer supuesto, que corresponde a lo señalado en su segundo párrafo, alude a actos no realizados y contemplados en alguna hipótesis jurídica: </w:t>
      </w:r>
    </w:p>
    <w:p w14:paraId="3537211E" w14:textId="77777777" w:rsidR="00176458" w:rsidRPr="00BF305C" w:rsidRDefault="00AE3C26">
      <w:pPr>
        <w:numPr>
          <w:ilvl w:val="0"/>
          <w:numId w:val="2"/>
        </w:numPr>
        <w:spacing w:line="360" w:lineRule="auto"/>
        <w:ind w:right="709"/>
        <w:jc w:val="both"/>
        <w:rPr>
          <w:rFonts w:ascii="Palatino Linotype" w:eastAsia="Palatino Linotype" w:hAnsi="Palatino Linotype" w:cs="Palatino Linotype"/>
          <w:b/>
          <w:sz w:val="22"/>
          <w:szCs w:val="22"/>
        </w:rPr>
      </w:pPr>
      <w:r w:rsidRPr="00BF305C">
        <w:rPr>
          <w:rFonts w:ascii="Palatino Linotype" w:eastAsia="Palatino Linotype" w:hAnsi="Palatino Linotype" w:cs="Palatino Linotype"/>
          <w:b/>
          <w:sz w:val="22"/>
          <w:szCs w:val="22"/>
        </w:rPr>
        <w:t xml:space="preserve">Cuya realización dependa de que un tercero demande la emisión de un acto de autoridad, la expedición de una licencia, por ejemplo; </w:t>
      </w:r>
    </w:p>
    <w:p w14:paraId="1EFE4ED9" w14:textId="77777777" w:rsidR="00176458" w:rsidRPr="00BF305C" w:rsidRDefault="00AE3C26">
      <w:pPr>
        <w:numPr>
          <w:ilvl w:val="0"/>
          <w:numId w:val="2"/>
        </w:numPr>
        <w:spacing w:line="360" w:lineRule="auto"/>
        <w:ind w:right="709"/>
        <w:jc w:val="both"/>
        <w:rPr>
          <w:rFonts w:ascii="Palatino Linotype" w:eastAsia="Palatino Linotype" w:hAnsi="Palatino Linotype" w:cs="Palatino Linotype"/>
          <w:b/>
          <w:sz w:val="22"/>
          <w:szCs w:val="22"/>
        </w:rPr>
      </w:pPr>
      <w:r w:rsidRPr="00BF305C">
        <w:rPr>
          <w:rFonts w:ascii="Palatino Linotype" w:eastAsia="Palatino Linotype" w:hAnsi="Palatino Linotype" w:cs="Palatino Linotype"/>
          <w:b/>
          <w:sz w:val="22"/>
          <w:szCs w:val="22"/>
        </w:rPr>
        <w:lastRenderedPageBreak/>
        <w:t>De un acontecimiento de realización probable, la Cuenta Pública correspondiente a un ejercicio fiscal en curso; o</w:t>
      </w:r>
    </w:p>
    <w:p w14:paraId="1D23913C" w14:textId="77777777" w:rsidR="00176458" w:rsidRPr="00BF305C" w:rsidRDefault="00AE3C26">
      <w:pPr>
        <w:numPr>
          <w:ilvl w:val="0"/>
          <w:numId w:val="2"/>
        </w:numPr>
        <w:spacing w:line="360" w:lineRule="auto"/>
        <w:ind w:right="709"/>
        <w:jc w:val="both"/>
        <w:rPr>
          <w:rFonts w:ascii="Palatino Linotype" w:eastAsia="Palatino Linotype" w:hAnsi="Palatino Linotype" w:cs="Palatino Linotype"/>
          <w:b/>
          <w:sz w:val="22"/>
          <w:szCs w:val="22"/>
        </w:rPr>
      </w:pPr>
      <w:r w:rsidRPr="00BF305C">
        <w:rPr>
          <w:rFonts w:ascii="Palatino Linotype" w:eastAsia="Palatino Linotype" w:hAnsi="Palatino Linotype" w:cs="Palatino Linotype"/>
          <w:b/>
          <w:sz w:val="22"/>
          <w:szCs w:val="22"/>
        </w:rPr>
        <w:t>Una facultad potestativa, la firma de convenios de colaboración.</w:t>
      </w:r>
    </w:p>
    <w:p w14:paraId="78875953" w14:textId="77777777" w:rsidR="00176458" w:rsidRDefault="00176458">
      <w:pPr>
        <w:spacing w:line="360" w:lineRule="auto"/>
        <w:ind w:right="709"/>
        <w:jc w:val="both"/>
        <w:rPr>
          <w:rFonts w:ascii="Palatino Linotype" w:eastAsia="Palatino Linotype" w:hAnsi="Palatino Linotype" w:cs="Palatino Linotype"/>
        </w:rPr>
      </w:pPr>
    </w:p>
    <w:p w14:paraId="7B7ABDA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En estos casos,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al emitir su respuesta o cumplir con una resolución emitida por este Órgano Garante, deberá manifestar, de manera precisa y clara, las razones que expliquen las causas por las que no se ha realizado el acto de autoridad y, en consecuencia, no se ha documentado decisión alguna.</w:t>
      </w:r>
    </w:p>
    <w:p w14:paraId="2EC9F30D" w14:textId="77777777" w:rsidR="00176458" w:rsidRDefault="00176458">
      <w:pPr>
        <w:spacing w:line="360" w:lineRule="auto"/>
        <w:jc w:val="both"/>
        <w:rPr>
          <w:rFonts w:ascii="Palatino Linotype" w:eastAsia="Palatino Linotype" w:hAnsi="Palatino Linotype" w:cs="Palatino Linotype"/>
        </w:rPr>
      </w:pPr>
    </w:p>
    <w:p w14:paraId="147E15AA"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segundo supuesto, que corresponde a lo señalado en su último párrafo del artículo antes referido, alude a: </w:t>
      </w:r>
    </w:p>
    <w:p w14:paraId="4411C95D" w14:textId="77777777" w:rsidR="00176458" w:rsidRDefault="00AE3C26">
      <w:pPr>
        <w:tabs>
          <w:tab w:val="left" w:pos="7655"/>
        </w:tabs>
        <w:spacing w:line="360" w:lineRule="auto"/>
        <w:ind w:left="851" w:right="70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Actos realizados sobre los cuales: </w:t>
      </w:r>
    </w:p>
    <w:p w14:paraId="7966CDDF" w14:textId="77777777" w:rsidR="00176458" w:rsidRDefault="00AE3C26">
      <w:pPr>
        <w:numPr>
          <w:ilvl w:val="0"/>
          <w:numId w:val="3"/>
        </w:numPr>
        <w:tabs>
          <w:tab w:val="left" w:pos="7655"/>
        </w:tabs>
        <w:spacing w:line="360" w:lineRule="auto"/>
        <w:ind w:left="851" w:right="70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 se generó, poseyó o administró el documento que registre la información solicitada; </w:t>
      </w:r>
    </w:p>
    <w:p w14:paraId="77F4E316" w14:textId="77777777" w:rsidR="00176458" w:rsidRDefault="00AE3C26">
      <w:pPr>
        <w:tabs>
          <w:tab w:val="left" w:pos="7655"/>
        </w:tabs>
        <w:spacing w:line="360" w:lineRule="auto"/>
        <w:ind w:left="851" w:right="709"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 Habiendo sido generada, poseída o administrada, no se cuenta con la información solicitada.</w:t>
      </w:r>
    </w:p>
    <w:p w14:paraId="08B8C599" w14:textId="77777777" w:rsidR="00176458" w:rsidRDefault="00AE3C26">
      <w:pPr>
        <w:tabs>
          <w:tab w:val="left" w:pos="7655"/>
        </w:tabs>
        <w:spacing w:line="360" w:lineRule="auto"/>
        <w:ind w:left="851" w:right="567"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El sujeto obligado fue omiso en el ejercicio de una facultad, competencia o atribución inexcusable. </w:t>
      </w:r>
    </w:p>
    <w:p w14:paraId="338122C6" w14:textId="77777777" w:rsidR="00176458" w:rsidRDefault="00176458">
      <w:pPr>
        <w:tabs>
          <w:tab w:val="left" w:pos="7655"/>
        </w:tabs>
        <w:spacing w:line="360" w:lineRule="auto"/>
        <w:ind w:left="851" w:right="567" w:hanging="284"/>
        <w:jc w:val="both"/>
        <w:rPr>
          <w:rFonts w:ascii="Palatino Linotype" w:eastAsia="Palatino Linotype" w:hAnsi="Palatino Linotype" w:cs="Palatino Linotype"/>
        </w:rPr>
      </w:pPr>
    </w:p>
    <w:p w14:paraId="7C1FD58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estos casos, será necesario acreditar que se cumplieron los supuestos del artículo 169 del citado ordenamiento y emitir la resolución que confirme la inexistencia cumpliendo con las formalidades señaladas en el artículo 170 de la misma norma. </w:t>
      </w:r>
    </w:p>
    <w:p w14:paraId="6C4E8BF4" w14:textId="77777777" w:rsidR="00176458" w:rsidRDefault="00176458">
      <w:pPr>
        <w:spacing w:line="360" w:lineRule="auto"/>
        <w:rPr>
          <w:rFonts w:ascii="Palatino Linotype" w:eastAsia="Palatino Linotype" w:hAnsi="Palatino Linotype" w:cs="Palatino Linotype"/>
        </w:rPr>
      </w:pPr>
    </w:p>
    <w:p w14:paraId="1C5C049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En cualquiera de los casos, imperativamente,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clasificándose en su totalidad por los supuestos que se señalan en la sección siguiente o, en su defecto, </w:t>
      </w:r>
      <w:r>
        <w:rPr>
          <w:rFonts w:ascii="Palatino Linotype" w:eastAsia="Palatino Linotype" w:hAnsi="Palatino Linotype" w:cs="Palatino Linotype"/>
          <w:b/>
          <w:color w:val="000000"/>
        </w:rPr>
        <w:t>de no localizar la información que debía tener, procediendo según lo refieren los párrafos segundo o tercero del artículo 19 de la Ley de Transparencia y Acceso a la Información Pública</w:t>
      </w:r>
      <w:r>
        <w:rPr>
          <w:rFonts w:ascii="Palatino Linotype" w:eastAsia="Palatino Linotype" w:hAnsi="Palatino Linotype" w:cs="Palatino Linotype"/>
          <w:color w:val="000000"/>
        </w:rPr>
        <w:t>, pero emitiendo una respuesta.</w:t>
      </w:r>
    </w:p>
    <w:p w14:paraId="1129769E"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7EB849BC" w14:textId="77777777" w:rsidR="00176458" w:rsidRDefault="00AE3C26">
      <w:pPr>
        <w:keepNext/>
        <w:keepLines/>
        <w:spacing w:line="360" w:lineRule="auto"/>
        <w:rPr>
          <w:rFonts w:ascii="Palatino Linotype" w:eastAsia="Palatino Linotype" w:hAnsi="Palatino Linotype" w:cs="Palatino Linotype"/>
          <w:b/>
        </w:rPr>
      </w:pPr>
      <w:bookmarkStart w:id="17" w:name="_heading=h.44sinio" w:colFirst="0" w:colLast="0"/>
      <w:bookmarkEnd w:id="17"/>
      <w:r>
        <w:rPr>
          <w:rFonts w:ascii="Palatino Linotype" w:eastAsia="Palatino Linotype" w:hAnsi="Palatino Linotype" w:cs="Palatino Linotype"/>
          <w:b/>
        </w:rPr>
        <w:t>IV. Análisis al que debe someterse la información antes de su entrega.</w:t>
      </w:r>
    </w:p>
    <w:p w14:paraId="7EF1B64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Considerando que las disposiciones constitucionales previamente citadas le otorgan, a todos los documentos en posesión de las autoridades, la calidad de públicos y que únicamente pueden ser protegidos permanentemente los datos personales y reservados temporalmente, cierta información pública por razones de interés público y en los términos expresamente señalados en la ley, debe manifestarse que el derecho de acceso a la información pública no es absoluto pero cualquier restricción debe de estar sujeta a un sistema rígido de excepciones, en el que los Sujetos Obligados deben fundamentar y argumentar las causas de interés público que se ponen en riesgo al liberarse la información.</w:t>
      </w:r>
    </w:p>
    <w:p w14:paraId="19EB44F9" w14:textId="77777777" w:rsidR="00BF305C" w:rsidRDefault="00BF305C" w:rsidP="00BF305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1C1C35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armonía con la constitución local, la Ley de Transparencia y Acceso a la Información Pública del Estado de México y Municipios establece las únicas dos </w:t>
      </w:r>
      <w:r>
        <w:rPr>
          <w:rFonts w:ascii="Palatino Linotype" w:eastAsia="Palatino Linotype" w:hAnsi="Palatino Linotype" w:cs="Palatino Linotype"/>
          <w:color w:val="000000"/>
        </w:rPr>
        <w:lastRenderedPageBreak/>
        <w:t>limitantes que se pueden actualizar para restringir el acceso a los documentos en posesión de los entes públicos, así como un catálogo limitado de premisas para que la información sea reservada por causas de interés público:</w:t>
      </w:r>
    </w:p>
    <w:p w14:paraId="316F09D7"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BD94A0F"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9FAE9D5"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9E955B1"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27891B74" w14:textId="77777777" w:rsidR="00176458" w:rsidRDefault="00176458">
      <w:pPr>
        <w:ind w:left="1134" w:right="900"/>
        <w:jc w:val="both"/>
        <w:rPr>
          <w:rFonts w:ascii="Palatino Linotype" w:eastAsia="Palatino Linotype" w:hAnsi="Palatino Linotype" w:cs="Palatino Linotype"/>
          <w:i/>
          <w:sz w:val="22"/>
          <w:szCs w:val="22"/>
        </w:rPr>
      </w:pPr>
    </w:p>
    <w:p w14:paraId="51EEF4CD"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Pr>
          <w:rFonts w:ascii="Palatino Linotype" w:eastAsia="Palatino Linotype" w:hAnsi="Palatino Linotype" w:cs="Palatino Linotype"/>
          <w:i/>
          <w:sz w:val="22"/>
          <w:szCs w:val="22"/>
        </w:rPr>
        <w:t>actualiza</w:t>
      </w:r>
      <w:proofErr w:type="spellEnd"/>
      <w:r>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57323723"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3C7A0B50"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3110CE7C"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6CCE3D64" w14:textId="77777777" w:rsidR="00176458" w:rsidRDefault="00176458">
      <w:pPr>
        <w:ind w:left="1134" w:right="900"/>
        <w:jc w:val="both"/>
        <w:rPr>
          <w:rFonts w:ascii="Palatino Linotype" w:eastAsia="Palatino Linotype" w:hAnsi="Palatino Linotype" w:cs="Palatino Linotype"/>
          <w:i/>
          <w:sz w:val="22"/>
          <w:szCs w:val="22"/>
        </w:rPr>
      </w:pPr>
    </w:p>
    <w:p w14:paraId="3F161712"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140.</w:t>
      </w:r>
      <w:r>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w:t>
      </w:r>
    </w:p>
    <w:p w14:paraId="4D7FDD30"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 Comprometa la seguridad pública y cuente con un propósito genuino y un efecto demostrable;</w:t>
      </w:r>
    </w:p>
    <w:p w14:paraId="3D555780"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Pueda menoscabar la conducción de las negociaciones y relaciones internacionales;</w:t>
      </w:r>
    </w:p>
    <w:p w14:paraId="0E0A93E8"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6D8ECEB"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Ponga en riesgo la vida, la seguridad o la salud de una persona física;</w:t>
      </w:r>
    </w:p>
    <w:p w14:paraId="0B05D1B6"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 Aquella cuya divulgación obstruya o pueda causar un serio perjuicio a:</w:t>
      </w:r>
    </w:p>
    <w:p w14:paraId="794ADA87"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 Las actividades de fiscalización, verificación, inspección, comprobación y auditoría sobre el cumplimiento de las Leyes; o</w:t>
      </w:r>
    </w:p>
    <w:p w14:paraId="47AE5BB6"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La recaudación de las contribuciones.</w:t>
      </w:r>
    </w:p>
    <w:p w14:paraId="070139E6"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5516EBCB"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La que contengan las opiniones, recomendaciones o puntos de vista que formen parte del proceso deliberativo de los servidores públicos, hasta en tanto sea adoptada la decisión definitiva, la cual deberá estar documentada;</w:t>
      </w:r>
    </w:p>
    <w:p w14:paraId="6B60B046"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VIII. Vulnere la conducción de los expedientes judiciales o de los procedimientos administrativos seguidos en forma de juicio, en tanto no hayan quedado firmes;</w:t>
      </w:r>
    </w:p>
    <w:p w14:paraId="77574BFC"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IX. Se encuentre contenida dentro de las investigaciones de hechos que la Ley señale como delitos y se tramiten ante el Ministerio Público;</w:t>
      </w:r>
    </w:p>
    <w:p w14:paraId="6B0B0BBD"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1CE41FB"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0C5F874"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XI. Las que por disposición expresa de una ley tengan tal carácter, siempre que sean acordes con las bases, principios y disposiciones establecidos en esta Ley y no la contravengan; así como las previstas en tratados internacionales.”</w:t>
      </w:r>
    </w:p>
    <w:p w14:paraId="45D92B72" w14:textId="77777777" w:rsidR="00176458" w:rsidRDefault="00176458">
      <w:pPr>
        <w:ind w:left="1134" w:right="900"/>
        <w:jc w:val="both"/>
        <w:rPr>
          <w:rFonts w:ascii="Palatino Linotype" w:eastAsia="Palatino Linotype" w:hAnsi="Palatino Linotype" w:cs="Palatino Linotype"/>
          <w:i/>
          <w:sz w:val="22"/>
          <w:szCs w:val="22"/>
        </w:rPr>
      </w:pPr>
    </w:p>
    <w:p w14:paraId="37647BD3" w14:textId="77777777" w:rsidR="00176458" w:rsidRDefault="00AE3C2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141.</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Las causales de reserva previstas en este Capítulo se deberán fundar y motivar, a través de la aplicación de la prueba de daño a la que se hace referencia en el presente Título.”</w:t>
      </w:r>
    </w:p>
    <w:p w14:paraId="24EF1091" w14:textId="77777777" w:rsidR="00176458" w:rsidRDefault="00AE3C2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(Énfasis añadido) </w:t>
      </w:r>
    </w:p>
    <w:p w14:paraId="025B4606" w14:textId="77777777" w:rsidR="00176458" w:rsidRDefault="00176458">
      <w:pPr>
        <w:spacing w:line="360" w:lineRule="auto"/>
        <w:ind w:right="50" w:firstLine="1418"/>
        <w:jc w:val="both"/>
        <w:rPr>
          <w:rFonts w:ascii="Palatino Linotype" w:eastAsia="Palatino Linotype" w:hAnsi="Palatino Linotype" w:cs="Palatino Linotype"/>
        </w:rPr>
      </w:pPr>
    </w:p>
    <w:p w14:paraId="029A024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estas disposiciones legales se deduce que la información clasificada como reservada no pierde su categoría de “pública”; sino que existe una restricción en su difusión por causas que pudieran vulnerar al Estado, a sus instituciones o a la colectividad, sin embargo, esta condición no es en automático, dado que el mismo artículo 141 precisa que las causales de reserva deberán fundarse y motivarse y deben de ser acompañadas de la aplicación de la prueba de daño.</w:t>
      </w:r>
    </w:p>
    <w:p w14:paraId="69559304"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2F5E6A7"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Ahora bien, para que la información pública sea puesta a disposición de los particulares se requiere que no se genere daño a los intereses nacionales o estatales, que no se atente contra la seguridad nacional o contra la sociedad y que no se viole el derecho a la vida o a la privacidad de los gobernados. De ahí que es obligación de la autoridad analizar el contenido de cada solicitud para determinar, en caso de no entregar la información, que efectivamente se vulneraría cualquiera de los supuestos consagrados en la ley.</w:t>
      </w:r>
    </w:p>
    <w:p w14:paraId="7E9E5D92" w14:textId="77777777" w:rsidR="00176458" w:rsidRDefault="00176458">
      <w:pPr>
        <w:spacing w:line="360" w:lineRule="auto"/>
        <w:rPr>
          <w:rFonts w:ascii="Palatino Linotype" w:eastAsia="Palatino Linotype" w:hAnsi="Palatino Linotype" w:cs="Palatino Linotype"/>
        </w:rPr>
      </w:pPr>
    </w:p>
    <w:p w14:paraId="1C78A021"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consecuencia, para que se establezca válidamente una limitante al derecho de acceso a la información pública, debe existir un supuesto jurídico que así lo disponga, que exista una prueba de daño por medio de una justificación racional </w:t>
      </w:r>
      <w:r>
        <w:rPr>
          <w:rFonts w:ascii="Palatino Linotype" w:eastAsia="Palatino Linotype" w:hAnsi="Palatino Linotype" w:cs="Palatino Linotype"/>
          <w:color w:val="000000"/>
        </w:rPr>
        <w:lastRenderedPageBreak/>
        <w:t>basada en el interés general, social o en la protección de los particulares, que el acto de autoridad tenga la debida fundamentación y motivación y que de la ponderación realizada se determine que predomina el interés general por proteger la información que el derecho particular de conocerla.</w:t>
      </w:r>
    </w:p>
    <w:p w14:paraId="5AA3CFA7" w14:textId="77777777" w:rsidR="00176458" w:rsidRDefault="00176458">
      <w:pPr>
        <w:spacing w:line="360" w:lineRule="auto"/>
        <w:ind w:right="49"/>
        <w:jc w:val="both"/>
        <w:rPr>
          <w:rFonts w:ascii="Palatino Linotype" w:eastAsia="Palatino Linotype" w:hAnsi="Palatino Linotype" w:cs="Palatino Linotype"/>
        </w:rPr>
      </w:pPr>
    </w:p>
    <w:p w14:paraId="5962265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las limitaciones al derecho de acceso a la información tampoco pueden considerarse como una regla absoluta, porque en aquellos supuestos en los cuales su difusión producirá mayores beneficios para la sociedad que los daños que pudieran provocarse con su divulgación, debe quedar superado dicho límite y privilegiar la transparencia y difusión de la información respectiva, en virtud de que se trata de datos o de información de relevancia pública.</w:t>
      </w:r>
    </w:p>
    <w:p w14:paraId="2564B371" w14:textId="77777777" w:rsidR="00176458" w:rsidRDefault="00176458">
      <w:pPr>
        <w:spacing w:line="360" w:lineRule="auto"/>
        <w:jc w:val="both"/>
        <w:rPr>
          <w:rFonts w:ascii="Palatino Linotype" w:eastAsia="Palatino Linotype" w:hAnsi="Palatino Linotype" w:cs="Palatino Linotype"/>
        </w:rPr>
      </w:pPr>
    </w:p>
    <w:p w14:paraId="2344AA81"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hay que perder de vista que el derecho de acceso se rige por el principio de máxima publicidad, es decir, la información que generan, administren o posean los organismos públicos deben ser puesto a disposición de cualquier persona y para su limitante debe existir un bien jurídico mayor que proteger.</w:t>
      </w:r>
    </w:p>
    <w:p w14:paraId="1C4DD009"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7032B37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tal manera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deberá dar atención a la solicitud de información, lo cual deberá realizar con arreglo al procedimiento establecido en la Ley que ha sido descrito en esta resolución y de manera fundada y motivada.</w:t>
      </w:r>
    </w:p>
    <w:p w14:paraId="641B15DF" w14:textId="77777777" w:rsidR="00BF305C" w:rsidRDefault="00BF305C" w:rsidP="00BF305C">
      <w:pPr>
        <w:pStyle w:val="Prrafodelista"/>
        <w:rPr>
          <w:rFonts w:ascii="Palatino Linotype" w:eastAsia="Palatino Linotype" w:hAnsi="Palatino Linotype" w:cs="Palatino Linotype"/>
          <w:color w:val="000000"/>
        </w:rPr>
      </w:pPr>
    </w:p>
    <w:p w14:paraId="7E22F6C8" w14:textId="77777777" w:rsidR="00BF305C" w:rsidRDefault="00BF305C" w:rsidP="00BF305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E6250A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precisar los alcances de la fundamentación y motivación a que están sujetos todos los actos de autoridad, es oportuno remitirnos al artículo 16, primer </w:t>
      </w:r>
      <w:r>
        <w:rPr>
          <w:rFonts w:ascii="Palatino Linotype" w:eastAsia="Palatino Linotype" w:hAnsi="Palatino Linotype" w:cs="Palatino Linotype"/>
          <w:color w:val="000000"/>
        </w:rPr>
        <w:lastRenderedPageBreak/>
        <w:t>párrafo de la Constitución Política de los Estados Unidos Mexicanos, en el que se impone a las autoridades la obligación de fundar y motivar todo acto que implique una molestia en la esfera de derecho de las personas:</w:t>
      </w:r>
    </w:p>
    <w:p w14:paraId="3CBC7254"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16.</w:t>
      </w:r>
      <w:r>
        <w:rPr>
          <w:rFonts w:ascii="Palatino Linotype" w:eastAsia="Palatino Linotype" w:hAnsi="Palatino Linotype" w:cs="Palatino Linotype"/>
          <w:i/>
          <w:sz w:val="22"/>
          <w:szCs w:val="22"/>
        </w:rPr>
        <w:t xml:space="preserve"> Nadie puede ser molestado en su persona, familia, domicilio, papeles o posesiones, </w:t>
      </w:r>
      <w:r>
        <w:rPr>
          <w:rFonts w:ascii="Palatino Linotype" w:eastAsia="Palatino Linotype" w:hAnsi="Palatino Linotype" w:cs="Palatino Linotype"/>
          <w:b/>
          <w:i/>
          <w:sz w:val="22"/>
          <w:szCs w:val="22"/>
        </w:rPr>
        <w:t>sino en virtud de mandamiento escrito de la autoridad competente, que funde y motive la causa legal del procedimiento</w:t>
      </w:r>
      <w:r>
        <w:rPr>
          <w:rFonts w:ascii="Palatino Linotype" w:eastAsia="Palatino Linotype" w:hAnsi="Palatino Linotype" w:cs="Palatino Linotype"/>
          <w:i/>
          <w:sz w:val="22"/>
          <w:szCs w:val="22"/>
        </w:rPr>
        <w:t>.”</w:t>
      </w:r>
    </w:p>
    <w:p w14:paraId="247AD6AF" w14:textId="77777777" w:rsidR="00176458" w:rsidRDefault="00AE3C26">
      <w:pPr>
        <w:spacing w:line="360" w:lineRule="auto"/>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(Énfasis añadido) </w:t>
      </w:r>
    </w:p>
    <w:p w14:paraId="178ACD12" w14:textId="77777777" w:rsidR="00176458" w:rsidRDefault="00176458">
      <w:pPr>
        <w:shd w:val="clear" w:color="auto" w:fill="FFFFFF"/>
        <w:spacing w:line="360" w:lineRule="auto"/>
        <w:jc w:val="both"/>
        <w:rPr>
          <w:rFonts w:ascii="Palatino Linotype" w:eastAsia="Palatino Linotype" w:hAnsi="Palatino Linotype" w:cs="Palatino Linotype"/>
        </w:rPr>
      </w:pPr>
    </w:p>
    <w:p w14:paraId="42E9E8A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este precepto se deduce que, en el régimen jurídico mexicano, la fundamentación y motivación de los actos o resoluciones no es exclusiva de los órganos judiciales o jurisdiccionales; sino que se extiende a todas las autoridades. En este contexto, en todo acto que la autoridad pronuncie en el ejercicio de sus atribuciones, debe expresar los fundamentos legales que le dieron origen y las razones por las que se deben aplicar al caso concreto.</w:t>
      </w:r>
    </w:p>
    <w:p w14:paraId="22903D72" w14:textId="77777777" w:rsidR="00176458" w:rsidRDefault="00176458">
      <w:pPr>
        <w:spacing w:line="360" w:lineRule="auto"/>
        <w:jc w:val="both"/>
        <w:rPr>
          <w:rFonts w:ascii="Palatino Linotype" w:eastAsia="Palatino Linotype" w:hAnsi="Palatino Linotype" w:cs="Palatino Linotype"/>
        </w:rPr>
      </w:pPr>
    </w:p>
    <w:p w14:paraId="1291F6EA"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Entonces, la fundamentación y motivación consiste en la obligación que tiene todo ente público de expresar los preceptos jurídicos aplicables al asunto motivo del acto y las razones o argumentos de su actuar.</w:t>
      </w:r>
    </w:p>
    <w:p w14:paraId="04BA20D7" w14:textId="77777777" w:rsidR="00176458" w:rsidRDefault="00176458">
      <w:pPr>
        <w:spacing w:line="360" w:lineRule="auto"/>
        <w:jc w:val="both"/>
        <w:rPr>
          <w:rFonts w:ascii="Palatino Linotype" w:eastAsia="Palatino Linotype" w:hAnsi="Palatino Linotype" w:cs="Palatino Linotype"/>
        </w:rPr>
      </w:pPr>
    </w:p>
    <w:p w14:paraId="738A839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23E612A4" w14:textId="77777777" w:rsidR="00176458" w:rsidRDefault="00176458">
      <w:pPr>
        <w:spacing w:line="360" w:lineRule="auto"/>
        <w:rPr>
          <w:rFonts w:ascii="Palatino Linotype" w:eastAsia="Palatino Linotype" w:hAnsi="Palatino Linotype" w:cs="Palatino Linotype"/>
        </w:rPr>
      </w:pPr>
    </w:p>
    <w:p w14:paraId="4C65E3A3"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Es así que, a través de la presente resolución, se hace del conocimiento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deberá atender la solicitud de información y resulta procedente ordenar la entrega de la información requerida, ajustándose a lo dispuesto por el artículo 186 fracción IV de la ley de la materia, lo anterior para resarcir la afectación que le fue realizada al derecho de acceso a la información de la persona.</w:t>
      </w:r>
    </w:p>
    <w:p w14:paraId="7BDAB7AE" w14:textId="77777777" w:rsidR="00176458" w:rsidRDefault="00176458">
      <w:pPr>
        <w:spacing w:line="360" w:lineRule="auto"/>
        <w:ind w:right="49"/>
        <w:jc w:val="both"/>
        <w:rPr>
          <w:rFonts w:ascii="Palatino Linotype" w:eastAsia="Palatino Linotype" w:hAnsi="Palatino Linotype" w:cs="Palatino Linotype"/>
        </w:rPr>
      </w:pPr>
    </w:p>
    <w:p w14:paraId="10C59BC1" w14:textId="77777777" w:rsidR="00176458" w:rsidRDefault="00AE3C26">
      <w:pPr>
        <w:keepNext/>
        <w:keepLines/>
        <w:spacing w:line="360" w:lineRule="auto"/>
        <w:rPr>
          <w:rFonts w:ascii="Palatino Linotype" w:eastAsia="Palatino Linotype" w:hAnsi="Palatino Linotype" w:cs="Palatino Linotype"/>
          <w:b/>
        </w:rPr>
      </w:pPr>
      <w:bookmarkStart w:id="18" w:name="_heading=h.2jxsxqh" w:colFirst="0" w:colLast="0"/>
      <w:bookmarkEnd w:id="18"/>
      <w:r>
        <w:rPr>
          <w:rFonts w:ascii="Palatino Linotype" w:eastAsia="Palatino Linotype" w:hAnsi="Palatino Linotype" w:cs="Palatino Linotype"/>
          <w:b/>
        </w:rPr>
        <w:t>QUINTO. El cumplimiento a esta resolución es susceptible de ser impugnado.</w:t>
      </w:r>
    </w:p>
    <w:p w14:paraId="07F4F33D"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Cabe señalar que, atento a lo dispuesto al artículo 179 de la ley de la materia, el cual contempla de manera puntual las causales en las cuales será procedente el recurso de revisión que se interponga por cualquier persona como un medio de protección para que se le garantice el derecho de acceder a la información pública, este mismo artículo señala en el párrafo final lo siguiente:</w:t>
      </w:r>
    </w:p>
    <w:p w14:paraId="5B242082"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40001A8"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La respuesta que den los sujetos obligados derivada </w:t>
      </w:r>
      <w:r>
        <w:rPr>
          <w:rFonts w:ascii="Palatino Linotype" w:eastAsia="Palatino Linotype" w:hAnsi="Palatino Linotype" w:cs="Palatino Linotype"/>
          <w:b/>
          <w:i/>
          <w:sz w:val="22"/>
          <w:szCs w:val="22"/>
          <w:u w:val="single"/>
        </w:rPr>
        <w:t>de la resolución</w:t>
      </w:r>
      <w:r>
        <w:rPr>
          <w:rFonts w:ascii="Palatino Linotype" w:eastAsia="Palatino Linotype" w:hAnsi="Palatino Linotype" w:cs="Palatino Linotype"/>
          <w:i/>
          <w:sz w:val="22"/>
          <w:szCs w:val="22"/>
        </w:rPr>
        <w:t xml:space="preserve"> a un recurso de revisión que proceda por las causales señaladas en las fracciones </w:t>
      </w:r>
      <w:r>
        <w:rPr>
          <w:rFonts w:ascii="Palatino Linotype" w:eastAsia="Palatino Linotype" w:hAnsi="Palatino Linotype" w:cs="Palatino Linotype"/>
          <w:i/>
          <w:sz w:val="22"/>
          <w:szCs w:val="22"/>
          <w:u w:val="single"/>
        </w:rPr>
        <w:t xml:space="preserve">IV, VII, IX, X, XI y XII </w:t>
      </w:r>
      <w:r>
        <w:rPr>
          <w:rFonts w:ascii="Palatino Linotype" w:eastAsia="Palatino Linotype" w:hAnsi="Palatino Linotype" w:cs="Palatino Linotype"/>
          <w:i/>
          <w:sz w:val="22"/>
          <w:szCs w:val="22"/>
        </w:rPr>
        <w:t xml:space="preserve">es </w:t>
      </w:r>
      <w:r>
        <w:rPr>
          <w:rFonts w:ascii="Palatino Linotype" w:eastAsia="Palatino Linotype" w:hAnsi="Palatino Linotype" w:cs="Palatino Linotype"/>
          <w:i/>
          <w:sz w:val="22"/>
          <w:szCs w:val="22"/>
          <w:u w:val="single"/>
        </w:rPr>
        <w:t>susceptible de ser impugnada</w:t>
      </w:r>
      <w:r>
        <w:rPr>
          <w:rFonts w:ascii="Palatino Linotype" w:eastAsia="Palatino Linotype" w:hAnsi="Palatino Linotype" w:cs="Palatino Linotype"/>
          <w:i/>
          <w:sz w:val="22"/>
          <w:szCs w:val="22"/>
        </w:rPr>
        <w:t xml:space="preserve"> de nueva cuenta, mediante recurso de revisión, ante el Instituto. “</w:t>
      </w:r>
    </w:p>
    <w:p w14:paraId="5F4C491F" w14:textId="77777777" w:rsidR="00176458" w:rsidRDefault="00176458">
      <w:pPr>
        <w:spacing w:line="360" w:lineRule="auto"/>
        <w:ind w:left="360"/>
        <w:jc w:val="both"/>
        <w:rPr>
          <w:rFonts w:ascii="Palatino Linotype" w:eastAsia="Palatino Linotype" w:hAnsi="Palatino Linotype" w:cs="Palatino Linotype"/>
        </w:rPr>
      </w:pPr>
    </w:p>
    <w:p w14:paraId="0C9E01D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Es así que en este asunto en el que se está ante la presencia de una falta de respuesta y una falta de trámite a la solicitud de información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se encuadra en los supuestos que contempla el artículo 179 en sus fracciones VII y XI, mismas que señalan lo siguiente:</w:t>
      </w:r>
    </w:p>
    <w:p w14:paraId="24B9EF00"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179.</w:t>
      </w:r>
      <w:r>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C128E92"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3EF43A06" w14:textId="77777777" w:rsidR="00176458" w:rsidRDefault="00AE3C2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VII. La falta de respuesta a una solicitud de acceso a la información;</w:t>
      </w:r>
    </w:p>
    <w:p w14:paraId="3A62E0DB"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7E5901E1" w14:textId="77777777" w:rsidR="00176458" w:rsidRDefault="00AE3C26">
      <w:pPr>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XI. La falta de trámite a una solicitud;</w:t>
      </w:r>
    </w:p>
    <w:p w14:paraId="37AA0A27" w14:textId="77777777" w:rsidR="00176458" w:rsidRDefault="00AE3C26">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15445EC" w14:textId="77777777" w:rsidR="00176458" w:rsidRDefault="00176458">
      <w:pPr>
        <w:ind w:left="1134" w:right="900"/>
        <w:jc w:val="both"/>
        <w:rPr>
          <w:rFonts w:ascii="Palatino Linotype" w:eastAsia="Palatino Linotype" w:hAnsi="Palatino Linotype" w:cs="Palatino Linotype"/>
          <w:i/>
          <w:sz w:val="22"/>
          <w:szCs w:val="22"/>
        </w:rPr>
      </w:pPr>
    </w:p>
    <w:p w14:paraId="690B3AB6" w14:textId="77777777" w:rsidR="00176458" w:rsidRDefault="00AE3C26">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(Énfasis Añadido)</w:t>
      </w:r>
    </w:p>
    <w:p w14:paraId="6ED838FF" w14:textId="77777777" w:rsidR="00176458" w:rsidRDefault="00176458">
      <w:pPr>
        <w:spacing w:line="360" w:lineRule="auto"/>
        <w:ind w:left="360"/>
        <w:jc w:val="both"/>
        <w:rPr>
          <w:rFonts w:ascii="Palatino Linotype" w:eastAsia="Palatino Linotype" w:hAnsi="Palatino Linotype" w:cs="Palatino Linotype"/>
        </w:rPr>
      </w:pPr>
    </w:p>
    <w:p w14:paraId="780F898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tenor, en el asunto particular derivado de la negativa por parte del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a dar trámite a la solicitud por parte del Titular de la Unidad de Transparencia, configura de manera clara las fracciones señaladas con anterioridad y este Órgano Garante procede a ordenar a través de la presente resolución, dar atención a la solicitud de información y además de ello entregar la información correspondiente, con las formalidades en tiempo y forma que dispone la normatividad aplicable.</w:t>
      </w:r>
    </w:p>
    <w:p w14:paraId="071B88F7" w14:textId="77777777" w:rsidR="00176458" w:rsidRDefault="00176458">
      <w:pPr>
        <w:spacing w:line="360" w:lineRule="auto"/>
        <w:jc w:val="both"/>
        <w:rPr>
          <w:rFonts w:ascii="Palatino Linotype" w:eastAsia="Palatino Linotype" w:hAnsi="Palatino Linotype" w:cs="Palatino Linotype"/>
        </w:rPr>
      </w:pPr>
    </w:p>
    <w:p w14:paraId="46621085"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19" w:name="_heading=h.z337ya" w:colFirst="0" w:colLast="0"/>
      <w:bookmarkEnd w:id="19"/>
      <w:r>
        <w:rPr>
          <w:rFonts w:ascii="Palatino Linotype" w:eastAsia="Palatino Linotype" w:hAnsi="Palatino Linotype" w:cs="Palatino Linotype"/>
          <w:color w:val="000000"/>
        </w:rPr>
        <w:t xml:space="preserve">El último párrafo del artículo 179 de la ley de la materia, se configura entonces en aquellos casos en donde los </w:t>
      </w:r>
      <w:r>
        <w:rPr>
          <w:rFonts w:ascii="Palatino Linotype" w:eastAsia="Palatino Linotype" w:hAnsi="Palatino Linotype" w:cs="Palatino Linotype"/>
          <w:b/>
          <w:color w:val="000000"/>
          <w:u w:val="single"/>
        </w:rPr>
        <w:t xml:space="preserve">sujetos obligados emiten respuesta derivada de una </w:t>
      </w:r>
      <w:r>
        <w:rPr>
          <w:rFonts w:ascii="Palatino Linotype" w:eastAsia="Palatino Linotype" w:hAnsi="Palatino Linotype" w:cs="Palatino Linotype"/>
          <w:color w:val="000000"/>
        </w:rPr>
        <w:t>resolución</w:t>
      </w:r>
      <w:r>
        <w:rPr>
          <w:rFonts w:ascii="Palatino Linotype" w:eastAsia="Palatino Linotype" w:hAnsi="Palatino Linotype" w:cs="Palatino Linotype"/>
          <w:b/>
          <w:color w:val="000000"/>
          <w:u w:val="single"/>
        </w:rPr>
        <w:t xml:space="preserve"> a un recurso de revisión que proceda por la causal prevista en las fracciones VII y XI de la Ley en cita como es este el caso</w:t>
      </w:r>
      <w:r>
        <w:rPr>
          <w:rFonts w:ascii="Palatino Linotype" w:eastAsia="Palatino Linotype" w:hAnsi="Palatino Linotype" w:cs="Palatino Linotype"/>
          <w:color w:val="000000"/>
        </w:rPr>
        <w:t xml:space="preserve">, dicha respuesta es susceptible de ser impugnada de nueva cuenta, mediante recurso de revisión ante el Instituto. Esto es, que el acto que genere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 cumplimiento a esta resolución, dicho en otras palabras, la respuesta que genere al dar atención a la solicitud de información con arreglo a los principios establecidos por la Ley de la materia en los términos planteados en esta resolución, no es definitivo puesto que en caso de que la información que entregue  no sea satisfactoria del derecho de acceso a la información pública, </w:t>
      </w:r>
      <w:r>
        <w:rPr>
          <w:rFonts w:ascii="Palatino Linotype" w:eastAsia="Palatino Linotype" w:hAnsi="Palatino Linotype" w:cs="Palatino Linotype"/>
          <w:b/>
          <w:color w:val="000000"/>
        </w:rPr>
        <w:t xml:space="preserve">queda al alcance de la persona la interposición de </w:t>
      </w:r>
      <w:r>
        <w:rPr>
          <w:rFonts w:ascii="Palatino Linotype" w:eastAsia="Palatino Linotype" w:hAnsi="Palatino Linotype" w:cs="Palatino Linotype"/>
          <w:b/>
          <w:color w:val="000000"/>
        </w:rPr>
        <w:lastRenderedPageBreak/>
        <w:t>un nuevo recurso de revisión</w:t>
      </w:r>
      <w:r>
        <w:rPr>
          <w:rFonts w:ascii="Palatino Linotype" w:eastAsia="Palatino Linotype" w:hAnsi="Palatino Linotype" w:cs="Palatino Linotype"/>
          <w:color w:val="000000"/>
        </w:rPr>
        <w:t xml:space="preserve"> que independiente del que se resuelve en este instrumento, versará sobre la revisión de la respuesta que le sea entregada. Lo cual proporciona al particular una herramienta para defender su Derecho de Acceso a la Información ante un posible cumplimiento defectuoso de la presente.</w:t>
      </w:r>
    </w:p>
    <w:p w14:paraId="3B209F46" w14:textId="77777777" w:rsidR="00176458" w:rsidRDefault="00AE3C26">
      <w:pPr>
        <w:keepNext/>
        <w:keepLines/>
        <w:tabs>
          <w:tab w:val="left" w:pos="284"/>
        </w:tabs>
        <w:spacing w:before="240"/>
        <w:rPr>
          <w:rFonts w:ascii="Palatino Linotype" w:eastAsia="Palatino Linotype" w:hAnsi="Palatino Linotype" w:cs="Palatino Linotype"/>
          <w:b/>
        </w:rPr>
      </w:pPr>
      <w:bookmarkStart w:id="20" w:name="_heading=h.3j2qqm3" w:colFirst="0" w:colLast="0"/>
      <w:bookmarkEnd w:id="20"/>
      <w:r>
        <w:rPr>
          <w:rFonts w:ascii="Palatino Linotype" w:eastAsia="Palatino Linotype" w:hAnsi="Palatino Linotype" w:cs="Palatino Linotype"/>
          <w:b/>
        </w:rPr>
        <w:t>SEXTO. Vista al órgano interno de control competente.</w:t>
      </w:r>
    </w:p>
    <w:p w14:paraId="6D8B1BEA"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Ley de Transparencia y Acceso a la Información Pública del Estado de México y Municipios en los artículos 222 fracción I y II, 162 y 59 fracción I y II establecen los siguiente:</w:t>
      </w:r>
    </w:p>
    <w:p w14:paraId="0CBAD7E6"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222. Son causas de responsabilidad administrativa de los servidores públicos de los sujetos obligados, por incumplimiento de las obligaciones establecidas en la materia de la presente Ley, las siguientes:</w:t>
      </w:r>
    </w:p>
    <w:p w14:paraId="76F937A4"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Cualquier acto u omisión que provoque la suspensión o deficiencia en la atención de las solicitudes de información; </w:t>
      </w:r>
    </w:p>
    <w:p w14:paraId="51D88B68"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La falta de respuesta a las solicitudes de información en los plazos señalados en la normatividad aplicable;</w:t>
      </w:r>
    </w:p>
    <w:p w14:paraId="7B69064B"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 XXI. …</w:t>
      </w:r>
    </w:p>
    <w:p w14:paraId="07237292"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75EF004F"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59. Los servidores públicos habilitados tendrán las funciones siguientes:</w:t>
      </w:r>
    </w:p>
    <w:p w14:paraId="6CEBDC85" w14:textId="77777777" w:rsidR="00176458" w:rsidRDefault="00176458">
      <w:pPr>
        <w:tabs>
          <w:tab w:val="left" w:pos="284"/>
        </w:tabs>
        <w:ind w:left="1134" w:right="900"/>
        <w:jc w:val="both"/>
        <w:rPr>
          <w:rFonts w:ascii="Palatino Linotype" w:eastAsia="Palatino Linotype" w:hAnsi="Palatino Linotype" w:cs="Palatino Linotype"/>
          <w:i/>
          <w:sz w:val="22"/>
          <w:szCs w:val="22"/>
        </w:rPr>
      </w:pPr>
    </w:p>
    <w:p w14:paraId="2F77C40B"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Localizar la información que le solicite la Unidad de Transparencia; </w:t>
      </w:r>
    </w:p>
    <w:p w14:paraId="20A898DD"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Proporcionar la información que obre en los archivos y que le sea solicitada por la Unidad de Transparencia;</w:t>
      </w:r>
    </w:p>
    <w:p w14:paraId="7EFD18F8" w14:textId="77777777" w:rsidR="00176458" w:rsidRDefault="00AE3C26">
      <w:pPr>
        <w:tabs>
          <w:tab w:val="left" w:pos="284"/>
        </w:tabs>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a VII. …”</w:t>
      </w:r>
    </w:p>
    <w:p w14:paraId="4EB3D542" w14:textId="77777777" w:rsidR="00176458" w:rsidRDefault="00176458">
      <w:pPr>
        <w:tabs>
          <w:tab w:val="left" w:pos="284"/>
        </w:tabs>
        <w:spacing w:line="360" w:lineRule="auto"/>
        <w:ind w:left="567" w:right="567"/>
        <w:jc w:val="both"/>
        <w:rPr>
          <w:rFonts w:ascii="Palatino Linotype" w:eastAsia="Palatino Linotype" w:hAnsi="Palatino Linotype" w:cs="Palatino Linotype"/>
          <w:i/>
        </w:rPr>
      </w:pPr>
    </w:p>
    <w:p w14:paraId="640925DB" w14:textId="77777777" w:rsidR="00176458" w:rsidRDefault="00AE3C26">
      <w:pPr>
        <w:numPr>
          <w:ilvl w:val="0"/>
          <w:numId w:val="8"/>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Las Unidades de Transparencia cuando reciben solicitudes deben identificar la información solicitada, a efecto de realizar el turno a las áreas que de acuerdo a </w:t>
      </w:r>
      <w:r>
        <w:rPr>
          <w:rFonts w:ascii="Palatino Linotype" w:eastAsia="Palatino Linotype" w:hAnsi="Palatino Linotype" w:cs="Palatino Linotype"/>
        </w:rPr>
        <w:lastRenderedPageBreak/>
        <w:t>sus atribuciones, facultades y competencias deban generar, administrar y/o poseer lo requerido; para que, a su vez, realicen la búsqueda exhaustiva y razonable y entreguen los documentos necesarios para generar la respuesta y proporcionar al recurrente.</w:t>
      </w:r>
    </w:p>
    <w:p w14:paraId="4DFE3D71" w14:textId="77777777" w:rsidR="00176458" w:rsidRDefault="00176458">
      <w:pPr>
        <w:tabs>
          <w:tab w:val="left" w:pos="284"/>
        </w:tabs>
        <w:spacing w:line="360" w:lineRule="auto"/>
        <w:jc w:val="both"/>
        <w:rPr>
          <w:rFonts w:ascii="Palatino Linotype" w:eastAsia="Palatino Linotype" w:hAnsi="Palatino Linotype" w:cs="Palatino Linotype"/>
        </w:rPr>
      </w:pPr>
    </w:p>
    <w:p w14:paraId="2D87EDB2" w14:textId="77777777" w:rsidR="00176458" w:rsidRDefault="00AE3C26">
      <w:pPr>
        <w:numPr>
          <w:ilvl w:val="0"/>
          <w:numId w:val="8"/>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14:paraId="52B690BE" w14:textId="77777777" w:rsidR="00176458" w:rsidRDefault="00176458">
      <w:pPr>
        <w:tabs>
          <w:tab w:val="left" w:pos="284"/>
        </w:tabs>
        <w:spacing w:line="360" w:lineRule="auto"/>
        <w:jc w:val="both"/>
        <w:rPr>
          <w:rFonts w:ascii="Palatino Linotype" w:eastAsia="Palatino Linotype" w:hAnsi="Palatino Linotype" w:cs="Palatino Linotype"/>
        </w:rPr>
      </w:pPr>
    </w:p>
    <w:p w14:paraId="40DBA303" w14:textId="77777777" w:rsidR="00176458" w:rsidRDefault="00AE3C26">
      <w:pPr>
        <w:numPr>
          <w:ilvl w:val="0"/>
          <w:numId w:val="8"/>
        </w:numPr>
        <w:tabs>
          <w:tab w:val="left" w:pos="284"/>
        </w:tabs>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En el presente asunto en particular, se tiene que el Titular de la Unidad de Transparencia no turnará la solicitud al Servidor Público Habilitado.</w:t>
      </w:r>
    </w:p>
    <w:p w14:paraId="450989B3" w14:textId="77777777" w:rsidR="00176458" w:rsidRDefault="00AE3C26">
      <w:pPr>
        <w:numPr>
          <w:ilvl w:val="0"/>
          <w:numId w:val="8"/>
        </w:numPr>
        <w:pBdr>
          <w:top w:val="nil"/>
          <w:left w:val="nil"/>
          <w:bottom w:val="nil"/>
          <w:right w:val="nil"/>
          <w:between w:val="nil"/>
        </w:pBdr>
        <w:tabs>
          <w:tab w:val="left" w:pos="284"/>
        </w:tabs>
        <w:spacing w:before="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tiene que el Titular de la Unidad de Transparencia incumplió con sus funciones, atribuciones y competencias, al no dar trámite a la solicitud, lo cual tuvo como consecuencia la falta de respuesta a ambas solicitudes.</w:t>
      </w:r>
    </w:p>
    <w:p w14:paraId="19F4692D" w14:textId="77777777" w:rsidR="00176458" w:rsidRDefault="00AE3C26">
      <w:pPr>
        <w:numPr>
          <w:ilvl w:val="0"/>
          <w:numId w:val="8"/>
        </w:numPr>
        <w:pBdr>
          <w:top w:val="nil"/>
          <w:left w:val="nil"/>
          <w:bottom w:val="nil"/>
          <w:right w:val="nil"/>
          <w:between w:val="nil"/>
        </w:pBdr>
        <w:tabs>
          <w:tab w:val="left" w:pos="284"/>
        </w:tabs>
        <w:spacing w:before="240" w:after="240"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Entonces, la falta de respuesta a las solicitudes de acceso a la información pública por parte del Sujeto Obligado actualiza una causa de responsabilidad, por lo que, de acuerdo a los artículos 190 y 36 fracción X, de la Ley de </w:t>
      </w:r>
      <w:r>
        <w:rPr>
          <w:rFonts w:ascii="Palatino Linotype" w:eastAsia="Palatino Linotype" w:hAnsi="Palatino Linotype" w:cs="Palatino Linotype"/>
        </w:rPr>
        <w:t>Transparencia</w:t>
      </w:r>
      <w:r>
        <w:rPr>
          <w:rFonts w:ascii="Palatino Linotype" w:eastAsia="Palatino Linotype" w:hAnsi="Palatino Linotype" w:cs="Palatino Linotype"/>
          <w:color w:val="000000"/>
        </w:rPr>
        <w:t xml:space="preserve"> y Acceso a la Información Pública del Estado de México y Municipios, la Secretaría Técnica del Pleno hará del conocimiento del órgano interno de control competente, para que inicie, en su caso, el procedimiento de responsabilidad respectivo.</w:t>
      </w:r>
    </w:p>
    <w:p w14:paraId="5073B252" w14:textId="77777777" w:rsidR="00176458" w:rsidRDefault="00AE3C26">
      <w:pPr>
        <w:pStyle w:val="Ttulo2"/>
        <w:spacing w:before="0" w:line="360" w:lineRule="auto"/>
        <w:rPr>
          <w:rFonts w:ascii="Palatino Linotype" w:eastAsia="Palatino Linotype" w:hAnsi="Palatino Linotype" w:cs="Palatino Linotype"/>
          <w:b/>
          <w:color w:val="000000"/>
          <w:sz w:val="24"/>
          <w:szCs w:val="24"/>
        </w:rPr>
      </w:pPr>
      <w:bookmarkStart w:id="21" w:name="_heading=h.1y810tw" w:colFirst="0" w:colLast="0"/>
      <w:bookmarkEnd w:id="21"/>
      <w:r>
        <w:rPr>
          <w:rFonts w:ascii="Palatino Linotype" w:eastAsia="Palatino Linotype" w:hAnsi="Palatino Linotype" w:cs="Palatino Linotype"/>
          <w:b/>
          <w:color w:val="000000"/>
          <w:sz w:val="24"/>
          <w:szCs w:val="24"/>
        </w:rPr>
        <w:lastRenderedPageBreak/>
        <w:t>SÉPTIMO. De la versión pública.</w:t>
      </w:r>
    </w:p>
    <w:p w14:paraId="018CDED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Debe destacarse que, debido a la naturaleza de la información solicitada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w:t>
      </w:r>
      <w:r>
        <w:rPr>
          <w:rFonts w:ascii="Palatino Linotype" w:eastAsia="Palatino Linotype" w:hAnsi="Palatino Linotype" w:cs="Palatino Linotype"/>
          <w:b/>
          <w:color w:val="000000"/>
          <w:u w:val="single"/>
        </w:rPr>
        <w:t>versión pública</w:t>
      </w:r>
      <w:r>
        <w:rPr>
          <w:rFonts w:ascii="Palatino Linotype" w:eastAsia="Palatino Linotype" w:hAnsi="Palatino Linotype" w:cs="Palatino Linotype"/>
          <w:color w:val="000000"/>
        </w:rPr>
        <w:t xml:space="preserve"> de los documentos por las consideraciones que se estimen pertinentes.</w:t>
      </w:r>
    </w:p>
    <w:p w14:paraId="144E8D6B" w14:textId="77777777" w:rsidR="00176458" w:rsidRDefault="0017645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2494002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clasificación total o parcial de la información requerida, mediante solicitud de acceso a la información pública, constituye una restricción al derecho humano de acceso a la información. Como reiteradamente han dicho, diversos órganos jurisdiccionales, ningún derecho es absoluto</w:t>
      </w:r>
      <w:r>
        <w:rPr>
          <w:rFonts w:ascii="Palatino Linotype" w:eastAsia="Palatino Linotype" w:hAnsi="Palatino Linotype" w:cs="Palatino Linotype"/>
          <w:color w:val="000000"/>
          <w:vertAlign w:val="superscript"/>
        </w:rPr>
        <w:footnoteReference w:id="5"/>
      </w:r>
      <w:r>
        <w:rPr>
          <w:rFonts w:ascii="Palatino Linotype" w:eastAsia="Palatino Linotype" w:hAnsi="Palatino Linotype" w:cs="Palatino Linotype"/>
          <w:color w:val="000000"/>
        </w:rPr>
        <w:t xml:space="preserve">, aunque cualquier límite o restricción, para ser legítimo, debe reunir con tres requisitos: primero, debe de estar establecida en un ordenamiento legal, antes de su aplicación; debe de corresponder a un fin </w:t>
      </w:r>
      <w:r>
        <w:rPr>
          <w:rFonts w:ascii="Palatino Linotype" w:eastAsia="Palatino Linotype" w:hAnsi="Palatino Linotype" w:cs="Palatino Linotype"/>
          <w:color w:val="000000"/>
        </w:rPr>
        <w:lastRenderedPageBreak/>
        <w:t>legítimo y ser estrictamente proporcional con el principio o valor que se pretende preservar.</w:t>
      </w:r>
      <w:r>
        <w:rPr>
          <w:rFonts w:ascii="Palatino Linotype" w:eastAsia="Palatino Linotype" w:hAnsi="Palatino Linotype" w:cs="Palatino Linotype"/>
          <w:color w:val="000000"/>
          <w:vertAlign w:val="superscript"/>
        </w:rPr>
        <w:footnoteReference w:id="6"/>
      </w:r>
      <w:r>
        <w:rPr>
          <w:rFonts w:ascii="Palatino Linotype" w:eastAsia="Palatino Linotype" w:hAnsi="Palatino Linotype" w:cs="Palatino Linotype"/>
          <w:color w:val="000000"/>
        </w:rPr>
        <w:t xml:space="preserve">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5CD621E2" w14:textId="77777777" w:rsidR="00176458" w:rsidRDefault="0017645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1DDEB129"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grave problema que enfrentamos en general, los acuerdos de clasificación de la información que emiten los sujetos obligados, siguen sin observar los requisitos, tanto por la complejidad del procedimiento como por la falta de atención de los operadores jurídicos.</w:t>
      </w:r>
    </w:p>
    <w:p w14:paraId="033F29CC" w14:textId="77777777" w:rsidR="00176458" w:rsidRDefault="00176458">
      <w:pPr>
        <w:pBdr>
          <w:top w:val="nil"/>
          <w:left w:val="nil"/>
          <w:bottom w:val="nil"/>
          <w:right w:val="nil"/>
          <w:between w:val="nil"/>
        </w:pBdr>
        <w:spacing w:line="360" w:lineRule="auto"/>
        <w:ind w:left="708"/>
        <w:rPr>
          <w:rFonts w:ascii="Palatino Linotype" w:eastAsia="Palatino Linotype" w:hAnsi="Palatino Linotype" w:cs="Palatino Linotype"/>
        </w:rPr>
      </w:pPr>
    </w:p>
    <w:p w14:paraId="2933178E" w14:textId="77777777" w:rsidR="00176458" w:rsidRDefault="00176458">
      <w:pPr>
        <w:pBdr>
          <w:top w:val="nil"/>
          <w:left w:val="nil"/>
          <w:bottom w:val="nil"/>
          <w:right w:val="nil"/>
          <w:between w:val="nil"/>
        </w:pBdr>
        <w:spacing w:line="360" w:lineRule="auto"/>
        <w:ind w:left="708"/>
        <w:rPr>
          <w:rFonts w:ascii="Palatino Linotype" w:eastAsia="Palatino Linotype" w:hAnsi="Palatino Linotype" w:cs="Palatino Linotype"/>
        </w:rPr>
      </w:pPr>
    </w:p>
    <w:p w14:paraId="281B6F04" w14:textId="77777777" w:rsidR="00176458" w:rsidRDefault="00AE3C2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22" w:name="_heading=h.4i7ojhp" w:colFirst="0" w:colLast="0"/>
      <w:bookmarkEnd w:id="22"/>
      <w:r>
        <w:rPr>
          <w:rFonts w:ascii="Palatino Linotype" w:eastAsia="Palatino Linotype" w:hAnsi="Palatino Linotype" w:cs="Palatino Linotype"/>
          <w:b/>
          <w:color w:val="000000"/>
        </w:rPr>
        <w:t>I. Requisitos previos.</w:t>
      </w:r>
    </w:p>
    <w:p w14:paraId="3F7EC16C"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Los artículos 122 y 100 de la Ley Estatal y de la Ley General, respectivamente, señalan que los sujetos obligados determinan que la información actualiza alguno de los supuestos de clasificación y que son los titulares de las áreas los encargados de clasificar la información. En consecuencia, son los titulares de las áreas que administran la información los que aprueban su clasificación y no el Comité de </w:t>
      </w:r>
      <w:r>
        <w:rPr>
          <w:rFonts w:ascii="Palatino Linotype" w:eastAsia="Palatino Linotype" w:hAnsi="Palatino Linotype" w:cs="Palatino Linotype"/>
          <w:color w:val="000000"/>
        </w:rPr>
        <w:lastRenderedPageBreak/>
        <w:t>Transparencia. Al hacerlo tienen que precisar de qué información se trata (nombre, registro federal de contribuyentes, edad, fotografía, entre otros) que forme parte de algún documento o el documento que se pretende reservar (contrato, licencia, póliza, entre otros), señalando el supuesto de clasificación (confidencialidad o reserva).</w:t>
      </w:r>
    </w:p>
    <w:p w14:paraId="7CCF2552" w14:textId="77777777" w:rsidR="00176458" w:rsidRDefault="0017645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31D7B9D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Además, se debe señalar el procedimiento, de los tres que establecen los artículos 132 y 106 de la Ley Estatal y General, respectivamente, por el que se realiza dicha clasificación, a saber, cuando se atiende una solicitud de acceso a la información, porque lo determina una autoridad competente o porque se va a generar una versión pública para cumplir con sus obligaciones.</w:t>
      </w:r>
    </w:p>
    <w:p w14:paraId="3C0255E3"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40A5AFF2"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último de estos requisitos previos consiste en que no se pueden emitir acuerdos de carácter general ni particular, según lo disponen los artículos 134 y 108 de la Ley Estatal y de la Ley General, respectivamente, esto es, </w:t>
      </w:r>
      <w:r>
        <w:rPr>
          <w:rFonts w:ascii="Palatino Linotype" w:eastAsia="Palatino Linotype" w:hAnsi="Palatino Linotype" w:cs="Palatino Linotype"/>
          <w:b/>
          <w:color w:val="000000"/>
          <w:u w:val="single"/>
        </w:rPr>
        <w:t>no se puede hacer un acuerdo para clasificar de manera general todos los documentos de un expediente o área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sin individualizar su análisis y tampoco se puede hacer un acuerdo por cada dato que se vaya a clasificar dentro de un documento con diez datos, por ejemplo, susceptibles de ser clasificados.</w:t>
      </w:r>
    </w:p>
    <w:p w14:paraId="2F5B9F85"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69038B87" w14:textId="77777777" w:rsidR="00176458" w:rsidRDefault="00AE3C2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23" w:name="_heading=h.2xcytpi" w:colFirst="0" w:colLast="0"/>
      <w:bookmarkEnd w:id="23"/>
      <w:r>
        <w:rPr>
          <w:rFonts w:ascii="Palatino Linotype" w:eastAsia="Palatino Linotype" w:hAnsi="Palatino Linotype" w:cs="Palatino Linotype"/>
          <w:b/>
          <w:color w:val="000000"/>
        </w:rPr>
        <w:t>II. Supuestos de clasificación.</w:t>
      </w:r>
    </w:p>
    <w:p w14:paraId="480CAE8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299168BC"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Los artículos 143 y 116 de la Ley Estatal y de la Ley General, respectivamente, señalan los supuestos para que la información pueda ser clasificada como confidencial:</w:t>
      </w:r>
    </w:p>
    <w:p w14:paraId="4A6BC465" w14:textId="77777777" w:rsidR="00176458" w:rsidRDefault="00AE3C26">
      <w:pPr>
        <w:widowControl w:val="0"/>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 Se refiera a la información privada y los datos personales concernientes a una persona física o jurídico colectiva identificada o identificable; </w:t>
      </w:r>
    </w:p>
    <w:p w14:paraId="235A3733" w14:textId="77777777" w:rsidR="00176458" w:rsidRDefault="00AE3C26">
      <w:pPr>
        <w:widowControl w:val="0"/>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57047791" w14:textId="77777777" w:rsidR="00176458" w:rsidRDefault="00AE3C26">
      <w:pPr>
        <w:widowControl w:val="0"/>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La que presenten los particulares a los sujetos obligados, de conformidad con lo dispuesto por las leyes o los tratados internacionales. </w:t>
      </w:r>
    </w:p>
    <w:p w14:paraId="616BDFEC" w14:textId="77777777" w:rsidR="00176458" w:rsidRDefault="00AE3C26">
      <w:pPr>
        <w:widowControl w:val="0"/>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La información confidencial no estará sujeta a temporalidad alguna y sólo podrán tener acceso a ella los titulares de la misma, sus representantes y los servidores públicos facultados para ello. </w:t>
      </w:r>
    </w:p>
    <w:p w14:paraId="027A504F" w14:textId="77777777" w:rsidR="00176458" w:rsidRDefault="00AE3C26">
      <w:pPr>
        <w:widowControl w:val="0"/>
        <w:tabs>
          <w:tab w:val="left" w:pos="7938"/>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No se considerará confidencial la información que se encuentre en los registros públicos o en fuentes de acceso público, ni tampoco la que sea considerada por la presente ley como información pública. “</w:t>
      </w:r>
    </w:p>
    <w:p w14:paraId="29678592" w14:textId="77777777" w:rsidR="00176458" w:rsidRDefault="0017645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037C0597"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Mientras que los artículos 130 y 105 de la Ley Estatal y de la Ley General, respectivamente, señalan que la aplicación de estos supuestos debe de realizarse de manera restrictiva y limitada, por lo que debe acreditarse que se cumple con esta condición y no se pueden ampliar las excepciones o supuestos de clasificación aduciendo analogía o mayoría de razón.</w:t>
      </w:r>
    </w:p>
    <w:p w14:paraId="47EF2A47" w14:textId="77777777" w:rsidR="00176458" w:rsidRDefault="0017645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3D35B70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consecuencia de lo anterior,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debe identificar claramente el tipo de información y hacer un juicio de subsunción o encaje</w:t>
      </w:r>
      <w:r>
        <w:rPr>
          <w:rFonts w:ascii="Palatino Linotype" w:eastAsia="Palatino Linotype" w:hAnsi="Palatino Linotype" w:cs="Palatino Linotype"/>
          <w:color w:val="000000"/>
          <w:vertAlign w:val="superscript"/>
        </w:rPr>
        <w:footnoteReference w:id="7"/>
      </w:r>
      <w:r>
        <w:rPr>
          <w:rFonts w:ascii="Palatino Linotype" w:eastAsia="Palatino Linotype" w:hAnsi="Palatino Linotype" w:cs="Palatino Linotype"/>
          <w:color w:val="000000"/>
        </w:rPr>
        <w:t xml:space="preserve"> para </w:t>
      </w:r>
      <w:r>
        <w:rPr>
          <w:rFonts w:ascii="Palatino Linotype" w:eastAsia="Palatino Linotype" w:hAnsi="Palatino Linotype" w:cs="Palatino Linotype"/>
          <w:color w:val="000000"/>
        </w:rPr>
        <w:lastRenderedPageBreak/>
        <w:t>acreditar que el supuesto de hecho corresponde estrictamente con la hipótesis jurídica. Esto también lo debe de realizar el servidor público habilitado y el titular del área que administra la información.</w:t>
      </w:r>
    </w:p>
    <w:p w14:paraId="50BAEA65" w14:textId="77777777" w:rsidR="00176458" w:rsidRDefault="0017645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2DBF0BA5"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los Lineamientos Generales en Materia de Clasificación y Desclasificación de la Información, así Como para la Elaboración de Versiones Públicas, por cuanto hace a la clasificación de la información, señalan lo siguiente:</w:t>
      </w:r>
    </w:p>
    <w:p w14:paraId="152E8273"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344F3086" w14:textId="77777777" w:rsidR="00176458" w:rsidRDefault="00176458">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p>
    <w:p w14:paraId="5D0547BD"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xml:space="preserve"> La leyenda en los documentos clasificados indicará:</w:t>
      </w:r>
    </w:p>
    <w:p w14:paraId="2E9E0D4E"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La fecha de sesión del Comité de Transparencia en donde se confirmó la clasificación, en su caso;</w:t>
      </w:r>
    </w:p>
    <w:p w14:paraId="0071358B"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w:t>
      </w:r>
    </w:p>
    <w:p w14:paraId="121FBE8F"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palabra reservado o confidencial;</w:t>
      </w:r>
    </w:p>
    <w:p w14:paraId="66DE3C1B"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Las partes o secciones reservadas o confidenciales, en su caso;</w:t>
      </w:r>
    </w:p>
    <w:p w14:paraId="76B4BA13"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El fundamento legal;</w:t>
      </w:r>
    </w:p>
    <w:p w14:paraId="0E536065"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periodo de reserva, y</w:t>
      </w:r>
    </w:p>
    <w:p w14:paraId="2FA5AEFA"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rúbrica del titular del área.</w:t>
      </w:r>
    </w:p>
    <w:p w14:paraId="02366DB6" w14:textId="77777777" w:rsidR="00176458" w:rsidRDefault="00176458">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p>
    <w:p w14:paraId="7D1B9E21"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Quincuagésimo segundo.</w:t>
      </w:r>
      <w:r>
        <w:rPr>
          <w:rFonts w:ascii="Palatino Linotype" w:eastAsia="Palatino Linotype" w:hAnsi="Palatino Linotype" w:cs="Palatino Linotype"/>
          <w:i/>
          <w:color w:val="000000"/>
          <w:sz w:val="22"/>
          <w:szCs w:val="22"/>
        </w:rPr>
        <w:t xml:space="preserve"> Los sujetos obligados elaborarán los formatos a que se refiere este Capítulo en medios impresos o electrónicos, entre otros, debiendo ubicarse la leyenda de clasificación en la esquina superior derecha del documento.</w:t>
      </w:r>
    </w:p>
    <w:p w14:paraId="278E4EFB"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14:paraId="1978A876" w14:textId="77777777" w:rsidR="00176458" w:rsidRDefault="00176458">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p>
    <w:p w14:paraId="44E36FF6" w14:textId="77777777" w:rsidR="00176458" w:rsidRDefault="00AE3C26">
      <w:pPr>
        <w:pBdr>
          <w:top w:val="nil"/>
          <w:left w:val="nil"/>
          <w:bottom w:val="nil"/>
          <w:right w:val="nil"/>
          <w:between w:val="nil"/>
        </w:pBdr>
        <w:tabs>
          <w:tab w:val="left" w:pos="142"/>
          <w:tab w:val="left" w:pos="284"/>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tercero.</w:t>
      </w:r>
      <w:r>
        <w:rPr>
          <w:rFonts w:ascii="Palatino Linotype" w:eastAsia="Palatino Linotype" w:hAnsi="Palatino Linotype" w:cs="Palatino Linotype"/>
          <w:i/>
          <w:color w:val="000000"/>
          <w:sz w:val="22"/>
          <w:szCs w:val="22"/>
        </w:rPr>
        <w:t xml:space="preserve"> El formato para señalar la clasificación parcial de un documento, es el siguiente: </w:t>
      </w:r>
    </w:p>
    <w:p w14:paraId="644B19F0" w14:textId="77777777" w:rsidR="00176458" w:rsidRDefault="00AE3C26">
      <w:pPr>
        <w:pBdr>
          <w:top w:val="nil"/>
          <w:left w:val="nil"/>
          <w:bottom w:val="nil"/>
          <w:right w:val="nil"/>
          <w:between w:val="nil"/>
        </w:pBdr>
        <w:tabs>
          <w:tab w:val="left" w:pos="142"/>
          <w:tab w:val="left" w:pos="284"/>
          <w:tab w:val="left" w:pos="426"/>
        </w:tabs>
        <w:ind w:left="567" w:right="567"/>
        <w:jc w:val="both"/>
        <w:rPr>
          <w:rFonts w:ascii="Palatino Linotype" w:eastAsia="Palatino Linotype" w:hAnsi="Palatino Linotype" w:cs="Palatino Linotype"/>
          <w:i/>
          <w:color w:val="000000"/>
          <w:sz w:val="22"/>
          <w:szCs w:val="22"/>
        </w:rPr>
      </w:pPr>
      <w:r>
        <w:rPr>
          <w:noProof/>
          <w:lang w:val="es-MX"/>
        </w:rPr>
        <w:drawing>
          <wp:anchor distT="0" distB="0" distL="0" distR="0" simplePos="0" relativeHeight="251661312" behindDoc="1" locked="0" layoutInCell="1" hidden="0" allowOverlap="1" wp14:anchorId="6235C60C" wp14:editId="43FB9BEB">
            <wp:simplePos x="0" y="0"/>
            <wp:positionH relativeFrom="column">
              <wp:posOffset>2352675</wp:posOffset>
            </wp:positionH>
            <wp:positionV relativeFrom="paragraph">
              <wp:posOffset>829653</wp:posOffset>
            </wp:positionV>
            <wp:extent cx="7809876" cy="10165823"/>
            <wp:effectExtent l="0" t="0" r="0" b="0"/>
            <wp:wrapNone/>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7809876" cy="10165823"/>
                    </a:xfrm>
                    <a:prstGeom prst="rect">
                      <a:avLst/>
                    </a:prstGeom>
                    <a:ln/>
                  </pic:spPr>
                </pic:pic>
              </a:graphicData>
            </a:graphic>
          </wp:anchor>
        </w:drawing>
      </w:r>
    </w:p>
    <w:p w14:paraId="302F09C5" w14:textId="77777777" w:rsidR="00176458" w:rsidRDefault="00AE3C26">
      <w:pPr>
        <w:pBdr>
          <w:top w:val="nil"/>
          <w:left w:val="nil"/>
          <w:bottom w:val="nil"/>
          <w:right w:val="nil"/>
          <w:between w:val="nil"/>
        </w:pBdr>
        <w:tabs>
          <w:tab w:val="left" w:pos="0"/>
          <w:tab w:val="left" w:pos="142"/>
        </w:tabs>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i/>
          <w:noProof/>
          <w:color w:val="000000"/>
          <w:sz w:val="22"/>
          <w:szCs w:val="22"/>
          <w:lang w:val="es-MX"/>
        </w:rPr>
        <w:drawing>
          <wp:inline distT="0" distB="0" distL="0" distR="0" wp14:anchorId="26994CE1" wp14:editId="62272AA7">
            <wp:extent cx="3660680" cy="3541310"/>
            <wp:effectExtent l="9525" t="9525" r="9525" b="9525"/>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660680" cy="3541310"/>
                    </a:xfrm>
                    <a:prstGeom prst="rect">
                      <a:avLst/>
                    </a:prstGeom>
                    <a:ln w="9525">
                      <a:solidFill>
                        <a:srgbClr val="000000"/>
                      </a:solidFill>
                      <a:prstDash val="solid"/>
                    </a:ln>
                  </pic:spPr>
                </pic:pic>
              </a:graphicData>
            </a:graphic>
          </wp:inline>
        </w:drawing>
      </w:r>
    </w:p>
    <w:p w14:paraId="17968E87" w14:textId="77777777" w:rsidR="00176458" w:rsidRDefault="00176458">
      <w:pPr>
        <w:pBdr>
          <w:top w:val="nil"/>
          <w:left w:val="nil"/>
          <w:bottom w:val="nil"/>
          <w:right w:val="nil"/>
          <w:between w:val="nil"/>
        </w:pBdr>
        <w:tabs>
          <w:tab w:val="left" w:pos="0"/>
          <w:tab w:val="left" w:pos="142"/>
        </w:tabs>
        <w:spacing w:line="360" w:lineRule="auto"/>
        <w:jc w:val="center"/>
        <w:rPr>
          <w:rFonts w:ascii="Palatino Linotype" w:eastAsia="Palatino Linotype" w:hAnsi="Palatino Linotype" w:cs="Palatino Linotype"/>
          <w:color w:val="000000"/>
        </w:rPr>
      </w:pPr>
    </w:p>
    <w:p w14:paraId="05E6A138"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Una vez hecho lo anterior, se remite la información al Titular de la Unidad de Transparencia, con el acuerdo de clasificación correspondiente, para que sea </w:t>
      </w:r>
      <w:r>
        <w:rPr>
          <w:rFonts w:ascii="Palatino Linotype" w:eastAsia="Palatino Linotype" w:hAnsi="Palatino Linotype" w:cs="Palatino Linotype"/>
        </w:rPr>
        <w:t>sometida</w:t>
      </w:r>
      <w:r>
        <w:rPr>
          <w:rFonts w:ascii="Palatino Linotype" w:eastAsia="Palatino Linotype" w:hAnsi="Palatino Linotype" w:cs="Palatino Linotype"/>
          <w:color w:val="000000"/>
        </w:rPr>
        <w:t xml:space="preserve"> al conocimiento del Comité de Transparencia.</w:t>
      </w:r>
    </w:p>
    <w:p w14:paraId="7BC3A274" w14:textId="77777777" w:rsidR="00176458" w:rsidRDefault="00AE3C2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bookmarkStart w:id="24" w:name="_heading=h.1ci93xb" w:colFirst="0" w:colLast="0"/>
      <w:bookmarkEnd w:id="24"/>
      <w:r>
        <w:rPr>
          <w:rFonts w:ascii="Palatino Linotype" w:eastAsia="Palatino Linotype" w:hAnsi="Palatino Linotype" w:cs="Palatino Linotype"/>
          <w:b/>
          <w:color w:val="000000"/>
        </w:rPr>
        <w:lastRenderedPageBreak/>
        <w:t>III. La intervención del Comité de Transparencia.</w:t>
      </w:r>
    </w:p>
    <w:p w14:paraId="1B3C366D" w14:textId="77777777" w:rsidR="00176458" w:rsidRDefault="00AE3C2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Formalidades para emitir el Acuerdo de Clasificación.</w:t>
      </w:r>
    </w:p>
    <w:p w14:paraId="7000B7D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Pr>
          <w:rFonts w:ascii="Palatino Linotype" w:eastAsia="Palatino Linotype" w:hAnsi="Palatino Linotype" w:cs="Palatino Linotype"/>
          <w:b/>
          <w:color w:val="000000"/>
          <w:u w:val="single"/>
        </w:rPr>
        <w:t>confirmar, modificar o revocar</w:t>
      </w:r>
      <w:r>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Pr>
          <w:rFonts w:ascii="Palatino Linotype" w:eastAsia="Palatino Linotype" w:hAnsi="Palatino Linotype" w:cs="Palatino Linotype"/>
          <w:b/>
          <w:color w:val="000000"/>
          <w:u w:val="single"/>
        </w:rPr>
        <w:t>no aprueba</w:t>
      </w:r>
      <w:r>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14:paraId="669A389A" w14:textId="77777777" w:rsidR="00176458" w:rsidRDefault="0017645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457A6973"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w:t>
      </w:r>
      <w:r>
        <w:rPr>
          <w:rFonts w:ascii="Palatino Linotype" w:eastAsia="Palatino Linotype" w:hAnsi="Palatino Linotype" w:cs="Palatino Linotype"/>
          <w:color w:val="000000"/>
        </w:rPr>
        <w:lastRenderedPageBreak/>
        <w:t>composición del Comité puede generar vicios de legalidad de origen en el acto que restringe un derecho humano.</w:t>
      </w:r>
    </w:p>
    <w:p w14:paraId="042C4423"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313EA0A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4AA5C10B" w14:textId="77777777" w:rsidR="00176458" w:rsidRDefault="00176458">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rPr>
      </w:pPr>
    </w:p>
    <w:p w14:paraId="53EB9A70" w14:textId="77777777" w:rsidR="00176458" w:rsidRDefault="00AE3C2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b) Requisitos de fondo del Acuerdo de Clasificación.</w:t>
      </w:r>
    </w:p>
    <w:p w14:paraId="1090938E"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15797266"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F26754A"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De lo anterior, se desprende que, para una correcta clasificación total o parcial, esto es determinar los datos que se suprimen en las versiones públicas, es </w:t>
      </w:r>
      <w:r>
        <w:rPr>
          <w:rFonts w:ascii="Palatino Linotype" w:eastAsia="Palatino Linotype" w:hAnsi="Palatino Linotype" w:cs="Palatino Linotype"/>
          <w:color w:val="000000"/>
        </w:rPr>
        <w:lastRenderedPageBreak/>
        <w:t>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16E879A"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7854F23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Han sido vastos los estudios doctrinarios relativos a estos derechos fundamentales y al principio de legalidad en ellos contenidos; como ejemplo, el procesalista José Ovalle Fabela, en su obra “Garantías Constitucionales del Proceso”, refiere que “...</w:t>
      </w:r>
      <w:r>
        <w:rPr>
          <w:rFonts w:ascii="Palatino Linotype" w:eastAsia="Palatino Linotype" w:hAnsi="Palatino Linotype" w:cs="Palatino Linotype"/>
          <w:i/>
          <w:color w:val="000000"/>
        </w:rPr>
        <w:t>la garantía de fundamentación impone a las autoridades el deber de precisar las disposiciones jurídicas que aplican a los hechos de que se trate y que sustenten su competencia, así como de manifestar los razonamientos que demuestren la aplicabilidad de dichas 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Pr>
          <w:rFonts w:ascii="Palatino Linotype" w:eastAsia="Palatino Linotype" w:hAnsi="Palatino Linotype" w:cs="Palatino Linotype"/>
          <w:color w:val="000000"/>
        </w:rPr>
        <w:t>...”</w:t>
      </w:r>
      <w:r>
        <w:rPr>
          <w:rFonts w:ascii="Palatino Linotype" w:eastAsia="Palatino Linotype" w:hAnsi="Palatino Linotype" w:cs="Palatino Linotype"/>
          <w:color w:val="000000"/>
          <w:vertAlign w:val="superscript"/>
        </w:rPr>
        <w:footnoteReference w:id="8"/>
      </w:r>
    </w:p>
    <w:p w14:paraId="6DDC1412" w14:textId="77777777" w:rsidR="00176458" w:rsidRDefault="00176458">
      <w:pPr>
        <w:pBdr>
          <w:top w:val="nil"/>
          <w:left w:val="nil"/>
          <w:bottom w:val="nil"/>
          <w:right w:val="nil"/>
          <w:between w:val="nil"/>
        </w:pBdr>
        <w:spacing w:line="360" w:lineRule="auto"/>
        <w:ind w:left="644"/>
        <w:jc w:val="both"/>
        <w:rPr>
          <w:rFonts w:ascii="Palatino Linotype" w:eastAsia="Palatino Linotype" w:hAnsi="Palatino Linotype" w:cs="Palatino Linotype"/>
          <w:vertAlign w:val="superscript"/>
        </w:rPr>
      </w:pPr>
    </w:p>
    <w:p w14:paraId="2EFAE177"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14:paraId="69A84D7F" w14:textId="77777777" w:rsidR="00176458" w:rsidRDefault="00AE3C26">
      <w:pP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 xml:space="preserve">debida fundamentación y motivación legal, deben entenderse, por lo primero, la cita del precepto legal </w:t>
      </w:r>
      <w:r>
        <w:rPr>
          <w:rFonts w:ascii="Palatino Linotype" w:eastAsia="Palatino Linotype" w:hAnsi="Palatino Linotype" w:cs="Palatino Linotype"/>
          <w:i/>
          <w:color w:val="000000"/>
          <w:sz w:val="22"/>
          <w:szCs w:val="22"/>
          <w:u w:val="single"/>
        </w:rPr>
        <w:lastRenderedPageBreak/>
        <w:t>aplicable al caso, y por lo segundo, las razones, motivos o circunstancias especiales que llevaron a la autoridad a 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78B1F4F9" w14:textId="77777777" w:rsidR="00176458" w:rsidRDefault="00176458">
      <w:pPr>
        <w:pBdr>
          <w:top w:val="nil"/>
          <w:left w:val="nil"/>
          <w:bottom w:val="nil"/>
          <w:right w:val="nil"/>
          <w:between w:val="nil"/>
        </w:pBdr>
        <w:spacing w:line="360" w:lineRule="auto"/>
        <w:ind w:left="1134" w:right="900"/>
        <w:rPr>
          <w:rFonts w:ascii="Palatino Linotype" w:eastAsia="Palatino Linotype" w:hAnsi="Palatino Linotype" w:cs="Palatino Linotype"/>
          <w:color w:val="000000"/>
        </w:rPr>
      </w:pPr>
    </w:p>
    <w:p w14:paraId="5E0FED9D"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241B954D" w14:textId="77777777" w:rsidR="00176458" w:rsidRDefault="00176458">
      <w:pPr>
        <w:pBdr>
          <w:top w:val="nil"/>
          <w:left w:val="nil"/>
          <w:bottom w:val="nil"/>
          <w:right w:val="nil"/>
          <w:between w:val="nil"/>
        </w:pBdr>
        <w:tabs>
          <w:tab w:val="left" w:pos="0"/>
          <w:tab w:val="left" w:pos="142"/>
        </w:tabs>
        <w:spacing w:line="360" w:lineRule="auto"/>
        <w:jc w:val="both"/>
        <w:rPr>
          <w:rFonts w:ascii="Palatino Linotype" w:eastAsia="Palatino Linotype" w:hAnsi="Palatino Linotype" w:cs="Palatino Linotype"/>
          <w:color w:val="000000"/>
        </w:rPr>
      </w:pPr>
    </w:p>
    <w:p w14:paraId="513B68B6"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6F2D01BB"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2CA84730"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EBFD7C6"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30C5B0E1"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Ahora bien, </w:t>
      </w:r>
      <w:r>
        <w:rPr>
          <w:rFonts w:ascii="Palatino Linotype" w:eastAsia="Palatino Linotype" w:hAnsi="Palatino Linotype" w:cs="Palatino Linotype"/>
          <w:b/>
          <w:color w:val="000000"/>
          <w:u w:val="single"/>
        </w:rPr>
        <w:t>para cada caso además de fundar y motivar</w:t>
      </w:r>
      <w:r>
        <w:rPr>
          <w:rFonts w:ascii="Palatino Linotype" w:eastAsia="Palatino Linotype" w:hAnsi="Palatino Linotype" w:cs="Palatino Linotype"/>
          <w:color w:val="000000"/>
        </w:rPr>
        <w:t xml:space="preserve">, se debe identificar con claridad </w:t>
      </w:r>
      <w:r>
        <w:rPr>
          <w:rFonts w:ascii="Palatino Linotype" w:eastAsia="Palatino Linotype" w:hAnsi="Palatino Linotype" w:cs="Palatino Linotype"/>
        </w:rPr>
        <w:t>qué</w:t>
      </w:r>
      <w:r>
        <w:rPr>
          <w:rFonts w:ascii="Palatino Linotype" w:eastAsia="Palatino Linotype" w:hAnsi="Palatino Linotype" w:cs="Palatino Linotype"/>
          <w:color w:val="000000"/>
        </w:rPr>
        <w:t xml:space="preserve"> datos contenidos en las documentales que son susceptibles de suprimirse, por ejemplo, si una documental de naturaleza pública como lo es la nómina general, si bien el dato de sus remuneraciones es eminentemente público, </w:t>
      </w:r>
      <w:r>
        <w:rPr>
          <w:rFonts w:ascii="Palatino Linotype" w:eastAsia="Palatino Linotype" w:hAnsi="Palatino Linotype" w:cs="Palatino Linotype"/>
          <w:color w:val="000000"/>
        </w:rPr>
        <w:lastRenderedPageBreak/>
        <w:t>no así todos los datos contenidos en dicho documento que son datos personales</w:t>
      </w:r>
      <w:r>
        <w:rPr>
          <w:rFonts w:ascii="Palatino Linotype" w:eastAsia="Palatino Linotype" w:hAnsi="Palatino Linotype" w:cs="Palatino Linotype"/>
          <w:color w:val="000000"/>
          <w:vertAlign w:val="superscript"/>
        </w:rPr>
        <w:footnoteReference w:id="9"/>
      </w:r>
      <w:r>
        <w:rPr>
          <w:rFonts w:ascii="Palatino Linotype" w:eastAsia="Palatino Linotype" w:hAnsi="Palatino Linotype" w:cs="Palatino Linotype"/>
          <w:color w:val="000000"/>
        </w:rPr>
        <w:t xml:space="preserve"> del servidor público que no tienen ninguna injerencia en el tema de la transparencia y la rendición de cuentas.</w:t>
      </w:r>
    </w:p>
    <w:p w14:paraId="2B1F7B6F" w14:textId="77777777" w:rsidR="00176458" w:rsidRDefault="00176458">
      <w:pPr>
        <w:pBdr>
          <w:top w:val="nil"/>
          <w:left w:val="nil"/>
          <w:bottom w:val="nil"/>
          <w:right w:val="nil"/>
          <w:between w:val="nil"/>
        </w:pBdr>
        <w:ind w:left="708"/>
        <w:rPr>
          <w:rFonts w:ascii="Palatino Linotype" w:eastAsia="Palatino Linotype" w:hAnsi="Palatino Linotype" w:cs="Palatino Linotype"/>
          <w:color w:val="000000"/>
        </w:rPr>
      </w:pPr>
    </w:p>
    <w:p w14:paraId="71CF270A" w14:textId="77777777" w:rsidR="00176458" w:rsidRDefault="00AE3C26">
      <w:pPr>
        <w:keepNext/>
        <w:keepLines/>
        <w:spacing w:line="360" w:lineRule="auto"/>
        <w:rPr>
          <w:rFonts w:ascii="Palatino Linotype" w:eastAsia="Palatino Linotype" w:hAnsi="Palatino Linotype" w:cs="Palatino Linotype"/>
          <w:b/>
        </w:rPr>
      </w:pPr>
      <w:bookmarkStart w:id="25" w:name="_heading=h.3whwml4" w:colFirst="0" w:colLast="0"/>
      <w:bookmarkEnd w:id="25"/>
      <w:r>
        <w:rPr>
          <w:rFonts w:ascii="Palatino Linotype" w:eastAsia="Palatino Linotype" w:hAnsi="Palatino Linotype" w:cs="Palatino Linotype"/>
          <w:b/>
        </w:rPr>
        <w:t xml:space="preserve">OCTAVO. De la Decisión </w:t>
      </w:r>
    </w:p>
    <w:p w14:paraId="3319A30B"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se atendió ninguno de los deberes establecidos por la norma para la atención de las solicitudes de acceso a la información y al no haber respondido de ninguna manera a la solicitud, la falta de respuesta implica un incumplimiento al deber de atender las solicitudes y en consecuencia una afectación al derecho.</w:t>
      </w:r>
    </w:p>
    <w:p w14:paraId="7990B2F0"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F2D8824"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Esta falta de respuesta, propició que se vulnerará el derecho de acceso a la información, lo que puede ser causa de responsabilidad administrativa por no atender lo que establece la ley, por lo cual se dará vista al Órgano de Control Interno.</w:t>
      </w:r>
    </w:p>
    <w:p w14:paraId="50CC96BB" w14:textId="77777777" w:rsidR="00176458" w:rsidRDefault="00176458">
      <w:pPr>
        <w:pBdr>
          <w:top w:val="nil"/>
          <w:left w:val="nil"/>
          <w:bottom w:val="nil"/>
          <w:right w:val="nil"/>
          <w:between w:val="nil"/>
        </w:pBdr>
        <w:spacing w:line="360" w:lineRule="auto"/>
        <w:ind w:left="708"/>
        <w:rPr>
          <w:rFonts w:ascii="Palatino Linotype" w:eastAsia="Palatino Linotype" w:hAnsi="Palatino Linotype" w:cs="Palatino Linotype"/>
          <w:color w:val="000000"/>
        </w:rPr>
      </w:pPr>
    </w:p>
    <w:p w14:paraId="53BF72FA"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Así, con fundamento en el artículo 186, fracción IV, de la Ley de Transparencia a Acceso a la información Pública del Estado de México y Municipios, este Órgano Garante determina procedente </w:t>
      </w:r>
      <w:r>
        <w:rPr>
          <w:rFonts w:ascii="Palatino Linotype" w:eastAsia="Palatino Linotype" w:hAnsi="Palatino Linotype" w:cs="Palatino Linotype"/>
          <w:b/>
          <w:color w:val="000000"/>
        </w:rPr>
        <w:t>ORDENAR</w:t>
      </w:r>
      <w:r>
        <w:rPr>
          <w:rFonts w:ascii="Palatino Linotype" w:eastAsia="Palatino Linotype" w:hAnsi="Palatino Linotype" w:cs="Palatino Linotype"/>
          <w:color w:val="000000"/>
        </w:rPr>
        <w:t xml:space="preserve"> al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que, dé trámite y respuesta a la solicitud de información número </w:t>
      </w:r>
      <w:r>
        <w:rPr>
          <w:rFonts w:ascii="Palatino Linotype" w:eastAsia="Palatino Linotype" w:hAnsi="Palatino Linotype" w:cs="Palatino Linotype"/>
          <w:b/>
          <w:color w:val="000000"/>
        </w:rPr>
        <w:t xml:space="preserve"> 00472/ECATEPEC/IP/2024.</w:t>
      </w:r>
    </w:p>
    <w:p w14:paraId="72AAC200" w14:textId="77777777" w:rsidR="00176458" w:rsidRDefault="0017645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BE16A65" w14:textId="77777777" w:rsidR="00176458" w:rsidRDefault="00AE3C26">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31BB69DA" w14:textId="77777777" w:rsidR="00176458" w:rsidRDefault="00AE3C26">
      <w:pPr>
        <w:keepNext/>
        <w:keepLines/>
        <w:spacing w:line="360" w:lineRule="auto"/>
        <w:jc w:val="center"/>
        <w:rPr>
          <w:rFonts w:ascii="Palatino Linotype" w:eastAsia="Palatino Linotype" w:hAnsi="Palatino Linotype" w:cs="Palatino Linotype"/>
          <w:b/>
        </w:rPr>
      </w:pPr>
      <w:bookmarkStart w:id="26" w:name="_heading=h.2bn6wsx" w:colFirst="0" w:colLast="0"/>
      <w:bookmarkEnd w:id="26"/>
      <w:r>
        <w:rPr>
          <w:rFonts w:ascii="Palatino Linotype" w:eastAsia="Palatino Linotype" w:hAnsi="Palatino Linotype" w:cs="Palatino Linotype"/>
          <w:b/>
        </w:rPr>
        <w:t xml:space="preserve">R E S O L U T I V O S </w:t>
      </w:r>
    </w:p>
    <w:p w14:paraId="7DD89CC5" w14:textId="77777777" w:rsidR="00176458" w:rsidRDefault="00176458">
      <w:pPr>
        <w:keepNext/>
        <w:keepLines/>
        <w:spacing w:line="360" w:lineRule="auto"/>
        <w:jc w:val="center"/>
        <w:rPr>
          <w:rFonts w:ascii="Palatino Linotype" w:eastAsia="Palatino Linotype" w:hAnsi="Palatino Linotype" w:cs="Palatino Linotype"/>
        </w:rPr>
      </w:pPr>
    </w:p>
    <w:p w14:paraId="7A0323D4" w14:textId="77777777" w:rsidR="00176458" w:rsidRDefault="00AE3C2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PRIMERO. </w:t>
      </w:r>
      <w:r>
        <w:rPr>
          <w:rFonts w:ascii="Palatino Linotype" w:eastAsia="Palatino Linotype" w:hAnsi="Palatino Linotype" w:cs="Palatino Linotype"/>
        </w:rPr>
        <w:t>Resultan fundadas las</w:t>
      </w:r>
      <w:r>
        <w:rPr>
          <w:rFonts w:ascii="Palatino Linotype" w:eastAsia="Palatino Linotype" w:hAnsi="Palatino Linotype" w:cs="Palatino Linotype"/>
          <w:b/>
        </w:rPr>
        <w:t xml:space="preserve"> </w:t>
      </w:r>
      <w:r>
        <w:rPr>
          <w:rFonts w:ascii="Palatino Linotype" w:eastAsia="Palatino Linotype" w:hAnsi="Palatino Linotype" w:cs="Palatino Linotype"/>
        </w:rPr>
        <w:t>razones y motivos de inconformidad hechos valer en el recurso de revisión</w:t>
      </w:r>
      <w:r>
        <w:rPr>
          <w:rFonts w:ascii="Palatino Linotype" w:eastAsia="Palatino Linotype" w:hAnsi="Palatino Linotype" w:cs="Palatino Linotype"/>
          <w:b/>
        </w:rPr>
        <w:t xml:space="preserve"> 03233/INFOEM/IP/RR/2024 </w:t>
      </w:r>
      <w:r>
        <w:rPr>
          <w:rFonts w:ascii="Palatino Linotype" w:eastAsia="Palatino Linotype" w:hAnsi="Palatino Linotype" w:cs="Palatino Linotype"/>
        </w:rPr>
        <w:t xml:space="preserve">en términos de los </w:t>
      </w:r>
      <w:r>
        <w:rPr>
          <w:rFonts w:ascii="Palatino Linotype" w:eastAsia="Palatino Linotype" w:hAnsi="Palatino Linotype" w:cs="Palatino Linotype"/>
          <w:b/>
        </w:rPr>
        <w:t xml:space="preserve">Considerandos Cuarto y Séptimo </w:t>
      </w:r>
      <w:r>
        <w:rPr>
          <w:rFonts w:ascii="Palatino Linotype" w:eastAsia="Palatino Linotype" w:hAnsi="Palatino Linotype" w:cs="Palatino Linotype"/>
        </w:rPr>
        <w:t>de la presente resolución.</w:t>
      </w:r>
    </w:p>
    <w:p w14:paraId="65827C5E" w14:textId="77777777" w:rsidR="00176458" w:rsidRDefault="00176458">
      <w:pPr>
        <w:spacing w:line="360" w:lineRule="auto"/>
        <w:jc w:val="both"/>
        <w:rPr>
          <w:rFonts w:ascii="Palatino Linotype" w:eastAsia="Palatino Linotype" w:hAnsi="Palatino Linotype" w:cs="Palatino Linotype"/>
          <w:highlight w:val="green"/>
        </w:rPr>
      </w:pPr>
    </w:p>
    <w:p w14:paraId="59EA01D5" w14:textId="77777777" w:rsidR="00176458" w:rsidRDefault="00AE3C26">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 xml:space="preserve">Se </w:t>
      </w:r>
      <w:r>
        <w:rPr>
          <w:rFonts w:ascii="Palatino Linotype" w:eastAsia="Palatino Linotype" w:hAnsi="Palatino Linotype" w:cs="Palatino Linotype"/>
          <w:b/>
        </w:rPr>
        <w:t xml:space="preserve">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Ayuntamiento de Ecatepec de Morelos</w:t>
      </w:r>
      <w:r>
        <w:rPr>
          <w:rFonts w:ascii="Palatino Linotype" w:eastAsia="Palatino Linotype" w:hAnsi="Palatino Linotype" w:cs="Palatino Linotype"/>
        </w:rPr>
        <w:t xml:space="preserve"> dar atención a la solicitud de información </w:t>
      </w:r>
      <w:r>
        <w:rPr>
          <w:rFonts w:ascii="Palatino Linotype" w:eastAsia="Palatino Linotype" w:hAnsi="Palatino Linotype" w:cs="Palatino Linotype"/>
          <w:b/>
        </w:rPr>
        <w:t xml:space="preserve"> 00472/ECATEPEC/IP/2024 </w:t>
      </w:r>
      <w:r>
        <w:rPr>
          <w:rFonts w:ascii="Palatino Linotype" w:eastAsia="Palatino Linotype" w:hAnsi="Palatino Linotype" w:cs="Palatino Linotype"/>
        </w:rPr>
        <w:t xml:space="preserve">y en su caso, entregar la información vía Sistema de Acceso a Información Mexiquense </w:t>
      </w:r>
      <w:r>
        <w:rPr>
          <w:rFonts w:ascii="Palatino Linotype" w:eastAsia="Palatino Linotype" w:hAnsi="Palatino Linotype" w:cs="Palatino Linotype"/>
          <w:b/>
        </w:rPr>
        <w:t>(SAIMEX)</w:t>
      </w:r>
      <w:r>
        <w:rPr>
          <w:rFonts w:ascii="Palatino Linotype" w:eastAsia="Palatino Linotype" w:hAnsi="Palatino Linotype" w:cs="Palatino Linotype"/>
        </w:rPr>
        <w:t>.</w:t>
      </w:r>
    </w:p>
    <w:p w14:paraId="01552080" w14:textId="77777777" w:rsidR="00176458" w:rsidRDefault="00176458">
      <w:pPr>
        <w:spacing w:line="360" w:lineRule="auto"/>
        <w:jc w:val="both"/>
        <w:rPr>
          <w:rFonts w:ascii="Palatino Linotype" w:eastAsia="Palatino Linotype" w:hAnsi="Palatino Linotype" w:cs="Palatino Linotype"/>
          <w:highlight w:val="green"/>
        </w:rPr>
      </w:pPr>
    </w:p>
    <w:p w14:paraId="39CC72FE" w14:textId="77777777" w:rsidR="00176458" w:rsidRDefault="00AE3C26">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rPr>
        <w:t xml:space="preserve">TERCERO. Notifíquese </w:t>
      </w:r>
      <w:r>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rPr>
        <w:t xml:space="preserve">dé cumplimiento a lo ordenado dentro del plazo de diez días hábiles, </w:t>
      </w:r>
      <w:r>
        <w:rPr>
          <w:rFonts w:ascii="Palatino Linotype" w:eastAsia="Palatino Linotype" w:hAnsi="Palatino Linotype" w:cs="Palatino Linotype"/>
        </w:rPr>
        <w:t>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3643F5B" w14:textId="77777777" w:rsidR="00176458" w:rsidRDefault="00AE3C2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lastRenderedPageBreak/>
        <w:t xml:space="preserve">CUARTO. </w:t>
      </w:r>
      <w:r>
        <w:rPr>
          <w:rFonts w:ascii="Palatino Linotype" w:eastAsia="Palatino Linotype" w:hAnsi="Palatino Linotype" w:cs="Palatino Linotype"/>
        </w:rPr>
        <w:t>Notifíquese a</w:t>
      </w:r>
      <w:r>
        <w:rPr>
          <w:rFonts w:ascii="Palatino Linotype" w:eastAsia="Palatino Linotype" w:hAnsi="Palatino Linotype" w:cs="Palatino Linotype"/>
          <w:b/>
        </w:rPr>
        <w:t xml:space="preserve"> EL RECURRENTE </w:t>
      </w:r>
      <w:r>
        <w:rPr>
          <w:rFonts w:ascii="Palatino Linotype" w:eastAsia="Palatino Linotype" w:hAnsi="Palatino Linotype" w:cs="Palatino Linotype"/>
        </w:rPr>
        <w:t>la presente resolución, vía</w:t>
      </w:r>
      <w:r>
        <w:rPr>
          <w:rFonts w:ascii="Palatino Linotype" w:eastAsia="Palatino Linotype" w:hAnsi="Palatino Linotype" w:cs="Palatino Linotype"/>
          <w:b/>
        </w:rPr>
        <w:t xml:space="preserve"> SAIMEX</w:t>
      </w:r>
      <w:r>
        <w:rPr>
          <w:rFonts w:ascii="Palatino Linotype" w:eastAsia="Palatino Linotype" w:hAnsi="Palatino Linotype" w:cs="Palatino Linotype"/>
        </w:rPr>
        <w:t>.</w:t>
      </w:r>
    </w:p>
    <w:p w14:paraId="67DF7D7E" w14:textId="77777777" w:rsidR="00176458" w:rsidRDefault="00176458">
      <w:pPr>
        <w:shd w:val="clear" w:color="auto" w:fill="FFFFFF"/>
        <w:spacing w:line="360" w:lineRule="auto"/>
        <w:jc w:val="both"/>
        <w:rPr>
          <w:rFonts w:ascii="Palatino Linotype" w:eastAsia="Palatino Linotype" w:hAnsi="Palatino Linotype" w:cs="Palatino Linotype"/>
          <w:highlight w:val="green"/>
        </w:rPr>
      </w:pPr>
    </w:p>
    <w:p w14:paraId="03DE394C" w14:textId="77777777" w:rsidR="00176458" w:rsidRDefault="00AE3C26">
      <w:pPr>
        <w:shd w:val="clear" w:color="auto" w:fill="FFFFFF"/>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7F48C902" w14:textId="77777777" w:rsidR="00176458" w:rsidRDefault="00176458">
      <w:pPr>
        <w:shd w:val="clear" w:color="auto" w:fill="FFFFFF"/>
        <w:spacing w:line="360" w:lineRule="auto"/>
        <w:jc w:val="both"/>
        <w:rPr>
          <w:rFonts w:ascii="Palatino Linotype" w:eastAsia="Palatino Linotype" w:hAnsi="Palatino Linotype" w:cs="Palatino Linotype"/>
        </w:rPr>
      </w:pPr>
    </w:p>
    <w:p w14:paraId="26545EF8" w14:textId="77777777" w:rsidR="00176458" w:rsidRDefault="00AE3C2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SEXTO. </w:t>
      </w:r>
      <w:r>
        <w:rPr>
          <w:rFonts w:ascii="Palatino Linotype" w:eastAsia="Palatino Linotype" w:hAnsi="Palatino Linotype" w:cs="Palatino Linotype"/>
        </w:rPr>
        <w:t xml:space="preserve">Hágase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la respuesta que dé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0DCC12B5" w14:textId="77777777" w:rsidR="00176458" w:rsidRDefault="00176458">
      <w:pPr>
        <w:spacing w:line="360" w:lineRule="auto"/>
        <w:jc w:val="both"/>
        <w:rPr>
          <w:rFonts w:ascii="Palatino Linotype" w:eastAsia="Palatino Linotype" w:hAnsi="Palatino Linotype" w:cs="Palatino Linotype"/>
        </w:rPr>
      </w:pPr>
    </w:p>
    <w:p w14:paraId="68F66F96" w14:textId="77777777" w:rsidR="00176458" w:rsidRDefault="00AE3C26">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SÉPTIMO.</w:t>
      </w:r>
      <w:r>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Pr>
          <w:rFonts w:ascii="Palatino Linotype" w:eastAsia="Palatino Linotype" w:hAnsi="Palatino Linotype" w:cs="Palatino Linotype"/>
          <w:b/>
        </w:rPr>
        <w:t>SEXTO</w:t>
      </w:r>
      <w:r>
        <w:rPr>
          <w:rFonts w:ascii="Palatino Linotype" w:eastAsia="Palatino Linotype" w:hAnsi="Palatino Linotype" w:cs="Palatino Linotype"/>
        </w:rPr>
        <w:t xml:space="preserve"> de la presente Resolución.</w:t>
      </w:r>
    </w:p>
    <w:p w14:paraId="5123B26B" w14:textId="77777777" w:rsidR="00523AE8" w:rsidRDefault="00523AE8">
      <w:pPr>
        <w:spacing w:line="360" w:lineRule="auto"/>
        <w:jc w:val="both"/>
        <w:rPr>
          <w:rFonts w:ascii="Palatino Linotype" w:eastAsia="Palatino Linotype" w:hAnsi="Palatino Linotype" w:cs="Palatino Linotype"/>
        </w:rPr>
      </w:pPr>
    </w:p>
    <w:p w14:paraId="6180A669" w14:textId="77777777" w:rsidR="00523AE8" w:rsidRDefault="00523AE8">
      <w:pPr>
        <w:spacing w:line="360" w:lineRule="auto"/>
        <w:jc w:val="both"/>
        <w:rPr>
          <w:rFonts w:ascii="Palatino Linotype" w:eastAsia="Palatino Linotype" w:hAnsi="Palatino Linotype" w:cs="Palatino Linotype"/>
        </w:rPr>
      </w:pPr>
    </w:p>
    <w:p w14:paraId="1F7CE76F" w14:textId="77777777" w:rsidR="00523AE8" w:rsidRDefault="00523AE8">
      <w:pPr>
        <w:spacing w:line="360" w:lineRule="auto"/>
        <w:jc w:val="both"/>
        <w:rPr>
          <w:rFonts w:ascii="Palatino Linotype" w:eastAsia="Palatino Linotype" w:hAnsi="Palatino Linotype" w:cs="Palatino Linotype"/>
        </w:rPr>
      </w:pPr>
    </w:p>
    <w:p w14:paraId="15C74646" w14:textId="77777777" w:rsidR="00523AE8" w:rsidRDefault="00523AE8">
      <w:pPr>
        <w:spacing w:line="360" w:lineRule="auto"/>
        <w:jc w:val="both"/>
        <w:rPr>
          <w:rFonts w:ascii="Palatino Linotype" w:eastAsia="Palatino Linotype" w:hAnsi="Palatino Linotype" w:cs="Palatino Linotype"/>
          <w:b/>
          <w:highlight w:val="green"/>
        </w:rPr>
      </w:pPr>
    </w:p>
    <w:p w14:paraId="18DFA0B5" w14:textId="77777777" w:rsidR="00AF023D" w:rsidRPr="003C7186" w:rsidRDefault="00AF023D" w:rsidP="00AF023D">
      <w:pPr>
        <w:spacing w:line="360" w:lineRule="auto"/>
        <w:ind w:firstLine="1"/>
        <w:jc w:val="both"/>
        <w:rPr>
          <w:rFonts w:ascii="Palatino Linotype" w:hAnsi="Palatino Linotype"/>
          <w:lang w:val="es-MX"/>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5624F8D9" w14:textId="77777777" w:rsidR="00176458" w:rsidRDefault="00176458">
      <w:pPr>
        <w:tabs>
          <w:tab w:val="left" w:pos="0"/>
        </w:tabs>
        <w:spacing w:line="360" w:lineRule="auto"/>
        <w:ind w:right="49"/>
        <w:jc w:val="both"/>
        <w:rPr>
          <w:rFonts w:ascii="Palatino Linotype" w:eastAsia="Palatino Linotype" w:hAnsi="Palatino Linotype" w:cs="Palatino Linotype"/>
        </w:rPr>
      </w:pPr>
    </w:p>
    <w:p w14:paraId="636B8667" w14:textId="77777777" w:rsidR="00176458" w:rsidRDefault="00176458">
      <w:pPr>
        <w:tabs>
          <w:tab w:val="left" w:pos="0"/>
        </w:tabs>
        <w:spacing w:line="360" w:lineRule="auto"/>
        <w:ind w:right="49"/>
        <w:jc w:val="both"/>
        <w:rPr>
          <w:rFonts w:ascii="Palatino Linotype" w:eastAsia="Palatino Linotype" w:hAnsi="Palatino Linotype" w:cs="Palatino Linotype"/>
        </w:rPr>
      </w:pPr>
    </w:p>
    <w:p w14:paraId="2F101B00" w14:textId="77777777" w:rsidR="00176458" w:rsidRDefault="00176458">
      <w:pPr>
        <w:tabs>
          <w:tab w:val="left" w:pos="0"/>
        </w:tabs>
        <w:spacing w:line="360" w:lineRule="auto"/>
        <w:ind w:right="49"/>
        <w:jc w:val="both"/>
        <w:rPr>
          <w:rFonts w:ascii="Palatino Linotype" w:eastAsia="Palatino Linotype" w:hAnsi="Palatino Linotype" w:cs="Palatino Linotype"/>
        </w:rPr>
      </w:pPr>
    </w:p>
    <w:p w14:paraId="17E892F6" w14:textId="77777777" w:rsidR="00176458" w:rsidRDefault="00176458">
      <w:pPr>
        <w:spacing w:line="360" w:lineRule="auto"/>
        <w:rPr>
          <w:rFonts w:ascii="Palatino Linotype" w:eastAsia="Palatino Linotype" w:hAnsi="Palatino Linotype" w:cs="Palatino Linotype"/>
        </w:rPr>
      </w:pPr>
    </w:p>
    <w:p w14:paraId="505AB78A" w14:textId="77777777" w:rsidR="00176458" w:rsidRDefault="00176458">
      <w:pPr>
        <w:spacing w:line="360" w:lineRule="auto"/>
        <w:rPr>
          <w:rFonts w:ascii="Palatino Linotype" w:eastAsia="Palatino Linotype" w:hAnsi="Palatino Linotype" w:cs="Palatino Linotype"/>
        </w:rPr>
      </w:pPr>
    </w:p>
    <w:p w14:paraId="4340109C" w14:textId="77777777" w:rsidR="00176458" w:rsidRDefault="00176458">
      <w:pPr>
        <w:spacing w:line="360" w:lineRule="auto"/>
        <w:rPr>
          <w:rFonts w:ascii="Palatino Linotype" w:eastAsia="Palatino Linotype" w:hAnsi="Palatino Linotype" w:cs="Palatino Linotype"/>
        </w:rPr>
      </w:pPr>
    </w:p>
    <w:p w14:paraId="0BCA0498" w14:textId="77777777" w:rsidR="00176458" w:rsidRDefault="00176458">
      <w:pPr>
        <w:spacing w:line="360" w:lineRule="auto"/>
        <w:rPr>
          <w:rFonts w:ascii="Palatino Linotype" w:eastAsia="Palatino Linotype" w:hAnsi="Palatino Linotype" w:cs="Palatino Linotype"/>
        </w:rPr>
      </w:pPr>
    </w:p>
    <w:p w14:paraId="601EFF7A" w14:textId="77777777" w:rsidR="00176458" w:rsidRDefault="00176458">
      <w:pPr>
        <w:spacing w:line="360" w:lineRule="auto"/>
        <w:rPr>
          <w:rFonts w:ascii="Palatino Linotype" w:eastAsia="Palatino Linotype" w:hAnsi="Palatino Linotype" w:cs="Palatino Linotype"/>
        </w:rPr>
      </w:pPr>
    </w:p>
    <w:p w14:paraId="203BD75F" w14:textId="77777777" w:rsidR="00176458" w:rsidRDefault="00176458">
      <w:pPr>
        <w:spacing w:line="360" w:lineRule="auto"/>
        <w:rPr>
          <w:rFonts w:ascii="Palatino Linotype" w:eastAsia="Palatino Linotype" w:hAnsi="Palatino Linotype" w:cs="Palatino Linotype"/>
        </w:rPr>
      </w:pPr>
    </w:p>
    <w:p w14:paraId="32C20824" w14:textId="77777777" w:rsidR="00176458" w:rsidRDefault="00176458">
      <w:pPr>
        <w:spacing w:line="360" w:lineRule="auto"/>
        <w:rPr>
          <w:rFonts w:ascii="Palatino Linotype" w:eastAsia="Palatino Linotype" w:hAnsi="Palatino Linotype" w:cs="Palatino Linotype"/>
        </w:rPr>
      </w:pPr>
    </w:p>
    <w:p w14:paraId="58BF227F" w14:textId="77777777" w:rsidR="00176458" w:rsidRDefault="00176458">
      <w:pPr>
        <w:spacing w:line="360" w:lineRule="auto"/>
        <w:rPr>
          <w:rFonts w:ascii="Palatino Linotype" w:eastAsia="Palatino Linotype" w:hAnsi="Palatino Linotype" w:cs="Palatino Linotype"/>
        </w:rPr>
      </w:pPr>
    </w:p>
    <w:p w14:paraId="379B3EAD" w14:textId="77777777" w:rsidR="00176458" w:rsidRDefault="00176458">
      <w:pPr>
        <w:spacing w:line="360" w:lineRule="auto"/>
        <w:rPr>
          <w:rFonts w:ascii="Palatino Linotype" w:eastAsia="Palatino Linotype" w:hAnsi="Palatino Linotype" w:cs="Palatino Linotype"/>
        </w:rPr>
      </w:pPr>
    </w:p>
    <w:p w14:paraId="59C032D6" w14:textId="77777777" w:rsidR="00176458" w:rsidRDefault="00176458">
      <w:pPr>
        <w:spacing w:line="360" w:lineRule="auto"/>
        <w:rPr>
          <w:rFonts w:ascii="Palatino Linotype" w:eastAsia="Palatino Linotype" w:hAnsi="Palatino Linotype" w:cs="Palatino Linotype"/>
        </w:rPr>
      </w:pPr>
    </w:p>
    <w:p w14:paraId="3D6B1A3A" w14:textId="77777777" w:rsidR="00176458" w:rsidRDefault="00176458">
      <w:pPr>
        <w:spacing w:line="360" w:lineRule="auto"/>
        <w:rPr>
          <w:rFonts w:ascii="Palatino Linotype" w:eastAsia="Palatino Linotype" w:hAnsi="Palatino Linotype" w:cs="Palatino Linotype"/>
        </w:rPr>
      </w:pPr>
    </w:p>
    <w:p w14:paraId="50D9FEC8" w14:textId="77777777" w:rsidR="00176458" w:rsidRDefault="00176458">
      <w:pPr>
        <w:spacing w:line="360" w:lineRule="auto"/>
        <w:rPr>
          <w:rFonts w:ascii="Palatino Linotype" w:eastAsia="Palatino Linotype" w:hAnsi="Palatino Linotype" w:cs="Palatino Linotype"/>
        </w:rPr>
      </w:pPr>
    </w:p>
    <w:p w14:paraId="56102515" w14:textId="77777777" w:rsidR="00176458" w:rsidRDefault="00176458">
      <w:pPr>
        <w:spacing w:line="360" w:lineRule="auto"/>
        <w:rPr>
          <w:rFonts w:ascii="Palatino Linotype" w:eastAsia="Palatino Linotype" w:hAnsi="Palatino Linotype" w:cs="Palatino Linotype"/>
        </w:rPr>
      </w:pPr>
    </w:p>
    <w:p w14:paraId="446B7C15" w14:textId="77777777" w:rsidR="00176458" w:rsidRDefault="00176458">
      <w:pPr>
        <w:spacing w:line="360" w:lineRule="auto"/>
        <w:rPr>
          <w:rFonts w:ascii="Palatino Linotype" w:eastAsia="Palatino Linotype" w:hAnsi="Palatino Linotype" w:cs="Palatino Linotype"/>
        </w:rPr>
      </w:pPr>
    </w:p>
    <w:p w14:paraId="6A840938" w14:textId="77777777" w:rsidR="00176458" w:rsidRDefault="00176458">
      <w:pPr>
        <w:spacing w:line="360" w:lineRule="auto"/>
        <w:rPr>
          <w:rFonts w:ascii="Palatino Linotype" w:eastAsia="Palatino Linotype" w:hAnsi="Palatino Linotype" w:cs="Palatino Linotype"/>
        </w:rPr>
      </w:pPr>
    </w:p>
    <w:p w14:paraId="66629025" w14:textId="77777777" w:rsidR="00176458" w:rsidRDefault="00176458">
      <w:pPr>
        <w:spacing w:line="360" w:lineRule="auto"/>
        <w:rPr>
          <w:rFonts w:ascii="Palatino Linotype" w:eastAsia="Palatino Linotype" w:hAnsi="Palatino Linotype" w:cs="Palatino Linotype"/>
        </w:rPr>
      </w:pPr>
    </w:p>
    <w:p w14:paraId="6E40BD5F" w14:textId="77777777" w:rsidR="00176458" w:rsidRDefault="00176458"/>
    <w:sectPr w:rsidR="00176458">
      <w:headerReference w:type="default" r:id="rId15"/>
      <w:footerReference w:type="default" r:id="rId16"/>
      <w:headerReference w:type="first" r:id="rId17"/>
      <w:footerReference w:type="first" r:id="rId18"/>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9D5A" w14:textId="77777777" w:rsidR="007D6FC2" w:rsidRDefault="007D6FC2">
      <w:r>
        <w:separator/>
      </w:r>
    </w:p>
  </w:endnote>
  <w:endnote w:type="continuationSeparator" w:id="0">
    <w:p w14:paraId="156195FA" w14:textId="77777777" w:rsidR="007D6FC2" w:rsidRDefault="007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330A" w14:textId="77777777" w:rsidR="00176458" w:rsidRDefault="00AE3C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23AE8">
      <w:rPr>
        <w:rFonts w:ascii="Arial" w:eastAsia="Arial" w:hAnsi="Arial" w:cs="Arial"/>
        <w:b/>
        <w:noProof/>
        <w:color w:val="000000"/>
        <w:sz w:val="20"/>
        <w:szCs w:val="20"/>
      </w:rPr>
      <w:t>44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23AE8">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6785C0A0" w14:textId="77777777" w:rsidR="00176458" w:rsidRDefault="00176458">
    <w:pPr>
      <w:pBdr>
        <w:top w:val="nil"/>
        <w:left w:val="nil"/>
        <w:bottom w:val="nil"/>
        <w:right w:val="nil"/>
        <w:between w:val="nil"/>
      </w:pBdr>
      <w:tabs>
        <w:tab w:val="center" w:pos="4252"/>
        <w:tab w:val="right" w:pos="8504"/>
      </w:tabs>
      <w:rPr>
        <w:color w:val="000000"/>
      </w:rPr>
    </w:pPr>
  </w:p>
  <w:p w14:paraId="113BAA98" w14:textId="77777777" w:rsidR="00176458" w:rsidRDefault="0017645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0F43" w14:textId="77777777" w:rsidR="00176458" w:rsidRDefault="00AE3C2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23AE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23AE8">
      <w:rPr>
        <w:rFonts w:ascii="Arial" w:eastAsia="Arial" w:hAnsi="Arial" w:cs="Arial"/>
        <w:b/>
        <w:noProof/>
        <w:color w:val="000000"/>
        <w:sz w:val="20"/>
        <w:szCs w:val="20"/>
      </w:rPr>
      <w:t>45</w:t>
    </w:r>
    <w:r>
      <w:rPr>
        <w:rFonts w:ascii="Arial" w:eastAsia="Arial" w:hAnsi="Arial" w:cs="Arial"/>
        <w:b/>
        <w:color w:val="000000"/>
        <w:sz w:val="20"/>
        <w:szCs w:val="20"/>
      </w:rPr>
      <w:fldChar w:fldCharType="end"/>
    </w:r>
  </w:p>
  <w:p w14:paraId="4C266C4F" w14:textId="77777777" w:rsidR="00176458" w:rsidRDefault="0017645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CFCF" w14:textId="77777777" w:rsidR="007D6FC2" w:rsidRDefault="007D6FC2">
      <w:r>
        <w:separator/>
      </w:r>
    </w:p>
  </w:footnote>
  <w:footnote w:type="continuationSeparator" w:id="0">
    <w:p w14:paraId="0E678959" w14:textId="77777777" w:rsidR="007D6FC2" w:rsidRDefault="007D6FC2">
      <w:r>
        <w:continuationSeparator/>
      </w:r>
    </w:p>
  </w:footnote>
  <w:footnote w:id="1">
    <w:p w14:paraId="756EADA4" w14:textId="77777777" w:rsidR="00176458" w:rsidRDefault="00AE3C2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14:paraId="32086EA8" w14:textId="77777777" w:rsidR="00176458" w:rsidRDefault="00AE3C2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14:paraId="0889E319" w14:textId="77777777" w:rsidR="00176458" w:rsidRDefault="00AE3C2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14:paraId="2CD9F52C" w14:textId="77777777" w:rsidR="00176458" w:rsidRDefault="00AE3C2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r>
        <w:rPr>
          <w:rFonts w:ascii="Calibri" w:eastAsia="Calibri" w:hAnsi="Calibri" w:cs="Calibri"/>
          <w:color w:val="000000"/>
          <w:sz w:val="20"/>
          <w:szCs w:val="20"/>
        </w:rPr>
        <w:t>Parr. 87.</w:t>
      </w:r>
    </w:p>
  </w:footnote>
  <w:footnote w:id="5">
    <w:p w14:paraId="409F7093"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b/>
          <w:color w:val="000000"/>
          <w:sz w:val="14"/>
          <w:szCs w:val="14"/>
        </w:rPr>
        <w:t>RESTRICCIONES A LOS DERECHOS FUNDAMENTALES. ELEMENTOS QUE EL JUEZ CONSTITUCIONAL DEBE TOMAR EN CUENTA PARA CONSIDERARLAS VÁLIDAS.</w:t>
      </w:r>
      <w:r>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color w:val="000000"/>
          <w:sz w:val="14"/>
          <w:szCs w:val="14"/>
        </w:rPr>
        <w:t xml:space="preserve">Ningún derecho fundamental es absoluto y en esa medida todos admiten restricciones. Sin embargo, la regulación de dichas restricciones no puede ser arbitraria. Para que las medidas emitidas por el legislador ordinario con el propósito de restringir los derechos fundamentales sean válidas, deben satisfacer al menos los siguientes requisitos: a) ser admisibles dentro del ámbito constitucional, esto es, el legislador ordinario sólo puede restringir o suspender el ejercicio de las garantías individuales con objetivos que puedan enmarcarse dentro de las previsiones de la Carta Magna; b) ser necesarias para asegurar la obtención de los fines que fundamentan la restricción constitucional, es decir, no basta que la restricción sea en términos amplios útil para la obtención de esos objetivos, sino que debe ser la idónea para su realización, lo que significa que el fin buscado por el legislador no se pueda alcanzar razonablemente por otros medios menos restrictivos de derechos fundamentales; y, c) ser proporcional, esto es, la medida legislativa debe respetar una correspondencia entre la importancia del fin buscado por la ley, y los efectos perjudiciales que produce en otros derechos e intereses constitucionales, en el entendido de que la persecución de un objetivo constitucional no puede hacerse a costa de una afectación innecesaria o desmedida a otros bienes y derechos constitucionalmente protegidos. Así, el juzgador debe determinar en cada caso si la restricción legislativa a un derecho fundamental es, en primer lugar, admisible dadas las previsiones constitucionales, en segundo lugar, si es el medio necesario para proteger esos fines o intereses constitucionalmente amparados, al no existir opciones menos restrictivas que permitan alcanzarlos; y en tercer lugar, si la distinción legislativa se encuentra dentro de las opciones de tratamiento que pueden considerarse proporcionales. De igual manera, las restricciones deberán estar en consonancia con la ley, incluidas las normas internacionales de derechos humanos, y ser compatibles con la naturaleza de los derechos amparados por la Constitución, en aras de la consecución de los objetivos legítimos perseguidos, y ser estrictamente necesarias para promover el bienestar general en una sociedad democrática. </w:t>
      </w:r>
    </w:p>
    <w:p w14:paraId="3FAE9E34"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1a</w:t>
      </w:r>
      <w:r>
        <w:rPr>
          <w:rFonts w:ascii="Palatino Linotype" w:eastAsia="Palatino Linotype" w:hAnsi="Palatino Linotype" w:cs="Palatino Linotype"/>
          <w:color w:val="000000"/>
          <w:sz w:val="14"/>
          <w:szCs w:val="14"/>
        </w:rPr>
        <w:t xml:space="preserve">./J. 2/2012 (9a.). Primera Sala. Décima Época. Semanario Judicial de la Federación y su Gaceta. Libro V, Febrero de 2012, Pág. 533.  </w:t>
      </w:r>
    </w:p>
  </w:footnote>
  <w:footnote w:id="6">
    <w:p w14:paraId="28F812D3"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4"/>
          <w:szCs w:val="14"/>
        </w:rPr>
      </w:pPr>
      <w:r>
        <w:rPr>
          <w:vertAlign w:val="superscript"/>
        </w:rPr>
        <w:footnoteRef/>
      </w:r>
      <w:r>
        <w:rPr>
          <w:rFonts w:ascii="Palatino Linotype" w:eastAsia="Palatino Linotype" w:hAnsi="Palatino Linotype" w:cs="Palatino Linotype"/>
          <w:color w:val="000000"/>
          <w:sz w:val="14"/>
          <w:szCs w:val="14"/>
        </w:rPr>
        <w:t xml:space="preserve"> “67. Según se ha interpretado por la jurisprudencia interamericana, el artículo 13.2 de la Convención Americana exige el cumplimiento de las siguientes tres condiciones básicas para que una limitación al derecho a la libertad de expresión sea admisible: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lograr el objetivo imperioso que pretende lograr”. Relatoría Especial para la Libertad de Expresión, Comisión Interamericana de Derechos Humanos. </w:t>
      </w:r>
      <w:r>
        <w:rPr>
          <w:rFonts w:ascii="Palatino Linotype" w:eastAsia="Palatino Linotype" w:hAnsi="Palatino Linotype" w:cs="Palatino Linotype"/>
          <w:i/>
          <w:color w:val="000000"/>
          <w:sz w:val="14"/>
          <w:szCs w:val="14"/>
        </w:rPr>
        <w:t>Marco jurídico interamericano sobre el derecho a la libertad de expresión</w:t>
      </w:r>
      <w:r>
        <w:rPr>
          <w:rFonts w:ascii="Palatino Linotype" w:eastAsia="Palatino Linotype" w:hAnsi="Palatino Linotype" w:cs="Palatino Linotype"/>
          <w:color w:val="000000"/>
          <w:sz w:val="14"/>
          <w:szCs w:val="14"/>
        </w:rPr>
        <w:t xml:space="preserve">. Párr. 67. </w:t>
      </w:r>
    </w:p>
  </w:footnote>
  <w:footnote w:id="7">
    <w:p w14:paraId="4FF6EBA3"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“De continuo hacemos un tipo de juicios que podemos llamar de encaje, y que dan lugar a enunciados del tipo ‘x es un Y’. Si sabemos o asumimos que todos los objetos o seres que reúnen las propiedades a, b y c pertenecen al conjunto de los J, cada vez que encontramos uno que tiene esas tres propiedades decimos que es un J. Y también incorporamos excepciones, como cuando asumimos que no pertenece a la categoría de los J el ser que tiene la propiedad d, aunque tenga cualesquiera otras. Entonces, de un x que tenga las propiedades a, b, c y d diremos que no es un J. Todo esto, en verdad, son obviedades, casi perogrulladas, pero veremos que conviene aquí explicitarlas e ir paso a paso.</w:t>
      </w:r>
    </w:p>
    <w:p w14:paraId="4EBAB4E4"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“También en el campo general de lo normativo realizamos, todo el rato, juicios de encaje, sea respecto de acciones, de estados de cosas o de sujetos. Si en el sistema normativo de referencia asumimos que el homicidio es una acción consistente en matar a otro de modo intencional o imprudente, calificaremos como homicidio la acción por la que A mató a B intencional o imprudentemente…</w:t>
      </w:r>
    </w:p>
    <w:p w14:paraId="6BBA5F26"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“En la teoría jurídica más tradicional, a esos que he llamado juicios de encaje se les llama subsunciones o juicios de subsunción. Subsunciones o juicios de encaje de ese tipo, positivos o negativos, los hacemos sin parar en todo el ámbito de lo normativo, no sólo en el del derecho” GARCÍA AMADO, Juan Antonio. “¿Qué es ponderar? Sobre implicaciones y riesgos de la ponderación” en Revista Iberoamericana de Argumentación, No. 13, 2016. </w:t>
      </w:r>
      <w:r>
        <w:rPr>
          <w:rFonts w:ascii="Palatino Linotype" w:eastAsia="Palatino Linotype" w:hAnsi="Palatino Linotype" w:cs="Palatino Linotype"/>
          <w:color w:val="000000"/>
          <w:sz w:val="18"/>
          <w:szCs w:val="18"/>
        </w:rPr>
        <w:t xml:space="preserve">Pp 1-19. </w:t>
      </w:r>
    </w:p>
  </w:footnote>
  <w:footnote w:id="8">
    <w:p w14:paraId="67E12A37"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Tribunales Colegiados de Circuito. Novena </w:t>
      </w:r>
      <w:r>
        <w:rPr>
          <w:rFonts w:ascii="Palatino Linotype" w:eastAsia="Palatino Linotype" w:hAnsi="Palatino Linotype" w:cs="Palatino Linotype"/>
          <w:color w:val="000000"/>
          <w:sz w:val="18"/>
          <w:szCs w:val="18"/>
        </w:rPr>
        <w:t>Epoca. Semanario Judicial de la Federación y su Gaceta. Tomo III, marzo de 1996. Pág 769. Consultado en http://sjf.scjn.gob.mx/sjfsist/Documentos/Tesis/203/203143.pdf  el viernes 16 de junio de 2017.</w:t>
      </w:r>
    </w:p>
  </w:footnote>
  <w:footnote w:id="9">
    <w:p w14:paraId="441D7219"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Artículo 3. Para los efectos de la presente Ley se entenderá por:</w:t>
      </w:r>
    </w:p>
    <w:p w14:paraId="38AEF50F"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 (…)</w:t>
      </w:r>
    </w:p>
    <w:p w14:paraId="2AFC2155" w14:textId="77777777" w:rsidR="00176458" w:rsidRDefault="00AE3C26">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IX. Datos personales: La información concerniente a una persona, identificada o identificable según lo dispuesto por la Ley de Protección de Datos Personales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
      <w:tblW w:w="6690" w:type="dxa"/>
      <w:tblInd w:w="2977" w:type="dxa"/>
      <w:tblLayout w:type="fixed"/>
      <w:tblLook w:val="0400" w:firstRow="0" w:lastRow="0" w:firstColumn="0" w:lastColumn="0" w:noHBand="0" w:noVBand="1"/>
    </w:tblPr>
    <w:tblGrid>
      <w:gridCol w:w="2550"/>
      <w:gridCol w:w="4140"/>
    </w:tblGrid>
    <w:tr w:rsidR="00176458" w14:paraId="72E3AF4A" w14:textId="77777777">
      <w:tc>
        <w:tcPr>
          <w:tcW w:w="2550" w:type="dxa"/>
          <w:vAlign w:val="center"/>
        </w:tcPr>
        <w:p w14:paraId="4895924F" w14:textId="77777777" w:rsidR="00176458" w:rsidRDefault="00AE3C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140" w:type="dxa"/>
          <w:vAlign w:val="center"/>
        </w:tcPr>
        <w:p w14:paraId="2D1AA975" w14:textId="77777777" w:rsidR="00176458" w:rsidRDefault="00AE3C26">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03233/INFOEM/IP/RR/2024</w:t>
          </w:r>
        </w:p>
      </w:tc>
    </w:tr>
    <w:tr w:rsidR="00176458" w14:paraId="53372F1A" w14:textId="77777777">
      <w:trPr>
        <w:trHeight w:val="228"/>
      </w:trPr>
      <w:tc>
        <w:tcPr>
          <w:tcW w:w="2550" w:type="dxa"/>
          <w:vAlign w:val="center"/>
        </w:tcPr>
        <w:p w14:paraId="23C89628" w14:textId="77777777" w:rsidR="00176458" w:rsidRDefault="00AE3C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140" w:type="dxa"/>
          <w:vAlign w:val="center"/>
        </w:tcPr>
        <w:p w14:paraId="61354223" w14:textId="77777777" w:rsidR="00176458" w:rsidRDefault="00AE3C26">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176458" w14:paraId="585CE5A0" w14:textId="77777777">
      <w:tc>
        <w:tcPr>
          <w:tcW w:w="2550" w:type="dxa"/>
          <w:vAlign w:val="center"/>
        </w:tcPr>
        <w:p w14:paraId="0716D1FD" w14:textId="77777777" w:rsidR="00176458" w:rsidRDefault="00AE3C26">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140" w:type="dxa"/>
          <w:vAlign w:val="center"/>
        </w:tcPr>
        <w:p w14:paraId="11828CB6" w14:textId="77777777" w:rsidR="00176458" w:rsidRDefault="00AE3C26">
          <w:pPr>
            <w:ind w:right="-123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7EE21E36" w14:textId="77777777" w:rsidR="00176458" w:rsidRDefault="00BF305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noProof/>
        <w:lang w:val="es-MX"/>
      </w:rPr>
      <w:drawing>
        <wp:anchor distT="0" distB="0" distL="0" distR="0" simplePos="0" relativeHeight="251660288" behindDoc="1" locked="0" layoutInCell="1" hidden="0" allowOverlap="1" wp14:anchorId="6C0338C0" wp14:editId="52A51B2E">
          <wp:simplePos x="0" y="0"/>
          <wp:positionH relativeFrom="column">
            <wp:posOffset>-1055825</wp:posOffset>
          </wp:positionH>
          <wp:positionV relativeFrom="paragraph">
            <wp:posOffset>-1212766</wp:posOffset>
          </wp:positionV>
          <wp:extent cx="7813085" cy="101700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r w:rsidR="00AE3C26">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0"/>
      <w:tblW w:w="7351" w:type="dxa"/>
      <w:tblInd w:w="2694" w:type="dxa"/>
      <w:tblLayout w:type="fixed"/>
      <w:tblLook w:val="0400" w:firstRow="0" w:lastRow="0" w:firstColumn="0" w:lastColumn="0" w:noHBand="0" w:noVBand="1"/>
    </w:tblPr>
    <w:tblGrid>
      <w:gridCol w:w="2410"/>
      <w:gridCol w:w="4941"/>
    </w:tblGrid>
    <w:tr w:rsidR="00176458" w14:paraId="1E9E8DCA" w14:textId="77777777" w:rsidTr="00BF305C">
      <w:tc>
        <w:tcPr>
          <w:tcW w:w="2410" w:type="dxa"/>
          <w:vAlign w:val="center"/>
        </w:tcPr>
        <w:p w14:paraId="2932FFCA" w14:textId="77777777" w:rsidR="00176458" w:rsidRDefault="00BF305C" w:rsidP="00BF305C">
          <w:pPr>
            <w:ind w:left="-115" w:right="27" w:hanging="142"/>
            <w:rPr>
              <w:rFonts w:ascii="Palatino Linotype" w:eastAsia="Palatino Linotype" w:hAnsi="Palatino Linotype" w:cs="Palatino Linotype"/>
              <w:b/>
              <w:sz w:val="22"/>
              <w:szCs w:val="22"/>
            </w:rPr>
          </w:pPr>
          <w:r>
            <w:rPr>
              <w:rFonts w:ascii="Calibri" w:eastAsia="Calibri" w:hAnsi="Calibri" w:cs="Calibri"/>
              <w:color w:val="000000"/>
            </w:rPr>
            <w:t xml:space="preserve">R </w:t>
          </w:r>
          <w:r>
            <w:rPr>
              <w:rFonts w:ascii="Palatino Linotype" w:eastAsia="Calibri" w:hAnsi="Palatino Linotype" w:cs="Calibri"/>
              <w:color w:val="000000"/>
            </w:rPr>
            <w:t>R</w:t>
          </w:r>
          <w:r w:rsidR="00AE3C26">
            <w:rPr>
              <w:rFonts w:ascii="Palatino Linotype" w:eastAsia="Palatino Linotype" w:hAnsi="Palatino Linotype" w:cs="Palatino Linotype"/>
              <w:b/>
              <w:sz w:val="22"/>
              <w:szCs w:val="22"/>
            </w:rPr>
            <w:t>ecurso de Revisión:</w:t>
          </w:r>
        </w:p>
      </w:tc>
      <w:tc>
        <w:tcPr>
          <w:tcW w:w="4941" w:type="dxa"/>
          <w:vAlign w:val="center"/>
        </w:tcPr>
        <w:p w14:paraId="248BB4A9" w14:textId="77777777" w:rsidR="00176458" w:rsidRDefault="00AE3C26" w:rsidP="00BF305C">
          <w:pPr>
            <w:ind w:left="-141"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03233/INFOEM/IP/RR/2024</w:t>
          </w:r>
        </w:p>
      </w:tc>
    </w:tr>
    <w:tr w:rsidR="00176458" w14:paraId="3D7A8872" w14:textId="77777777" w:rsidTr="00BF305C">
      <w:tc>
        <w:tcPr>
          <w:tcW w:w="2410" w:type="dxa"/>
          <w:vAlign w:val="center"/>
        </w:tcPr>
        <w:p w14:paraId="43B2426B" w14:textId="77777777" w:rsidR="00176458" w:rsidRDefault="00AE3C26">
          <w:pPr>
            <w:ind w:left="-219" w:hanging="14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41" w:type="dxa"/>
          <w:vAlign w:val="center"/>
        </w:tcPr>
        <w:p w14:paraId="28AADA04" w14:textId="5EBF7F6C" w:rsidR="00176458" w:rsidRDefault="00D40694" w:rsidP="00BF305C">
          <w:pPr>
            <w:ind w:left="-141" w:right="-312"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176458" w14:paraId="25C17000" w14:textId="77777777" w:rsidTr="00BF305C">
      <w:trPr>
        <w:trHeight w:val="228"/>
      </w:trPr>
      <w:tc>
        <w:tcPr>
          <w:tcW w:w="2410" w:type="dxa"/>
          <w:vAlign w:val="center"/>
        </w:tcPr>
        <w:p w14:paraId="20D151B6" w14:textId="77777777" w:rsidR="00176458" w:rsidRDefault="00AE3C26">
          <w:pPr>
            <w:ind w:left="-219" w:hanging="14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41" w:type="dxa"/>
          <w:vAlign w:val="center"/>
        </w:tcPr>
        <w:p w14:paraId="193873DC" w14:textId="77777777" w:rsidR="00176458" w:rsidRDefault="00AE3C26" w:rsidP="00BF305C">
          <w:pPr>
            <w:ind w:left="-141"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176458" w14:paraId="5CDC211A" w14:textId="77777777" w:rsidTr="00BF305C">
      <w:tc>
        <w:tcPr>
          <w:tcW w:w="2410" w:type="dxa"/>
          <w:vAlign w:val="center"/>
        </w:tcPr>
        <w:p w14:paraId="08F288DE" w14:textId="77777777" w:rsidR="00176458" w:rsidRDefault="00AE3C26">
          <w:pPr>
            <w:ind w:left="-219" w:hanging="141"/>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41" w:type="dxa"/>
          <w:vAlign w:val="center"/>
        </w:tcPr>
        <w:p w14:paraId="5B797075" w14:textId="77777777" w:rsidR="00176458" w:rsidRDefault="00AE3C26" w:rsidP="00BF305C">
          <w:pPr>
            <w:ind w:left="-141" w:right="-533" w:firstLine="14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03EED22B" w14:textId="77777777" w:rsidR="00176458" w:rsidRDefault="00BF305C">
    <w:pPr>
      <w:pBdr>
        <w:top w:val="nil"/>
        <w:left w:val="nil"/>
        <w:bottom w:val="nil"/>
        <w:right w:val="nil"/>
        <w:between w:val="nil"/>
      </w:pBdr>
      <w:tabs>
        <w:tab w:val="center" w:pos="4252"/>
        <w:tab w:val="right" w:pos="8504"/>
      </w:tabs>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23109040" wp14:editId="4D7AA73D">
          <wp:simplePos x="0" y="0"/>
          <wp:positionH relativeFrom="column">
            <wp:posOffset>-775731</wp:posOffset>
          </wp:positionH>
          <wp:positionV relativeFrom="paragraph">
            <wp:posOffset>-1333200</wp:posOffset>
          </wp:positionV>
          <wp:extent cx="7813085" cy="10170000"/>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7D5"/>
    <w:multiLevelType w:val="multilevel"/>
    <w:tmpl w:val="040A3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D254FD"/>
    <w:multiLevelType w:val="multilevel"/>
    <w:tmpl w:val="4E62921A"/>
    <w:lvl w:ilvl="0">
      <w:start w:val="1"/>
      <w:numFmt w:val="decimal"/>
      <w:lvlText w:val="%1."/>
      <w:lvlJc w:val="left"/>
      <w:pPr>
        <w:ind w:left="644" w:hanging="359"/>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7E1A44"/>
    <w:multiLevelType w:val="multilevel"/>
    <w:tmpl w:val="9FE0D96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3825C27"/>
    <w:multiLevelType w:val="multilevel"/>
    <w:tmpl w:val="3634F75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5D6255CE"/>
    <w:multiLevelType w:val="multilevel"/>
    <w:tmpl w:val="1A60141C"/>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F021C22"/>
    <w:multiLevelType w:val="multilevel"/>
    <w:tmpl w:val="F1F4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4C5577"/>
    <w:multiLevelType w:val="multilevel"/>
    <w:tmpl w:val="E278C8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E431389"/>
    <w:multiLevelType w:val="multilevel"/>
    <w:tmpl w:val="2D801234"/>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202745042">
    <w:abstractNumId w:val="4"/>
  </w:num>
  <w:num w:numId="2" w16cid:durableId="869803148">
    <w:abstractNumId w:val="6"/>
  </w:num>
  <w:num w:numId="3" w16cid:durableId="1107427825">
    <w:abstractNumId w:val="2"/>
  </w:num>
  <w:num w:numId="4" w16cid:durableId="1804616335">
    <w:abstractNumId w:val="0"/>
  </w:num>
  <w:num w:numId="5" w16cid:durableId="1674264577">
    <w:abstractNumId w:val="7"/>
  </w:num>
  <w:num w:numId="6" w16cid:durableId="737509168">
    <w:abstractNumId w:val="5"/>
  </w:num>
  <w:num w:numId="7" w16cid:durableId="1497189339">
    <w:abstractNumId w:val="3"/>
  </w:num>
  <w:num w:numId="8" w16cid:durableId="108195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58"/>
    <w:rsid w:val="00176458"/>
    <w:rsid w:val="00523AE8"/>
    <w:rsid w:val="005E1172"/>
    <w:rsid w:val="006E1A5C"/>
    <w:rsid w:val="007D6FC2"/>
    <w:rsid w:val="00AE3C26"/>
    <w:rsid w:val="00AF023D"/>
    <w:rsid w:val="00BF305C"/>
    <w:rsid w:val="00D40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1A0C"/>
  <w15:docId w15:val="{07A3C30D-0A50-4887-A8C1-335CF6E1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A9"/>
  </w:style>
  <w:style w:type="paragraph" w:styleId="Ttulo1">
    <w:name w:val="heading 1"/>
    <w:basedOn w:val="Normal"/>
    <w:next w:val="Normal"/>
    <w:link w:val="Ttulo1Car"/>
    <w:uiPriority w:val="9"/>
    <w:qFormat/>
    <w:rsid w:val="00BE35A9"/>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BE35A9"/>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E35A9"/>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BE35A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BE35A9"/>
    <w:rPr>
      <w:rFonts w:eastAsiaTheme="minorEastAsia"/>
      <w:sz w:val="24"/>
      <w:szCs w:val="24"/>
      <w:lang w:val="es-ES_tradnl" w:eastAsia="es-ES"/>
    </w:rPr>
  </w:style>
  <w:style w:type="paragraph" w:styleId="Piedepgina">
    <w:name w:val="footer"/>
    <w:basedOn w:val="Normal"/>
    <w:link w:val="PiedepginaCar"/>
    <w:uiPriority w:val="99"/>
    <w:unhideWhenUsed/>
    <w:rsid w:val="00BE35A9"/>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BE35A9"/>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35A9"/>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35A9"/>
    <w:pPr>
      <w:ind w:left="708"/>
    </w:pPr>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35A9"/>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35A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35A9"/>
    <w:rPr>
      <w:vertAlign w:val="superscript"/>
    </w:rPr>
  </w:style>
  <w:style w:type="paragraph" w:styleId="NormalWeb">
    <w:name w:val="Normal (Web)"/>
    <w:basedOn w:val="Normal"/>
    <w:uiPriority w:val="99"/>
    <w:unhideWhenUsed/>
    <w:rsid w:val="0052491C"/>
    <w:pPr>
      <w:spacing w:before="100" w:beforeAutospacing="1" w:after="100" w:afterAutospacing="1"/>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BI23ePh++21p6rnoMY3g/D/vw==">CgMxLjAyCGguZ2pkZ3hzMgloLjMwajB6bGwyCWguMWZvYjl0ZTIOaC5kcHkzN2M0c2RyeWM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OAByITEyU1pGb1AxTzhlY09ZbjlVRVZzNTlFcTJGOGxzN1kz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9946</Words>
  <Characters>54709</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inf03m612@outlook.com</cp:lastModifiedBy>
  <cp:revision>5</cp:revision>
  <cp:lastPrinted>2024-06-27T21:28:00Z</cp:lastPrinted>
  <dcterms:created xsi:type="dcterms:W3CDTF">2024-06-18T22:54:00Z</dcterms:created>
  <dcterms:modified xsi:type="dcterms:W3CDTF">2024-07-02T19:27:00Z</dcterms:modified>
</cp:coreProperties>
</file>