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92266" w14:textId="77777777" w:rsidR="00D6615D" w:rsidRPr="001B4CE0" w:rsidRDefault="000D168C">
      <w:pP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veinticinco de septiembre de dos mil veinticuatro. </w:t>
      </w:r>
    </w:p>
    <w:p w14:paraId="4A09A3DB" w14:textId="77777777" w:rsidR="00D6615D" w:rsidRPr="001B4CE0" w:rsidRDefault="00D6615D">
      <w:pPr>
        <w:spacing w:after="0" w:line="360" w:lineRule="auto"/>
        <w:ind w:right="49"/>
        <w:jc w:val="center"/>
        <w:rPr>
          <w:rFonts w:ascii="Palatino Linotype" w:eastAsia="Palatino Linotype" w:hAnsi="Palatino Linotype" w:cs="Palatino Linotype"/>
        </w:rPr>
      </w:pPr>
      <w:bookmarkStart w:id="0" w:name="_heading=h.gjdgxs" w:colFirst="0" w:colLast="0"/>
      <w:bookmarkEnd w:id="0"/>
    </w:p>
    <w:p w14:paraId="6EDFEB9C" w14:textId="77777777" w:rsidR="00D6615D" w:rsidRPr="001B4CE0" w:rsidRDefault="000D168C">
      <w:pP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Visto el expediente relativo al recurso de revisión </w:t>
      </w:r>
      <w:r w:rsidRPr="001B4CE0">
        <w:rPr>
          <w:rFonts w:ascii="Palatino Linotype" w:eastAsia="Palatino Linotype" w:hAnsi="Palatino Linotype" w:cs="Palatino Linotype"/>
          <w:b/>
        </w:rPr>
        <w:t>02689/INFOEM/IP/RR/2024</w:t>
      </w:r>
      <w:r w:rsidRPr="001B4CE0">
        <w:rPr>
          <w:rFonts w:ascii="Palatino Linotype" w:eastAsia="Palatino Linotype" w:hAnsi="Palatino Linotype" w:cs="Palatino Linotype"/>
        </w:rPr>
        <w:t xml:space="preserve">, interpuesto por </w:t>
      </w:r>
      <w:r w:rsidRPr="001B4CE0">
        <w:rPr>
          <w:rFonts w:ascii="Palatino Linotype" w:eastAsia="Palatino Linotype" w:hAnsi="Palatino Linotype" w:cs="Palatino Linotype"/>
          <w:b/>
        </w:rPr>
        <w:t>un particular que no proporcionó nombre o seudónimo</w:t>
      </w:r>
      <w:r w:rsidRPr="001B4CE0">
        <w:rPr>
          <w:rFonts w:ascii="Palatino Linotype" w:eastAsia="Palatino Linotype" w:hAnsi="Palatino Linotype" w:cs="Palatino Linotype"/>
        </w:rPr>
        <w:t xml:space="preserve">, al cual en lo sucesivo se le denominará la parte </w:t>
      </w:r>
      <w:r w:rsidRPr="001B4CE0">
        <w:rPr>
          <w:rFonts w:ascii="Palatino Linotype" w:eastAsia="Palatino Linotype" w:hAnsi="Palatino Linotype" w:cs="Palatino Linotype"/>
          <w:b/>
        </w:rPr>
        <w:t>Recurrente</w:t>
      </w:r>
      <w:r w:rsidRPr="001B4CE0">
        <w:rPr>
          <w:rFonts w:ascii="Palatino Linotype" w:eastAsia="Palatino Linotype" w:hAnsi="Palatino Linotype" w:cs="Palatino Linotype"/>
        </w:rPr>
        <w:t xml:space="preserve">, en contra de la respuesta a su solicitud de información identificada con número de folio </w:t>
      </w:r>
      <w:r w:rsidRPr="001B4CE0">
        <w:rPr>
          <w:rFonts w:ascii="Palatino Linotype" w:eastAsia="Palatino Linotype" w:hAnsi="Palatino Linotype" w:cs="Palatino Linotype"/>
          <w:b/>
        </w:rPr>
        <w:t xml:space="preserve">00033/MEXICAL/IP/2024 </w:t>
      </w:r>
      <w:r w:rsidRPr="001B4CE0">
        <w:rPr>
          <w:rFonts w:ascii="Palatino Linotype" w:eastAsia="Palatino Linotype" w:hAnsi="Palatino Linotype" w:cs="Palatino Linotype"/>
        </w:rPr>
        <w:t xml:space="preserve">proporcionada por parte del </w:t>
      </w:r>
      <w:r w:rsidRPr="001B4CE0">
        <w:rPr>
          <w:rFonts w:ascii="Palatino Linotype" w:eastAsia="Palatino Linotype" w:hAnsi="Palatino Linotype" w:cs="Palatino Linotype"/>
          <w:b/>
        </w:rPr>
        <w:t>Ayuntamiento de Mexicaltzingo</w:t>
      </w:r>
      <w:r w:rsidRPr="001B4CE0">
        <w:rPr>
          <w:rFonts w:ascii="Palatino Linotype" w:eastAsia="Palatino Linotype" w:hAnsi="Palatino Linotype" w:cs="Palatino Linotype"/>
        </w:rPr>
        <w:t xml:space="preserve">, en lo sucesivo el </w:t>
      </w:r>
      <w:r w:rsidRPr="001B4CE0">
        <w:rPr>
          <w:rFonts w:ascii="Palatino Linotype" w:eastAsia="Palatino Linotype" w:hAnsi="Palatino Linotype" w:cs="Palatino Linotype"/>
          <w:b/>
        </w:rPr>
        <w:t>Sujeto Obligado</w:t>
      </w:r>
      <w:r w:rsidRPr="001B4CE0">
        <w:rPr>
          <w:rFonts w:ascii="Palatino Linotype" w:eastAsia="Palatino Linotype" w:hAnsi="Palatino Linotype" w:cs="Palatino Linotype"/>
        </w:rPr>
        <w:t>; se procede a dictar la presente resolución, con base en los siguientes:</w:t>
      </w:r>
    </w:p>
    <w:p w14:paraId="1F5EC4D2" w14:textId="77777777" w:rsidR="00D6615D" w:rsidRPr="001B4CE0" w:rsidRDefault="00D6615D">
      <w:pPr>
        <w:spacing w:after="0" w:line="360" w:lineRule="auto"/>
        <w:ind w:right="49"/>
        <w:jc w:val="both"/>
        <w:rPr>
          <w:rFonts w:ascii="Palatino Linotype" w:eastAsia="Palatino Linotype" w:hAnsi="Palatino Linotype" w:cs="Palatino Linotype"/>
        </w:rPr>
      </w:pPr>
    </w:p>
    <w:p w14:paraId="11B17D97" w14:textId="77777777" w:rsidR="00D6615D" w:rsidRPr="001B4CE0" w:rsidRDefault="000D168C">
      <w:pPr>
        <w:spacing w:after="0" w:line="360" w:lineRule="auto"/>
        <w:ind w:right="49"/>
        <w:jc w:val="center"/>
        <w:rPr>
          <w:rFonts w:ascii="Palatino Linotype" w:eastAsia="Palatino Linotype" w:hAnsi="Palatino Linotype" w:cs="Palatino Linotype"/>
          <w:b/>
        </w:rPr>
      </w:pPr>
      <w:r w:rsidRPr="001B4CE0">
        <w:rPr>
          <w:rFonts w:ascii="Palatino Linotype" w:eastAsia="Palatino Linotype" w:hAnsi="Palatino Linotype" w:cs="Palatino Linotype"/>
          <w:b/>
        </w:rPr>
        <w:t>I.</w:t>
      </w:r>
      <w:r w:rsidRPr="001B4CE0">
        <w:rPr>
          <w:rFonts w:ascii="Palatino Linotype" w:eastAsia="Palatino Linotype" w:hAnsi="Palatino Linotype" w:cs="Palatino Linotype"/>
          <w:b/>
        </w:rPr>
        <w:tab/>
        <w:t>A N T E C E D E N T E S</w:t>
      </w:r>
    </w:p>
    <w:p w14:paraId="612BC067" w14:textId="77777777" w:rsidR="00D6615D" w:rsidRPr="001B4CE0" w:rsidRDefault="00D6615D">
      <w:pPr>
        <w:spacing w:after="0" w:line="360" w:lineRule="auto"/>
        <w:ind w:right="49"/>
        <w:jc w:val="both"/>
        <w:rPr>
          <w:rFonts w:ascii="Palatino Linotype" w:eastAsia="Palatino Linotype" w:hAnsi="Palatino Linotype" w:cs="Palatino Linotype"/>
        </w:rPr>
      </w:pPr>
    </w:p>
    <w:p w14:paraId="6681123F" w14:textId="77777777" w:rsidR="00D6615D" w:rsidRPr="001B4CE0" w:rsidRDefault="000D168C">
      <w:pPr>
        <w:numPr>
          <w:ilvl w:val="0"/>
          <w:numId w:val="8"/>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1B4CE0">
        <w:rPr>
          <w:rFonts w:ascii="Palatino Linotype" w:eastAsia="Palatino Linotype" w:hAnsi="Palatino Linotype" w:cs="Palatino Linotype"/>
          <w:b/>
        </w:rPr>
        <w:t>Solicitud de acceso a la información.</w:t>
      </w:r>
      <w:r w:rsidRPr="001B4CE0">
        <w:rPr>
          <w:rFonts w:ascii="Palatino Linotype" w:eastAsia="Palatino Linotype" w:hAnsi="Palatino Linotype" w:cs="Palatino Linotype"/>
        </w:rPr>
        <w:t xml:space="preserve"> Con fecha </w:t>
      </w:r>
      <w:r w:rsidRPr="001B4CE0">
        <w:rPr>
          <w:rFonts w:ascii="Palatino Linotype" w:eastAsia="Palatino Linotype" w:hAnsi="Palatino Linotype" w:cs="Palatino Linotype"/>
          <w:b/>
        </w:rPr>
        <w:t>veinte de marzo de dos mil veinticuatro</w:t>
      </w:r>
      <w:r w:rsidRPr="001B4CE0">
        <w:rPr>
          <w:rFonts w:ascii="Palatino Linotype" w:eastAsia="Palatino Linotype" w:hAnsi="Palatino Linotype" w:cs="Palatino Linotype"/>
        </w:rPr>
        <w:t xml:space="preserve">, la parte </w:t>
      </w:r>
      <w:r w:rsidRPr="001B4CE0">
        <w:rPr>
          <w:rFonts w:ascii="Palatino Linotype" w:eastAsia="Palatino Linotype" w:hAnsi="Palatino Linotype" w:cs="Palatino Linotype"/>
          <w:b/>
        </w:rPr>
        <w:t>Recurrente</w:t>
      </w:r>
      <w:r w:rsidRPr="001B4CE0">
        <w:rPr>
          <w:rFonts w:ascii="Palatino Linotype" w:eastAsia="Palatino Linotype" w:hAnsi="Palatino Linotype" w:cs="Palatino Linotype"/>
        </w:rPr>
        <w:t xml:space="preserve"> formuló solicitud de acceso a información pública al</w:t>
      </w:r>
      <w:r w:rsidRPr="001B4CE0">
        <w:rPr>
          <w:rFonts w:ascii="Palatino Linotype" w:eastAsia="Palatino Linotype" w:hAnsi="Palatino Linotype" w:cs="Palatino Linotype"/>
          <w:b/>
        </w:rPr>
        <w:t xml:space="preserve"> Sujeto Obligado</w:t>
      </w:r>
      <w:r w:rsidRPr="001B4CE0">
        <w:rPr>
          <w:rFonts w:ascii="Palatino Linotype" w:eastAsia="Palatino Linotype" w:hAnsi="Palatino Linotype" w:cs="Palatino Linotype"/>
        </w:rPr>
        <w:t xml:space="preserve"> a través de la Plataforma Nacional de Transparencia vinculada al Sistema de Acceso a la Información Mexiquense, en adelante SAIMEX, en la que requirió lo siguiente: </w:t>
      </w:r>
    </w:p>
    <w:p w14:paraId="00A5EB22" w14:textId="77777777" w:rsidR="00D6615D" w:rsidRPr="001B4CE0" w:rsidRDefault="00D6615D">
      <w:pPr>
        <w:tabs>
          <w:tab w:val="left" w:pos="1530"/>
        </w:tabs>
        <w:spacing w:after="0" w:line="360" w:lineRule="auto"/>
        <w:ind w:right="49"/>
        <w:jc w:val="both"/>
        <w:rPr>
          <w:rFonts w:ascii="Palatino Linotype" w:eastAsia="Palatino Linotype" w:hAnsi="Palatino Linotype" w:cs="Palatino Linotype"/>
        </w:rPr>
      </w:pPr>
    </w:p>
    <w:p w14:paraId="783A2E92" w14:textId="77777777" w:rsidR="00D6615D" w:rsidRPr="001B4CE0" w:rsidRDefault="000D168C">
      <w:pPr>
        <w:spacing w:after="0" w:line="360" w:lineRule="auto"/>
        <w:ind w:left="851" w:right="843"/>
        <w:jc w:val="both"/>
        <w:rPr>
          <w:rFonts w:ascii="Palatino Linotype" w:eastAsia="Palatino Linotype" w:hAnsi="Palatino Linotype" w:cs="Palatino Linotype"/>
          <w:i/>
        </w:rPr>
      </w:pPr>
      <w:bookmarkStart w:id="1" w:name="_heading=h.30j0zll" w:colFirst="0" w:colLast="0"/>
      <w:bookmarkEnd w:id="1"/>
      <w:r w:rsidRPr="001B4CE0">
        <w:rPr>
          <w:rFonts w:ascii="Palatino Linotype" w:eastAsia="Palatino Linotype" w:hAnsi="Palatino Linotype" w:cs="Palatino Linotype"/>
          <w:i/>
        </w:rPr>
        <w:t xml:space="preserve">“DE LAS FOSAS CLANDESTINAS HAYADAS EN EL MUNICIPIO, REQUIERO SABER QUE ACIONES HA TOMADO LA PRESIDENTA MUNICIPAL PARA PREVENIR Y ERRADICAR ESTE TIPO DE DELITOS. REQUIERO SABER CUAL ES EL ESTADO DE FUERZA CON QUE CUENTA EL MUNICIPIO. REQUIERO SABER CUAL ES EL TIPO DE ARMAMENTO QUE USA LA POLICA DEL MUNICIPIO. REQUIERO SABER CUAL ES LA ANTIGUEDAD DE LAS PATRULLAS DEL MUNICIPIO SOLICTO SABER </w:t>
      </w:r>
      <w:r w:rsidRPr="001B4CE0">
        <w:rPr>
          <w:rFonts w:ascii="Palatino Linotype" w:eastAsia="Palatino Linotype" w:hAnsi="Palatino Linotype" w:cs="Palatino Linotype"/>
          <w:i/>
        </w:rPr>
        <w:lastRenderedPageBreak/>
        <w:t xml:space="preserve">CUAL ES EL PRESUPIESTO ASIGNADO A SEGURIDAD PUBLICA MUNICIPAL Y QUIERO SABER EL AYUNTAMIENTO HA OBTENIDO RECURSOS ESTATALES O FEDERALES PARA ATENDER ESTE RUBRO. "ADJUNTE DOCUMENTOS PROBATORIOS".”. </w:t>
      </w:r>
    </w:p>
    <w:p w14:paraId="6B199238" w14:textId="77777777" w:rsidR="00D6615D" w:rsidRPr="001B4CE0" w:rsidRDefault="00D6615D">
      <w:pPr>
        <w:spacing w:after="0" w:line="360" w:lineRule="auto"/>
        <w:ind w:right="49"/>
        <w:jc w:val="both"/>
        <w:rPr>
          <w:rFonts w:ascii="Palatino Linotype" w:eastAsia="Palatino Linotype" w:hAnsi="Palatino Linotype" w:cs="Palatino Linotype"/>
          <w:i/>
        </w:rPr>
      </w:pPr>
    </w:p>
    <w:p w14:paraId="4F0B6B66" w14:textId="77777777" w:rsidR="00D6615D" w:rsidRPr="001B4CE0" w:rsidRDefault="000D168C">
      <w:pP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b/>
        </w:rPr>
        <w:t>Modalidad elegida para la entrega de la información:</w:t>
      </w:r>
      <w:r w:rsidRPr="001B4CE0">
        <w:rPr>
          <w:rFonts w:ascii="Palatino Linotype" w:eastAsia="Palatino Linotype" w:hAnsi="Palatino Linotype" w:cs="Palatino Linotype"/>
        </w:rPr>
        <w:t xml:space="preserve"> a través del Sistema de Acceso a la Información Mexiquense (SAIMEX). </w:t>
      </w:r>
    </w:p>
    <w:p w14:paraId="0424080B" w14:textId="77777777" w:rsidR="00D6615D" w:rsidRPr="001B4CE0" w:rsidRDefault="00D6615D">
      <w:pPr>
        <w:pBdr>
          <w:top w:val="nil"/>
          <w:left w:val="nil"/>
          <w:bottom w:val="nil"/>
          <w:right w:val="nil"/>
          <w:between w:val="nil"/>
        </w:pBdr>
        <w:tabs>
          <w:tab w:val="left" w:pos="993"/>
        </w:tabs>
        <w:spacing w:after="0" w:line="360" w:lineRule="auto"/>
        <w:ind w:right="560"/>
        <w:jc w:val="both"/>
        <w:rPr>
          <w:rFonts w:ascii="Palatino Linotype" w:eastAsia="Palatino Linotype" w:hAnsi="Palatino Linotype" w:cs="Palatino Linotype"/>
        </w:rPr>
      </w:pPr>
    </w:p>
    <w:p w14:paraId="75553541" w14:textId="77777777" w:rsidR="00D6615D" w:rsidRPr="001B4CE0" w:rsidRDefault="000D168C">
      <w:pPr>
        <w:numPr>
          <w:ilvl w:val="0"/>
          <w:numId w:val="8"/>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1B4CE0">
        <w:rPr>
          <w:rFonts w:ascii="Palatino Linotype" w:eastAsia="Palatino Linotype" w:hAnsi="Palatino Linotype" w:cs="Palatino Linotype"/>
          <w:b/>
        </w:rPr>
        <w:t xml:space="preserve">Respuesta. </w:t>
      </w:r>
      <w:r w:rsidRPr="001B4CE0">
        <w:rPr>
          <w:rFonts w:ascii="Palatino Linotype" w:eastAsia="Palatino Linotype" w:hAnsi="Palatino Linotype" w:cs="Palatino Linotype"/>
        </w:rPr>
        <w:t xml:space="preserve">En fecha </w:t>
      </w:r>
      <w:r w:rsidRPr="001B4CE0">
        <w:rPr>
          <w:rFonts w:ascii="Palatino Linotype" w:eastAsia="Palatino Linotype" w:hAnsi="Palatino Linotype" w:cs="Palatino Linotype"/>
          <w:b/>
        </w:rPr>
        <w:t>dieciséis de abril de dos mil veinticuatro</w:t>
      </w:r>
      <w:r w:rsidRPr="001B4CE0">
        <w:rPr>
          <w:rFonts w:ascii="Palatino Linotype" w:eastAsia="Palatino Linotype" w:hAnsi="Palatino Linotype" w:cs="Palatino Linotype"/>
        </w:rPr>
        <w:t xml:space="preserve">, el </w:t>
      </w:r>
      <w:r w:rsidRPr="001B4CE0">
        <w:rPr>
          <w:rFonts w:ascii="Palatino Linotype" w:eastAsia="Palatino Linotype" w:hAnsi="Palatino Linotype" w:cs="Palatino Linotype"/>
          <w:b/>
        </w:rPr>
        <w:t xml:space="preserve">Sujeto Obligado </w:t>
      </w:r>
      <w:r w:rsidRPr="001B4CE0">
        <w:rPr>
          <w:rFonts w:ascii="Palatino Linotype" w:eastAsia="Palatino Linotype" w:hAnsi="Palatino Linotype" w:cs="Palatino Linotype"/>
        </w:rPr>
        <w:t xml:space="preserve">proporcionó respuesta a la solicitud de información, al tenor de lo siguiente: </w:t>
      </w:r>
    </w:p>
    <w:p w14:paraId="60E905B5" w14:textId="77777777" w:rsidR="00D6615D" w:rsidRPr="001B4CE0" w:rsidRDefault="00D661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68CDDC6" w14:textId="77777777" w:rsidR="00D6615D" w:rsidRPr="001B4CE0" w:rsidRDefault="000D168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524D9C8" w14:textId="77777777" w:rsidR="00D6615D" w:rsidRPr="001B4CE0" w:rsidRDefault="000D168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En atención a lo solicitado, con fundamento en el artículo 20, 21 y 22, fracción X de la Ley de Seguridad del Estado de México, la policía municipal es meramente de carácter preventivo, es por ello que ANEXO EL SIGUIENTE OFICIO DE CONTESTACIÓN. Sin mas por el momento quedo a sus ordenes.</w:t>
      </w:r>
    </w:p>
    <w:p w14:paraId="31C3BA3B" w14:textId="77777777" w:rsidR="00D6615D" w:rsidRPr="001B4CE0" w:rsidRDefault="000D168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ATENTAMENTE</w:t>
      </w:r>
    </w:p>
    <w:p w14:paraId="3CCC247A" w14:textId="77777777" w:rsidR="00D6615D" w:rsidRPr="001B4CE0" w:rsidRDefault="000D168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P. en D. Héctor Joel Labastida Carrillo”</w:t>
      </w:r>
    </w:p>
    <w:p w14:paraId="7EA03B40" w14:textId="77777777" w:rsidR="00D6615D" w:rsidRPr="001B4CE0" w:rsidRDefault="00D661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40E0BC5" w14:textId="77777777" w:rsidR="00D6615D" w:rsidRPr="001B4CE0" w:rsidRDefault="000D168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Asimismo, adjuntó los documentos que se describen a continuación:</w:t>
      </w:r>
    </w:p>
    <w:p w14:paraId="09E678C9" w14:textId="77777777" w:rsidR="00D6615D" w:rsidRPr="001B4CE0" w:rsidRDefault="00D661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9B45FEE" w14:textId="77777777" w:rsidR="00D6615D" w:rsidRPr="001B4CE0" w:rsidRDefault="000D168C">
      <w:pPr>
        <w:numPr>
          <w:ilvl w:val="0"/>
          <w:numId w:val="10"/>
        </w:numPr>
        <w:pBdr>
          <w:top w:val="nil"/>
          <w:left w:val="nil"/>
          <w:bottom w:val="nil"/>
          <w:right w:val="nil"/>
          <w:between w:val="nil"/>
        </w:pBdr>
        <w:spacing w:after="0"/>
        <w:ind w:right="843"/>
        <w:jc w:val="both"/>
        <w:rPr>
          <w:rFonts w:ascii="Palatino Linotype" w:eastAsia="Palatino Linotype" w:hAnsi="Palatino Linotype" w:cs="Palatino Linotype"/>
        </w:rPr>
      </w:pPr>
      <w:r w:rsidRPr="001B4CE0">
        <w:rPr>
          <w:rFonts w:ascii="Palatino Linotype" w:eastAsia="Palatino Linotype" w:hAnsi="Palatino Linotype" w:cs="Palatino Linotype"/>
        </w:rPr>
        <w:t>Oficio número PMM/DSP/075/2024 de fecha tres de abril de dos mil veinticuatro, signado por el Director de Seguridad Pública de Mexicaltzingo, mediante el cual informó lo siguiente:</w:t>
      </w:r>
    </w:p>
    <w:p w14:paraId="47D10E0B" w14:textId="77777777" w:rsidR="00D6615D" w:rsidRPr="001B4CE0" w:rsidRDefault="000D168C">
      <w:pPr>
        <w:numPr>
          <w:ilvl w:val="3"/>
          <w:numId w:val="8"/>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1B4CE0">
        <w:rPr>
          <w:rFonts w:ascii="Palatino Linotype" w:eastAsia="Palatino Linotype" w:hAnsi="Palatino Linotype" w:cs="Palatino Linotype"/>
          <w:i/>
        </w:rPr>
        <w:t xml:space="preserve">“En atención a lo solicitado, con fundamento en el artículo 20, 21 y 22 fracción X de la Ley de Seguridad del Estado de México, la policía municipal es </w:t>
      </w:r>
      <w:r w:rsidRPr="001B4CE0">
        <w:rPr>
          <w:rFonts w:ascii="Palatino Linotype" w:eastAsia="Palatino Linotype" w:hAnsi="Palatino Linotype" w:cs="Palatino Linotype"/>
          <w:i/>
        </w:rPr>
        <w:lastRenderedPageBreak/>
        <w:t xml:space="preserve">meramente de carácter preventivo, es por ello que, mediante sus atribuciones en coordinación con la Fiscalía General de Justicia del Estado de México, quien es la encargada de llevar a cabo las investigaciones pertinentes y demás cuerpos de seguridad, se llevaron a cabo diversos operativos en los diferentes puntos del municipio. </w:t>
      </w:r>
    </w:p>
    <w:p w14:paraId="3A149B01" w14:textId="77777777" w:rsidR="00D6615D" w:rsidRPr="001B4CE0" w:rsidRDefault="000D168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noProof/>
          <w:lang w:eastAsia="es-MX"/>
        </w:rPr>
        <w:drawing>
          <wp:inline distT="0" distB="0" distL="0" distR="0" wp14:anchorId="20099DD7" wp14:editId="2BF8FBA0">
            <wp:extent cx="4266626" cy="3099488"/>
            <wp:effectExtent l="0" t="0" r="0" b="0"/>
            <wp:docPr id="939555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266626" cy="3099488"/>
                    </a:xfrm>
                    <a:prstGeom prst="rect">
                      <a:avLst/>
                    </a:prstGeom>
                    <a:ln/>
                  </pic:spPr>
                </pic:pic>
              </a:graphicData>
            </a:graphic>
          </wp:inline>
        </w:drawing>
      </w:r>
    </w:p>
    <w:p w14:paraId="438B5B7E" w14:textId="77777777" w:rsidR="00D6615D" w:rsidRPr="001B4CE0" w:rsidRDefault="000D168C">
      <w:pPr>
        <w:numPr>
          <w:ilvl w:val="0"/>
          <w:numId w:val="8"/>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1B4CE0">
        <w:rPr>
          <w:rFonts w:ascii="Palatino Linotype" w:eastAsia="Palatino Linotype" w:hAnsi="Palatino Linotype" w:cs="Palatino Linotype"/>
          <w:i/>
        </w:rPr>
        <w:t xml:space="preserve">En cuanto hace a l tipo de armamento que utilizan nuestros elementos de seguridad es información confidencial y reservada, misma que no se puede dar a conocer mediante esta solicitud. </w:t>
      </w:r>
    </w:p>
    <w:p w14:paraId="5441BA5A" w14:textId="77777777" w:rsidR="00D6615D" w:rsidRPr="001B4CE0" w:rsidRDefault="000D168C">
      <w:pPr>
        <w:numPr>
          <w:ilvl w:val="0"/>
          <w:numId w:val="8"/>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1B4CE0">
        <w:rPr>
          <w:rFonts w:ascii="Palatino Linotype" w:eastAsia="Palatino Linotype" w:hAnsi="Palatino Linotype" w:cs="Palatino Linotype"/>
          <w:i/>
        </w:rPr>
        <w:t xml:space="preserve">El municipio cuenta con cuatro unidades útiles del modelo 2019 al 2023. </w:t>
      </w:r>
    </w:p>
    <w:p w14:paraId="7896F6C5" w14:textId="77777777" w:rsidR="00D6615D" w:rsidRPr="001B4CE0" w:rsidRDefault="000D168C">
      <w:pPr>
        <w:numPr>
          <w:ilvl w:val="0"/>
          <w:numId w:val="8"/>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1B4CE0">
        <w:rPr>
          <w:rFonts w:ascii="Palatino Linotype" w:eastAsia="Palatino Linotype" w:hAnsi="Palatino Linotype" w:cs="Palatino Linotype"/>
          <w:i/>
        </w:rPr>
        <w:t xml:space="preserve">El presupuesto asignado a seguridad pública consiste en lo recibido por FASP y FOFISP. </w:t>
      </w:r>
    </w:p>
    <w:p w14:paraId="5285C8DE" w14:textId="77777777" w:rsidR="00D6615D" w:rsidRPr="001B4CE0" w:rsidRDefault="000D168C">
      <w:pPr>
        <w:numPr>
          <w:ilvl w:val="0"/>
          <w:numId w:val="8"/>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1B4CE0">
        <w:rPr>
          <w:rFonts w:ascii="Palatino Linotype" w:eastAsia="Palatino Linotype" w:hAnsi="Palatino Linotype" w:cs="Palatino Linotype"/>
          <w:i/>
        </w:rPr>
        <w:t xml:space="preserve">Nuestro H. Ayuntamiento ha sido beneficiado con recursos federales, mismos que consisten en lo siguiente: </w:t>
      </w:r>
    </w:p>
    <w:p w14:paraId="7177DCAA" w14:textId="77777777" w:rsidR="00D6615D" w:rsidRPr="001B4CE0" w:rsidRDefault="000D168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Fondo de Aportaciones para la Seguridad Pública (FASP)</w:t>
      </w:r>
    </w:p>
    <w:p w14:paraId="1E5954CE" w14:textId="77777777" w:rsidR="00D6615D" w:rsidRPr="001B4CE0" w:rsidRDefault="000D168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 xml:space="preserve">Fondo para el Fortalecimiento de las Instituciones de Seguridad Pública (FOFISP). </w:t>
      </w:r>
    </w:p>
    <w:p w14:paraId="64171DCD" w14:textId="77777777" w:rsidR="00D6615D" w:rsidRPr="001B4CE0" w:rsidRDefault="000D168C">
      <w:pPr>
        <w:pBdr>
          <w:top w:val="nil"/>
          <w:left w:val="nil"/>
          <w:bottom w:val="nil"/>
          <w:right w:val="nil"/>
          <w:between w:val="nil"/>
        </w:pBdr>
        <w:spacing w:after="0"/>
        <w:ind w:left="851" w:right="843"/>
        <w:jc w:val="both"/>
        <w:rPr>
          <w:rFonts w:ascii="Palatino Linotype" w:eastAsia="Palatino Linotype" w:hAnsi="Palatino Linotype" w:cs="Palatino Linotype"/>
        </w:rPr>
      </w:pPr>
      <w:r w:rsidRPr="001B4CE0">
        <w:rPr>
          <w:rFonts w:ascii="Palatino Linotype" w:eastAsia="Palatino Linotype" w:hAnsi="Palatino Linotype" w:cs="Palatino Linotype"/>
          <w:i/>
        </w:rPr>
        <w:t>Se adjunta al presente el Oficio N° 206000000000000L/0143-58/2024 de fecha 8 de febrero del 2024, como Anexo Único. ”</w:t>
      </w:r>
    </w:p>
    <w:p w14:paraId="65DF3FCD" w14:textId="77777777" w:rsidR="00D6615D" w:rsidRPr="001B4CE0" w:rsidRDefault="00D661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09F7EC1" w14:textId="77777777" w:rsidR="00D6615D" w:rsidRPr="001B4CE0" w:rsidRDefault="000D168C">
      <w:pPr>
        <w:numPr>
          <w:ilvl w:val="0"/>
          <w:numId w:val="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1B4CE0">
        <w:rPr>
          <w:rFonts w:ascii="Palatino Linotype" w:eastAsia="Palatino Linotype" w:hAnsi="Palatino Linotype" w:cs="Palatino Linotype"/>
          <w:b/>
        </w:rPr>
        <w:lastRenderedPageBreak/>
        <w:t xml:space="preserve">Recurso de Revisión. </w:t>
      </w:r>
      <w:r w:rsidRPr="001B4CE0">
        <w:rPr>
          <w:rFonts w:ascii="Palatino Linotype" w:eastAsia="Palatino Linotype" w:hAnsi="Palatino Linotype" w:cs="Palatino Linotype"/>
        </w:rPr>
        <w:t xml:space="preserve">En fecha </w:t>
      </w:r>
      <w:r w:rsidRPr="001B4CE0">
        <w:rPr>
          <w:rFonts w:ascii="Palatino Linotype" w:eastAsia="Palatino Linotype" w:hAnsi="Palatino Linotype" w:cs="Palatino Linotype"/>
          <w:b/>
        </w:rPr>
        <w:t xml:space="preserve">nueve de mayo de dos mil veinticuatro, </w:t>
      </w:r>
      <w:r w:rsidRPr="001B4CE0">
        <w:rPr>
          <w:rFonts w:ascii="Palatino Linotype" w:eastAsia="Palatino Linotype" w:hAnsi="Palatino Linotype" w:cs="Palatino Linotype"/>
        </w:rPr>
        <w:t xml:space="preserve">la persona Solicitante interpuso Recurso de Revisión a través del </w:t>
      </w:r>
      <w:r w:rsidRPr="001B4CE0">
        <w:rPr>
          <w:rFonts w:ascii="Palatino Linotype" w:eastAsia="Palatino Linotype" w:hAnsi="Palatino Linotype" w:cs="Palatino Linotype"/>
          <w:b/>
        </w:rPr>
        <w:t>SAIMEX</w:t>
      </w:r>
      <w:r w:rsidRPr="001B4CE0">
        <w:rPr>
          <w:rFonts w:ascii="Palatino Linotype" w:eastAsia="Palatino Linotype" w:hAnsi="Palatino Linotype" w:cs="Palatino Linotype"/>
        </w:rPr>
        <w:t>, a través del cual expresó lo siguiente:</w:t>
      </w:r>
    </w:p>
    <w:p w14:paraId="41CE7F71" w14:textId="77777777" w:rsidR="00D6615D" w:rsidRPr="001B4CE0" w:rsidRDefault="000D168C">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i/>
        </w:rPr>
      </w:pPr>
      <w:r w:rsidRPr="001B4CE0">
        <w:rPr>
          <w:rFonts w:ascii="Palatino Linotype" w:eastAsia="Palatino Linotype" w:hAnsi="Palatino Linotype" w:cs="Palatino Linotype"/>
          <w:b/>
        </w:rPr>
        <w:t>Acto impugnado</w:t>
      </w:r>
      <w:r w:rsidRPr="001B4CE0">
        <w:rPr>
          <w:rFonts w:ascii="Palatino Linotype" w:eastAsia="Palatino Linotype" w:hAnsi="Palatino Linotype" w:cs="Palatino Linotype"/>
          <w:b/>
          <w:i/>
        </w:rPr>
        <w:t xml:space="preserve">. </w:t>
      </w:r>
    </w:p>
    <w:p w14:paraId="29FBD6E9" w14:textId="77777777" w:rsidR="00D6615D" w:rsidRPr="001B4CE0" w:rsidRDefault="000D168C">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rPr>
      </w:pPr>
      <w:r w:rsidRPr="001B4CE0">
        <w:rPr>
          <w:rFonts w:ascii="Palatino Linotype" w:eastAsia="Palatino Linotype" w:hAnsi="Palatino Linotype" w:cs="Palatino Linotype"/>
          <w:i/>
        </w:rPr>
        <w:t>“EL AYUNTAMIENTO ES OPACO EN LA INFORMACION; NO CONTESTA LO REQUERIDO Y HACE ALUSION A INFORMACION DE RESERVA CUANDO NO MUESTRA PRUEBAS DE PORQUE ES INFORMACION CONFIDENCIAL, POR LO CUAL INVOCO EL PRINCIPO DE MAXIMA PUBLICIDAD, HACIENDO VALER MI DERECHO HUMANO A LA INFORMACION, Y SE OBLIGUE AL AYUNMIENTO EN CUESTION A SATISFACER MI SOLICUTD DE INFORMACION.”</w:t>
      </w:r>
    </w:p>
    <w:p w14:paraId="3D707FB6" w14:textId="77777777" w:rsidR="00D6615D" w:rsidRPr="001B4CE0" w:rsidRDefault="00D6615D">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rPr>
      </w:pPr>
    </w:p>
    <w:p w14:paraId="1FE04582" w14:textId="77777777" w:rsidR="00D6615D" w:rsidRPr="001B4CE0" w:rsidRDefault="000D168C">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b/>
        </w:rPr>
        <w:t xml:space="preserve">Razones o motivos de la inconformidad: </w:t>
      </w:r>
    </w:p>
    <w:p w14:paraId="79D73E47" w14:textId="77777777" w:rsidR="00D6615D" w:rsidRPr="001B4CE0" w:rsidRDefault="00D6615D">
      <w:pPr>
        <w:pBdr>
          <w:top w:val="nil"/>
          <w:left w:val="nil"/>
          <w:bottom w:val="nil"/>
          <w:right w:val="nil"/>
          <w:between w:val="nil"/>
        </w:pBdr>
        <w:spacing w:line="360" w:lineRule="auto"/>
        <w:jc w:val="both"/>
        <w:rPr>
          <w:rFonts w:ascii="Palatino Linotype" w:eastAsia="Palatino Linotype" w:hAnsi="Palatino Linotype" w:cs="Palatino Linotype"/>
        </w:rPr>
      </w:pPr>
    </w:p>
    <w:p w14:paraId="517D1085" w14:textId="77777777" w:rsidR="00D6615D" w:rsidRPr="001B4CE0" w:rsidRDefault="000D168C">
      <w:pPr>
        <w:pBdr>
          <w:top w:val="nil"/>
          <w:left w:val="nil"/>
          <w:bottom w:val="nil"/>
          <w:right w:val="nil"/>
          <w:between w:val="nil"/>
        </w:pBdr>
        <w:spacing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Adjuntando a la interposición del recurso de revisión el archivo electrónico denominado</w:t>
      </w:r>
      <w:r w:rsidRPr="001B4CE0">
        <w:rPr>
          <w:rFonts w:ascii="Palatino Linotype" w:eastAsia="Palatino Linotype" w:hAnsi="Palatino Linotype" w:cs="Palatino Linotype"/>
          <w:i/>
        </w:rPr>
        <w:t xml:space="preserve"> </w:t>
      </w:r>
      <w:r w:rsidRPr="001B4CE0">
        <w:rPr>
          <w:rFonts w:ascii="Palatino Linotype" w:eastAsia="Palatino Linotype" w:hAnsi="Palatino Linotype" w:cs="Palatino Linotype"/>
          <w:b/>
          <w:i/>
        </w:rPr>
        <w:t>“Archivo1715285807719null”</w:t>
      </w:r>
      <w:r w:rsidRPr="001B4CE0">
        <w:rPr>
          <w:rFonts w:ascii="Palatino Linotype" w:eastAsia="Palatino Linotype" w:hAnsi="Palatino Linotype" w:cs="Palatino Linotype"/>
          <w:i/>
        </w:rPr>
        <w:t xml:space="preserve">, </w:t>
      </w:r>
      <w:r w:rsidRPr="001B4CE0">
        <w:rPr>
          <w:rFonts w:ascii="Palatino Linotype" w:eastAsia="Palatino Linotype" w:hAnsi="Palatino Linotype" w:cs="Palatino Linotype"/>
        </w:rPr>
        <w:t>el cual se omite su inserción, toda vez que no se permite visualizar su contenido.</w:t>
      </w:r>
    </w:p>
    <w:p w14:paraId="45EF995B" w14:textId="77777777" w:rsidR="00D6615D" w:rsidRPr="001B4CE0" w:rsidRDefault="000D168C">
      <w:pPr>
        <w:numPr>
          <w:ilvl w:val="0"/>
          <w:numId w:val="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1B4CE0">
        <w:rPr>
          <w:rFonts w:ascii="Palatino Linotype" w:eastAsia="Palatino Linotype" w:hAnsi="Palatino Linotype" w:cs="Palatino Linotype"/>
          <w:b/>
        </w:rPr>
        <w:t>Turno.</w:t>
      </w:r>
      <w:r w:rsidRPr="001B4CE0">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1B4CE0">
        <w:rPr>
          <w:rFonts w:ascii="Palatino Linotype" w:eastAsia="Palatino Linotype" w:hAnsi="Palatino Linotype" w:cs="Palatino Linotype"/>
          <w:b/>
        </w:rPr>
        <w:t>02689/INFOEM/IP/RR/2024</w:t>
      </w:r>
      <w:r w:rsidRPr="001B4CE0">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13DB0623" w14:textId="77777777" w:rsidR="00D6615D" w:rsidRPr="001B4CE0" w:rsidRDefault="00D661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4872A88" w14:textId="77777777" w:rsidR="00D6615D" w:rsidRPr="001B4CE0" w:rsidRDefault="000D168C">
      <w:pPr>
        <w:numPr>
          <w:ilvl w:val="0"/>
          <w:numId w:val="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1B4CE0">
        <w:rPr>
          <w:rFonts w:ascii="Palatino Linotype" w:eastAsia="Palatino Linotype" w:hAnsi="Palatino Linotype" w:cs="Palatino Linotype"/>
          <w:b/>
        </w:rPr>
        <w:t>Admisión del recurso de revisión</w:t>
      </w:r>
      <w:r w:rsidRPr="001B4CE0">
        <w:rPr>
          <w:rFonts w:ascii="Palatino Linotype" w:eastAsia="Palatino Linotype" w:hAnsi="Palatino Linotype" w:cs="Palatino Linotype"/>
        </w:rPr>
        <w:t xml:space="preserve">: En fecha </w:t>
      </w:r>
      <w:r w:rsidRPr="001B4CE0">
        <w:rPr>
          <w:rFonts w:ascii="Palatino Linotype" w:eastAsia="Palatino Linotype" w:hAnsi="Palatino Linotype" w:cs="Palatino Linotype"/>
          <w:b/>
        </w:rPr>
        <w:t>catorce de mayo de dos mil veinticuatro</w:t>
      </w:r>
      <w:r w:rsidRPr="001B4CE0">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w:t>
      </w:r>
      <w:r w:rsidRPr="001B4CE0">
        <w:rPr>
          <w:rFonts w:ascii="Palatino Linotype" w:eastAsia="Palatino Linotype" w:hAnsi="Palatino Linotype" w:cs="Palatino Linotype"/>
        </w:rPr>
        <w:lastRenderedPageBreak/>
        <w:t xml:space="preserve">resultara conveniente, ofrecieran pruebas, formularan alegatos y el </w:t>
      </w:r>
      <w:r w:rsidRPr="001B4CE0">
        <w:rPr>
          <w:rFonts w:ascii="Palatino Linotype" w:eastAsia="Palatino Linotype" w:hAnsi="Palatino Linotype" w:cs="Palatino Linotype"/>
          <w:b/>
        </w:rPr>
        <w:t xml:space="preserve">Sujeto Obligado </w:t>
      </w:r>
      <w:r w:rsidRPr="001B4CE0">
        <w:rPr>
          <w:rFonts w:ascii="Palatino Linotype" w:eastAsia="Palatino Linotype" w:hAnsi="Palatino Linotype" w:cs="Palatino Linotype"/>
        </w:rPr>
        <w:t xml:space="preserve">presentará su informe justificado. </w:t>
      </w:r>
    </w:p>
    <w:p w14:paraId="607777A0" w14:textId="77777777" w:rsidR="00D6615D" w:rsidRPr="001B4CE0" w:rsidRDefault="00D6615D">
      <w:pPr>
        <w:pBdr>
          <w:top w:val="nil"/>
          <w:left w:val="nil"/>
          <w:bottom w:val="nil"/>
          <w:right w:val="nil"/>
          <w:between w:val="nil"/>
        </w:pBdr>
        <w:ind w:left="720"/>
        <w:rPr>
          <w:rFonts w:ascii="Palatino Linotype" w:eastAsia="Palatino Linotype" w:hAnsi="Palatino Linotype" w:cs="Palatino Linotype"/>
        </w:rPr>
      </w:pPr>
    </w:p>
    <w:p w14:paraId="62351542" w14:textId="77777777" w:rsidR="00D6615D" w:rsidRPr="001B4CE0" w:rsidRDefault="000D168C">
      <w:pPr>
        <w:numPr>
          <w:ilvl w:val="0"/>
          <w:numId w:val="2"/>
        </w:numPr>
        <w:pBdr>
          <w:top w:val="nil"/>
          <w:left w:val="nil"/>
          <w:bottom w:val="nil"/>
          <w:right w:val="nil"/>
          <w:between w:val="nil"/>
        </w:pBdr>
        <w:spacing w:after="240" w:line="360" w:lineRule="auto"/>
        <w:ind w:left="0" w:right="49" w:firstLine="0"/>
        <w:jc w:val="both"/>
        <w:rPr>
          <w:rFonts w:ascii="Palatino Linotype" w:eastAsia="Palatino Linotype" w:hAnsi="Palatino Linotype" w:cs="Palatino Linotype"/>
          <w:i/>
        </w:rPr>
      </w:pPr>
      <w:r w:rsidRPr="001B4CE0">
        <w:rPr>
          <w:rFonts w:ascii="Palatino Linotype" w:eastAsia="Palatino Linotype" w:hAnsi="Palatino Linotype" w:cs="Palatino Linotype"/>
          <w:b/>
        </w:rPr>
        <w:t xml:space="preserve">Manifestaciones. </w:t>
      </w:r>
      <w:r w:rsidRPr="001B4CE0">
        <w:rPr>
          <w:rFonts w:ascii="Palatino Linotype" w:eastAsia="Palatino Linotype" w:hAnsi="Palatino Linotype" w:cs="Palatino Linotype"/>
        </w:rPr>
        <w:t xml:space="preserve">De las constancias que obran en el expediente electrónico del </w:t>
      </w:r>
      <w:r w:rsidRPr="001B4CE0">
        <w:rPr>
          <w:rFonts w:ascii="Palatino Linotype" w:eastAsia="Palatino Linotype" w:hAnsi="Palatino Linotype" w:cs="Palatino Linotype"/>
          <w:b/>
        </w:rPr>
        <w:t>SAIMEX</w:t>
      </w:r>
      <w:r w:rsidRPr="001B4CE0">
        <w:rPr>
          <w:rFonts w:ascii="Palatino Linotype" w:eastAsia="Palatino Linotype" w:hAnsi="Palatino Linotype" w:cs="Palatino Linotype"/>
        </w:rPr>
        <w:t xml:space="preserve"> se desprende que el </w:t>
      </w:r>
      <w:r w:rsidRPr="001B4CE0">
        <w:rPr>
          <w:rFonts w:ascii="Palatino Linotype" w:eastAsia="Palatino Linotype" w:hAnsi="Palatino Linotype" w:cs="Palatino Linotype"/>
          <w:b/>
        </w:rPr>
        <w:t>Sujeto Obligado</w:t>
      </w:r>
      <w:r w:rsidRPr="001B4CE0">
        <w:rPr>
          <w:rFonts w:ascii="Palatino Linotype" w:eastAsia="Palatino Linotype" w:hAnsi="Palatino Linotype" w:cs="Palatino Linotype"/>
        </w:rPr>
        <w:t xml:space="preserve"> no rindió su informe justificado, del mismo modo la parte </w:t>
      </w:r>
      <w:r w:rsidRPr="001B4CE0">
        <w:rPr>
          <w:rFonts w:ascii="Palatino Linotype" w:eastAsia="Palatino Linotype" w:hAnsi="Palatino Linotype" w:cs="Palatino Linotype"/>
          <w:b/>
        </w:rPr>
        <w:t>Recurrente</w:t>
      </w:r>
      <w:r w:rsidRPr="001B4CE0">
        <w:rPr>
          <w:rFonts w:ascii="Palatino Linotype" w:eastAsia="Palatino Linotype" w:hAnsi="Palatino Linotype" w:cs="Palatino Linotype"/>
        </w:rPr>
        <w:t xml:space="preserve"> omitió realizar manifestaciones, como se observa a continuación:</w:t>
      </w:r>
    </w:p>
    <w:p w14:paraId="297D608A" w14:textId="77777777" w:rsidR="00D6615D" w:rsidRPr="001B4CE0" w:rsidRDefault="000D168C">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i/>
          <w:noProof/>
          <w:lang w:eastAsia="es-MX"/>
        </w:rPr>
        <w:drawing>
          <wp:inline distT="0" distB="0" distL="0" distR="0" wp14:anchorId="09D9FDA6" wp14:editId="0AE47897">
            <wp:extent cx="5756275" cy="1294130"/>
            <wp:effectExtent l="0" t="0" r="0" b="0"/>
            <wp:docPr id="9395554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756275" cy="1294130"/>
                    </a:xfrm>
                    <a:prstGeom prst="rect">
                      <a:avLst/>
                    </a:prstGeom>
                    <a:ln/>
                  </pic:spPr>
                </pic:pic>
              </a:graphicData>
            </a:graphic>
          </wp:inline>
        </w:drawing>
      </w:r>
    </w:p>
    <w:p w14:paraId="49ED669F" w14:textId="77777777" w:rsidR="00D6615D" w:rsidRPr="001B4CE0" w:rsidRDefault="000D168C">
      <w:pPr>
        <w:numPr>
          <w:ilvl w:val="0"/>
          <w:numId w:val="2"/>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rPr>
      </w:pPr>
      <w:r w:rsidRPr="001B4CE0">
        <w:rPr>
          <w:rFonts w:ascii="Palatino Linotype" w:eastAsia="Palatino Linotype" w:hAnsi="Palatino Linotype" w:cs="Palatino Linotype"/>
          <w:b/>
        </w:rPr>
        <w:t>Ampliación de plazo:</w:t>
      </w:r>
      <w:r w:rsidRPr="001B4CE0">
        <w:rPr>
          <w:rFonts w:ascii="Palatino Linotype" w:eastAsia="Palatino Linotype" w:hAnsi="Palatino Linotype" w:cs="Palatino Linotype"/>
        </w:rPr>
        <w:t xml:space="preserve"> En fecha </w:t>
      </w:r>
      <w:r w:rsidRPr="001B4CE0">
        <w:rPr>
          <w:rFonts w:ascii="Palatino Linotype" w:eastAsia="Palatino Linotype" w:hAnsi="Palatino Linotype" w:cs="Palatino Linotype"/>
          <w:b/>
        </w:rPr>
        <w:t>veintiséis de agosto de dos mil veinticuatro</w:t>
      </w:r>
      <w:r w:rsidRPr="001B4CE0">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3386CF75" w14:textId="77777777" w:rsidR="00D6615D" w:rsidRPr="001B4CE0" w:rsidRDefault="00D6615D">
      <w:pPr>
        <w:widowControl w:val="0"/>
        <w:spacing w:after="0" w:line="360" w:lineRule="auto"/>
        <w:jc w:val="both"/>
        <w:rPr>
          <w:rFonts w:ascii="Palatino Linotype" w:eastAsia="Palatino Linotype" w:hAnsi="Palatino Linotype" w:cs="Palatino Linotype"/>
        </w:rPr>
      </w:pPr>
    </w:p>
    <w:p w14:paraId="55D19258" w14:textId="77777777" w:rsidR="00D6615D" w:rsidRPr="001B4CE0" w:rsidRDefault="000D168C">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3E827D0" w14:textId="77777777" w:rsidR="00D6615D" w:rsidRPr="001B4CE0" w:rsidRDefault="00D6615D">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p>
    <w:p w14:paraId="5C4C3B57"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w:t>
      </w:r>
      <w:r w:rsidRPr="001B4CE0">
        <w:rPr>
          <w:rFonts w:ascii="Palatino Linotype" w:eastAsia="Palatino Linotype" w:hAnsi="Palatino Linotype" w:cs="Palatino Linotype"/>
        </w:rPr>
        <w:lastRenderedPageBreak/>
        <w:t>conforme a los parámetros establecidos por diversos órganos jurisdiccionales federales, aplicables también en procedimientos análogos, como el que nos ocupa.</w:t>
      </w:r>
    </w:p>
    <w:p w14:paraId="738D5E35" w14:textId="77777777" w:rsidR="00D6615D" w:rsidRPr="001B4CE0" w:rsidRDefault="00D6615D">
      <w:pPr>
        <w:spacing w:after="0" w:line="360" w:lineRule="auto"/>
        <w:jc w:val="both"/>
        <w:rPr>
          <w:rFonts w:ascii="Palatino Linotype" w:eastAsia="Palatino Linotype" w:hAnsi="Palatino Linotype" w:cs="Palatino Linotype"/>
        </w:rPr>
      </w:pPr>
    </w:p>
    <w:p w14:paraId="1163FCC9"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3E5634A" w14:textId="77777777" w:rsidR="00D6615D" w:rsidRPr="001B4CE0" w:rsidRDefault="00D6615D">
      <w:pPr>
        <w:spacing w:after="0" w:line="360" w:lineRule="auto"/>
        <w:jc w:val="both"/>
        <w:rPr>
          <w:rFonts w:ascii="Palatino Linotype" w:eastAsia="Palatino Linotype" w:hAnsi="Palatino Linotype" w:cs="Palatino Linotype"/>
        </w:rPr>
      </w:pPr>
    </w:p>
    <w:p w14:paraId="521EF788"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90AFA98" w14:textId="77777777" w:rsidR="00D6615D" w:rsidRPr="001B4CE0" w:rsidRDefault="00D6615D">
      <w:pPr>
        <w:spacing w:after="0" w:line="360" w:lineRule="auto"/>
        <w:jc w:val="both"/>
        <w:rPr>
          <w:rFonts w:ascii="Palatino Linotype" w:eastAsia="Palatino Linotype" w:hAnsi="Palatino Linotype" w:cs="Palatino Linotype"/>
        </w:rPr>
      </w:pPr>
    </w:p>
    <w:p w14:paraId="053C5910" w14:textId="77777777" w:rsidR="00D6615D" w:rsidRPr="001B4CE0" w:rsidRDefault="000D168C">
      <w:pPr>
        <w:spacing w:after="0" w:line="360" w:lineRule="auto"/>
        <w:jc w:val="both"/>
        <w:rPr>
          <w:rFonts w:ascii="Palatino Linotype" w:eastAsia="Palatino Linotype" w:hAnsi="Palatino Linotype" w:cs="Palatino Linotype"/>
          <w:strike/>
        </w:rPr>
      </w:pPr>
      <w:r w:rsidRPr="001B4CE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73164FE" w14:textId="77777777" w:rsidR="00D6615D" w:rsidRPr="001B4CE0" w:rsidRDefault="00D6615D">
      <w:pPr>
        <w:spacing w:after="0" w:line="360" w:lineRule="auto"/>
        <w:jc w:val="both"/>
        <w:rPr>
          <w:rFonts w:ascii="Palatino Linotype" w:eastAsia="Palatino Linotype" w:hAnsi="Palatino Linotype" w:cs="Palatino Linotype"/>
        </w:rPr>
      </w:pPr>
    </w:p>
    <w:p w14:paraId="3CFC6E97" w14:textId="77777777" w:rsidR="00D6615D" w:rsidRPr="001B4CE0" w:rsidRDefault="000D168C">
      <w:pPr>
        <w:numPr>
          <w:ilvl w:val="0"/>
          <w:numId w:val="9"/>
        </w:num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3B2B7CAF" w14:textId="77777777" w:rsidR="00D6615D" w:rsidRPr="001B4CE0" w:rsidRDefault="000D168C">
      <w:pPr>
        <w:numPr>
          <w:ilvl w:val="0"/>
          <w:numId w:val="9"/>
        </w:num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Actividad Procesal del interesado. Acciones u omisiones del interesado.</w:t>
      </w:r>
    </w:p>
    <w:p w14:paraId="0E5B19A6" w14:textId="77777777" w:rsidR="00D6615D" w:rsidRPr="001B4CE0" w:rsidRDefault="000D168C">
      <w:pPr>
        <w:numPr>
          <w:ilvl w:val="0"/>
          <w:numId w:val="9"/>
        </w:num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Conducta de la Autoridad: Las Acciones u omisiones realizadas en el procedimiento. Así como si la autoridad actuó con la debida diligencia.</w:t>
      </w:r>
    </w:p>
    <w:p w14:paraId="57F3A123" w14:textId="77777777" w:rsidR="00D6615D" w:rsidRPr="001B4CE0" w:rsidRDefault="000D168C">
      <w:pPr>
        <w:numPr>
          <w:ilvl w:val="0"/>
          <w:numId w:val="9"/>
        </w:num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38799F85" w14:textId="77777777" w:rsidR="00D6615D" w:rsidRPr="001B4CE0" w:rsidRDefault="00D6615D">
      <w:pPr>
        <w:spacing w:after="0" w:line="360" w:lineRule="auto"/>
        <w:jc w:val="both"/>
        <w:rPr>
          <w:rFonts w:ascii="Palatino Linotype" w:eastAsia="Palatino Linotype" w:hAnsi="Palatino Linotype" w:cs="Palatino Linotype"/>
        </w:rPr>
      </w:pPr>
    </w:p>
    <w:p w14:paraId="2CE9890F"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w:t>
      </w:r>
      <w:r w:rsidRPr="001B4CE0">
        <w:rPr>
          <w:rFonts w:ascii="Palatino Linotype" w:eastAsia="Palatino Linotype" w:hAnsi="Palatino Linotype" w:cs="Palatino Linotype"/>
        </w:rPr>
        <w:lastRenderedPageBreak/>
        <w:t>o cuasi jurisdiccional respectivo supere notoriamente al que podría considerarse normal, debe concluirse que es una excluyente de responsabilidad en relación con la actuación del funcionario, como ha acontecido en el caso que nos ocupa.</w:t>
      </w:r>
    </w:p>
    <w:p w14:paraId="163BD2D4" w14:textId="77777777" w:rsidR="00D6615D" w:rsidRPr="001B4CE0" w:rsidRDefault="00D6615D">
      <w:pPr>
        <w:spacing w:after="0" w:line="360" w:lineRule="auto"/>
        <w:jc w:val="both"/>
        <w:rPr>
          <w:rFonts w:ascii="Palatino Linotype" w:eastAsia="Palatino Linotype" w:hAnsi="Palatino Linotype" w:cs="Palatino Linotype"/>
        </w:rPr>
      </w:pPr>
    </w:p>
    <w:p w14:paraId="1013C258"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1B4CE0">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1B4CE0">
        <w:rPr>
          <w:rFonts w:ascii="Palatino Linotype" w:eastAsia="Palatino Linotype" w:hAnsi="Palatino Linotype" w:cs="Palatino Linotype"/>
        </w:rPr>
        <w:t>, visible en la Gaceta del Seminario Judicial de la Federación con el registro digital 205635.</w:t>
      </w:r>
    </w:p>
    <w:p w14:paraId="61136DB4" w14:textId="77777777" w:rsidR="00D6615D" w:rsidRPr="001B4CE0" w:rsidRDefault="00D6615D">
      <w:pPr>
        <w:spacing w:after="0" w:line="360" w:lineRule="auto"/>
        <w:jc w:val="both"/>
        <w:rPr>
          <w:rFonts w:ascii="Palatino Linotype" w:eastAsia="Palatino Linotype" w:hAnsi="Palatino Linotype" w:cs="Palatino Linotype"/>
          <w:b/>
        </w:rPr>
      </w:pPr>
    </w:p>
    <w:p w14:paraId="41647406"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5C3D7A8" w14:textId="77777777" w:rsidR="00D6615D" w:rsidRPr="001B4CE0" w:rsidRDefault="00D6615D">
      <w:pPr>
        <w:spacing w:after="0" w:line="360" w:lineRule="auto"/>
        <w:jc w:val="both"/>
        <w:rPr>
          <w:rFonts w:ascii="Palatino Linotype" w:eastAsia="Palatino Linotype" w:hAnsi="Palatino Linotype" w:cs="Palatino Linotype"/>
        </w:rPr>
      </w:pPr>
    </w:p>
    <w:p w14:paraId="05351AD5"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15305D7" w14:textId="77777777" w:rsidR="00D6615D" w:rsidRPr="001B4CE0" w:rsidRDefault="00D6615D">
      <w:pPr>
        <w:spacing w:after="0" w:line="360" w:lineRule="auto"/>
        <w:jc w:val="both"/>
        <w:rPr>
          <w:rFonts w:ascii="Palatino Linotype" w:eastAsia="Palatino Linotype" w:hAnsi="Palatino Linotype" w:cs="Palatino Linotype"/>
        </w:rPr>
      </w:pPr>
    </w:p>
    <w:p w14:paraId="4913E63E" w14:textId="77777777" w:rsidR="00D6615D" w:rsidRPr="001B4CE0" w:rsidRDefault="000D168C">
      <w:pPr>
        <w:spacing w:after="0"/>
        <w:ind w:left="851" w:right="843"/>
        <w:jc w:val="both"/>
        <w:rPr>
          <w:rFonts w:ascii="Palatino Linotype" w:eastAsia="Palatino Linotype" w:hAnsi="Palatino Linotype" w:cs="Palatino Linotype"/>
        </w:rPr>
      </w:pPr>
      <w:r w:rsidRPr="001B4CE0">
        <w:rPr>
          <w:rFonts w:ascii="Palatino Linotype" w:eastAsia="Palatino Linotype" w:hAnsi="Palatino Linotype" w:cs="Palatino Linotype"/>
          <w:b/>
        </w:rPr>
        <w:lastRenderedPageBreak/>
        <w:t xml:space="preserve"> </w:t>
      </w:r>
      <w:r w:rsidRPr="001B4CE0">
        <w:rPr>
          <w:rFonts w:ascii="Palatino Linotype" w:eastAsia="Palatino Linotype" w:hAnsi="Palatino Linotype" w:cs="Palatino Linotype"/>
          <w:b/>
          <w:i/>
        </w:rPr>
        <w:t>“PLAZO RAZONABLE PARA RESOLVER. DIMENSIÓN Y EFECTOS DE ESTE CONCEPTO CUANDO SE ADUCE EXCESIVA CARGA DE TRABAJO.”</w:t>
      </w:r>
      <w:r w:rsidRPr="001B4CE0">
        <w:rPr>
          <w:rFonts w:ascii="Palatino Linotype" w:eastAsia="Palatino Linotype" w:hAnsi="Palatino Linotype" w:cs="Palatino Linotype"/>
        </w:rPr>
        <w:t xml:space="preserve"> consultable en el Seminario Judicial de la Federación y su gaceta, con el registro digital 2002351.</w:t>
      </w:r>
    </w:p>
    <w:p w14:paraId="1B74A9E6" w14:textId="77777777" w:rsidR="00D6615D" w:rsidRPr="001B4CE0" w:rsidRDefault="00D6615D">
      <w:pPr>
        <w:spacing w:after="0"/>
        <w:ind w:left="851" w:right="843"/>
        <w:jc w:val="both"/>
        <w:rPr>
          <w:rFonts w:ascii="Palatino Linotype" w:eastAsia="Palatino Linotype" w:hAnsi="Palatino Linotype" w:cs="Palatino Linotype"/>
          <w:b/>
        </w:rPr>
      </w:pPr>
    </w:p>
    <w:p w14:paraId="65A69A12" w14:textId="77777777" w:rsidR="00D6615D" w:rsidRPr="001B4CE0" w:rsidRDefault="000D168C">
      <w:pPr>
        <w:spacing w:after="0"/>
        <w:ind w:left="851" w:right="843"/>
        <w:jc w:val="both"/>
        <w:rPr>
          <w:rFonts w:ascii="Palatino Linotype" w:eastAsia="Palatino Linotype" w:hAnsi="Palatino Linotype" w:cs="Palatino Linotype"/>
        </w:rPr>
      </w:pPr>
      <w:r w:rsidRPr="001B4CE0">
        <w:rPr>
          <w:rFonts w:ascii="Palatino Linotype" w:eastAsia="Palatino Linotype" w:hAnsi="Palatino Linotype" w:cs="Palatino Linotype"/>
          <w:b/>
          <w:i/>
        </w:rPr>
        <w:t>“PLAZO RAZONABLE PARA RESOLVER. CONCEPTO Y ELEMENTOS QUE LO INTEGRAN A LA LUZ DEL DERECHO INTERNACIONAL DE LOS DERECHOS HUMANOS</w:t>
      </w:r>
      <w:r w:rsidRPr="001B4CE0">
        <w:rPr>
          <w:rFonts w:ascii="Palatino Linotype" w:eastAsia="Palatino Linotype" w:hAnsi="Palatino Linotype" w:cs="Palatino Linotype"/>
          <w:i/>
        </w:rPr>
        <w:t>.”</w:t>
      </w:r>
      <w:r w:rsidRPr="001B4CE0">
        <w:rPr>
          <w:rFonts w:ascii="Palatino Linotype" w:eastAsia="Palatino Linotype" w:hAnsi="Palatino Linotype" w:cs="Palatino Linotype"/>
        </w:rPr>
        <w:t>, visible en el Seminario Judicial de la Federación y su gaceta, con el registro digital 2002350.”</w:t>
      </w:r>
    </w:p>
    <w:p w14:paraId="43718340" w14:textId="77777777" w:rsidR="00D6615D" w:rsidRPr="001B4CE0" w:rsidRDefault="00D6615D">
      <w:pPr>
        <w:spacing w:after="0" w:line="360" w:lineRule="auto"/>
        <w:ind w:left="567" w:right="616"/>
        <w:jc w:val="both"/>
        <w:rPr>
          <w:rFonts w:ascii="Palatino Linotype" w:eastAsia="Palatino Linotype" w:hAnsi="Palatino Linotype" w:cs="Palatino Linotype"/>
        </w:rPr>
      </w:pPr>
    </w:p>
    <w:p w14:paraId="74C4F880"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37E46ED" w14:textId="77777777" w:rsidR="00D6615D" w:rsidRPr="001B4CE0" w:rsidRDefault="00D6615D">
      <w:pPr>
        <w:spacing w:after="0" w:line="360" w:lineRule="auto"/>
        <w:jc w:val="both"/>
        <w:rPr>
          <w:rFonts w:ascii="Palatino Linotype" w:eastAsia="Palatino Linotype" w:hAnsi="Palatino Linotype" w:cs="Palatino Linotype"/>
        </w:rPr>
      </w:pPr>
    </w:p>
    <w:p w14:paraId="5E73D8D3" w14:textId="77777777" w:rsidR="00D6615D" w:rsidRPr="001B4CE0" w:rsidRDefault="000D168C">
      <w:pPr>
        <w:numPr>
          <w:ilvl w:val="0"/>
          <w:numId w:val="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1B4CE0">
        <w:rPr>
          <w:rFonts w:ascii="Palatino Linotype" w:eastAsia="Palatino Linotype" w:hAnsi="Palatino Linotype" w:cs="Palatino Linotype"/>
          <w:b/>
        </w:rPr>
        <w:t>Cierre de instrucción</w:t>
      </w:r>
      <w:r w:rsidRPr="001B4CE0">
        <w:rPr>
          <w:rFonts w:ascii="Palatino Linotype" w:eastAsia="Palatino Linotype" w:hAnsi="Palatino Linotype" w:cs="Palatino Linotype"/>
        </w:rPr>
        <w:t xml:space="preserve">. En fecha </w:t>
      </w:r>
      <w:r w:rsidRPr="001B4CE0">
        <w:rPr>
          <w:rFonts w:ascii="Palatino Linotype" w:eastAsia="Palatino Linotype" w:hAnsi="Palatino Linotype" w:cs="Palatino Linotype"/>
          <w:b/>
        </w:rPr>
        <w:t>veintiséis de agosto de dos mil veinticuatro</w:t>
      </w:r>
      <w:r w:rsidRPr="001B4CE0">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D51F19E" w14:textId="77777777" w:rsidR="00D6615D" w:rsidRPr="001B4CE0" w:rsidRDefault="00D661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BAF0181" w14:textId="77777777" w:rsidR="00D6615D" w:rsidRPr="001B4CE0" w:rsidRDefault="000D168C">
      <w:pP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33D99A2A" w14:textId="77777777" w:rsidR="00D6615D" w:rsidRPr="001B4CE0" w:rsidRDefault="00D6615D">
      <w:pPr>
        <w:spacing w:after="0" w:line="360" w:lineRule="auto"/>
        <w:ind w:right="49"/>
        <w:jc w:val="both"/>
        <w:rPr>
          <w:rFonts w:ascii="Palatino Linotype" w:eastAsia="Palatino Linotype" w:hAnsi="Palatino Linotype" w:cs="Palatino Linotype"/>
        </w:rPr>
      </w:pPr>
    </w:p>
    <w:p w14:paraId="3DFC111A" w14:textId="77777777" w:rsidR="00D6615D" w:rsidRPr="001B4CE0" w:rsidRDefault="000D168C">
      <w:pPr>
        <w:spacing w:after="0" w:line="360" w:lineRule="auto"/>
        <w:ind w:right="49"/>
        <w:jc w:val="center"/>
        <w:rPr>
          <w:rFonts w:ascii="Palatino Linotype" w:eastAsia="Palatino Linotype" w:hAnsi="Palatino Linotype" w:cs="Palatino Linotype"/>
          <w:b/>
        </w:rPr>
      </w:pPr>
      <w:r w:rsidRPr="001B4CE0">
        <w:rPr>
          <w:rFonts w:ascii="Palatino Linotype" w:eastAsia="Palatino Linotype" w:hAnsi="Palatino Linotype" w:cs="Palatino Linotype"/>
          <w:b/>
        </w:rPr>
        <w:t>II.</w:t>
      </w:r>
      <w:r w:rsidRPr="001B4CE0">
        <w:rPr>
          <w:rFonts w:ascii="Palatino Linotype" w:eastAsia="Palatino Linotype" w:hAnsi="Palatino Linotype" w:cs="Palatino Linotype"/>
          <w:b/>
        </w:rPr>
        <w:tab/>
        <w:t>C O N S I D E R A N D O:</w:t>
      </w:r>
    </w:p>
    <w:p w14:paraId="0A28F61B" w14:textId="77777777" w:rsidR="00D6615D" w:rsidRPr="001B4CE0" w:rsidRDefault="00D6615D">
      <w:pPr>
        <w:spacing w:after="0" w:line="360" w:lineRule="auto"/>
        <w:ind w:right="49"/>
        <w:jc w:val="both"/>
        <w:rPr>
          <w:rFonts w:ascii="Palatino Linotype" w:eastAsia="Palatino Linotype" w:hAnsi="Palatino Linotype" w:cs="Palatino Linotype"/>
        </w:rPr>
      </w:pPr>
    </w:p>
    <w:p w14:paraId="60760D3F"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b/>
        </w:rPr>
        <w:t xml:space="preserve">Primero. Competencia. </w:t>
      </w:r>
      <w:r w:rsidRPr="001B4CE0">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w:t>
      </w:r>
      <w:r w:rsidRPr="001B4CE0">
        <w:rPr>
          <w:rFonts w:ascii="Palatino Linotype" w:eastAsia="Palatino Linotype" w:hAnsi="Palatino Linotype" w:cs="Palatino Linotype"/>
        </w:rPr>
        <w:lastRenderedPageBreak/>
        <w:t>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BE726DE" w14:textId="77777777" w:rsidR="00D6615D" w:rsidRPr="001B4CE0" w:rsidRDefault="00D6615D">
      <w:pPr>
        <w:spacing w:after="0" w:line="360" w:lineRule="auto"/>
        <w:ind w:right="49"/>
        <w:jc w:val="both"/>
        <w:rPr>
          <w:rFonts w:ascii="Palatino Linotype" w:eastAsia="Palatino Linotype" w:hAnsi="Palatino Linotype" w:cs="Palatino Linotype"/>
        </w:rPr>
      </w:pPr>
    </w:p>
    <w:p w14:paraId="5DCAEB96" w14:textId="77777777" w:rsidR="00D6615D" w:rsidRPr="001B4CE0" w:rsidRDefault="000D168C">
      <w:pP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b/>
        </w:rPr>
        <w:t>Segundo. Oportunidad y Procedibilidad del Recurso de Revisión.</w:t>
      </w:r>
      <w:r w:rsidRPr="001B4CE0">
        <w:rPr>
          <w:rFonts w:ascii="Palatino Linotype" w:eastAsia="Palatino Linotype" w:hAnsi="Palatino Linotype" w:cs="Palatino Linotype"/>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14:paraId="4CBCCAA2" w14:textId="77777777" w:rsidR="00D6615D" w:rsidRPr="001B4CE0" w:rsidRDefault="00D6615D">
      <w:pPr>
        <w:spacing w:after="0" w:line="360" w:lineRule="auto"/>
        <w:ind w:right="49"/>
        <w:jc w:val="both"/>
        <w:rPr>
          <w:rFonts w:ascii="Palatino Linotype" w:eastAsia="Palatino Linotype" w:hAnsi="Palatino Linotype" w:cs="Palatino Linotype"/>
        </w:rPr>
      </w:pPr>
    </w:p>
    <w:p w14:paraId="01B68D56" w14:textId="77777777" w:rsidR="00D6615D" w:rsidRPr="001B4CE0" w:rsidRDefault="000D168C">
      <w:pP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El recurso de revisión fue interpuesto dentro del plazo de quince días hábiles previstos en el artículo 178 de la Ley de Transparencia y Acceso a la Información Pública del Estado de México y Municipios, toda vez que el </w:t>
      </w:r>
      <w:r w:rsidRPr="001B4CE0">
        <w:rPr>
          <w:rFonts w:ascii="Palatino Linotype" w:eastAsia="Palatino Linotype" w:hAnsi="Palatino Linotype" w:cs="Palatino Linotype"/>
          <w:b/>
        </w:rPr>
        <w:t>Sujeto Obligado</w:t>
      </w:r>
      <w:r w:rsidRPr="001B4CE0">
        <w:rPr>
          <w:rFonts w:ascii="Palatino Linotype" w:eastAsia="Palatino Linotype" w:hAnsi="Palatino Linotype" w:cs="Palatino Linotype"/>
        </w:rPr>
        <w:t xml:space="preserve"> remitió la respuesta a la solicitud de información el </w:t>
      </w:r>
      <w:r w:rsidRPr="001B4CE0">
        <w:rPr>
          <w:rFonts w:ascii="Palatino Linotype" w:eastAsia="Palatino Linotype" w:hAnsi="Palatino Linotype" w:cs="Palatino Linotype"/>
          <w:b/>
        </w:rPr>
        <w:t>dieciséis de abril de dos mil veinticuatro</w:t>
      </w:r>
      <w:r w:rsidRPr="001B4CE0">
        <w:rPr>
          <w:rFonts w:ascii="Palatino Linotype" w:eastAsia="Palatino Linotype" w:hAnsi="Palatino Linotype" w:cs="Palatino Linotype"/>
        </w:rPr>
        <w:t xml:space="preserve">, mientras que el recurso de revisión interpuesto por la parte </w:t>
      </w:r>
      <w:r w:rsidRPr="001B4CE0">
        <w:rPr>
          <w:rFonts w:ascii="Palatino Linotype" w:eastAsia="Palatino Linotype" w:hAnsi="Palatino Linotype" w:cs="Palatino Linotype"/>
          <w:b/>
        </w:rPr>
        <w:t xml:space="preserve">Recurrente </w:t>
      </w:r>
      <w:r w:rsidRPr="001B4CE0">
        <w:rPr>
          <w:rFonts w:ascii="Palatino Linotype" w:eastAsia="Palatino Linotype" w:hAnsi="Palatino Linotype" w:cs="Palatino Linotype"/>
        </w:rPr>
        <w:t xml:space="preserve">se tuvo por presentado el </w:t>
      </w:r>
      <w:r w:rsidRPr="001B4CE0">
        <w:rPr>
          <w:rFonts w:ascii="Palatino Linotype" w:eastAsia="Palatino Linotype" w:hAnsi="Palatino Linotype" w:cs="Palatino Linotype"/>
          <w:b/>
        </w:rPr>
        <w:t>nueve de mayo de dos mil veinticuatro</w:t>
      </w:r>
      <w:r w:rsidRPr="001B4CE0">
        <w:rPr>
          <w:rFonts w:ascii="Palatino Linotype" w:eastAsia="Palatino Linotype" w:hAnsi="Palatino Linotype" w:cs="Palatino Linotype"/>
        </w:rPr>
        <w:t>, esto es al décimo quinto día hábil en que se tuvo conocimiento de la respuesta.</w:t>
      </w:r>
    </w:p>
    <w:p w14:paraId="5358BF9C" w14:textId="77777777" w:rsidR="00D6615D" w:rsidRPr="001B4CE0" w:rsidRDefault="00D6615D">
      <w:pPr>
        <w:spacing w:after="0" w:line="360" w:lineRule="auto"/>
        <w:ind w:right="49"/>
        <w:jc w:val="both"/>
        <w:rPr>
          <w:rFonts w:ascii="Palatino Linotype" w:eastAsia="Palatino Linotype" w:hAnsi="Palatino Linotype" w:cs="Palatino Linotype"/>
        </w:rPr>
      </w:pPr>
    </w:p>
    <w:p w14:paraId="0EBB9354"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Es de suma importancia mencionar que, si bien, la parte no proporcionó un nombre o seudónimo 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D0FA4DA" w14:textId="77777777" w:rsidR="00D6615D" w:rsidRPr="001B4CE0" w:rsidRDefault="00D6615D">
      <w:pPr>
        <w:spacing w:after="0" w:line="360" w:lineRule="auto"/>
        <w:jc w:val="both"/>
        <w:rPr>
          <w:rFonts w:ascii="Palatino Linotype" w:eastAsia="Palatino Linotype" w:hAnsi="Palatino Linotype" w:cs="Palatino Linotype"/>
        </w:rPr>
      </w:pPr>
    </w:p>
    <w:p w14:paraId="6C3426E5"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27C50805" w14:textId="77777777" w:rsidR="00D6615D" w:rsidRPr="001B4CE0" w:rsidRDefault="00D6615D">
      <w:pPr>
        <w:spacing w:after="0" w:line="360" w:lineRule="auto"/>
        <w:ind w:right="49"/>
        <w:jc w:val="both"/>
        <w:rPr>
          <w:rFonts w:ascii="Palatino Linotype" w:eastAsia="Palatino Linotype" w:hAnsi="Palatino Linotype" w:cs="Palatino Linotype"/>
        </w:rPr>
      </w:pPr>
    </w:p>
    <w:p w14:paraId="4CD15FCA" w14:textId="77777777" w:rsidR="00D6615D" w:rsidRPr="001B4CE0" w:rsidRDefault="000D168C">
      <w:pP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1B4CE0">
        <w:rPr>
          <w:rFonts w:ascii="Palatino Linotype" w:eastAsia="Palatino Linotype" w:hAnsi="Palatino Linotype" w:cs="Palatino Linotype"/>
          <w:b/>
        </w:rPr>
        <w:t>SAIMEX</w:t>
      </w:r>
      <w:r w:rsidRPr="001B4CE0">
        <w:rPr>
          <w:rFonts w:ascii="Palatino Linotype" w:eastAsia="Palatino Linotype" w:hAnsi="Palatino Linotype" w:cs="Palatino Linotype"/>
        </w:rPr>
        <w:t xml:space="preserve">.  </w:t>
      </w:r>
    </w:p>
    <w:p w14:paraId="17549629" w14:textId="77777777" w:rsidR="00D6615D" w:rsidRPr="001B4CE0" w:rsidRDefault="00D6615D">
      <w:pPr>
        <w:spacing w:after="0" w:line="360" w:lineRule="auto"/>
        <w:ind w:right="49"/>
        <w:jc w:val="both"/>
        <w:rPr>
          <w:rFonts w:ascii="Palatino Linotype" w:eastAsia="Palatino Linotype" w:hAnsi="Palatino Linotype" w:cs="Palatino Linotype"/>
        </w:rPr>
      </w:pPr>
    </w:p>
    <w:p w14:paraId="23116B34" w14:textId="77777777" w:rsidR="00D6615D" w:rsidRPr="001B4CE0" w:rsidRDefault="000D168C">
      <w:pP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Finalmente, resulta procedente la interposición del recurso de revisión al rubro anotado, toda vez que se actualiza la hipótesis de procedencia prevista en el artículo 179, fracción II de la Ley de la materia, que a la letra dice:</w:t>
      </w:r>
    </w:p>
    <w:p w14:paraId="6E4A683A" w14:textId="77777777" w:rsidR="00D6615D" w:rsidRPr="001B4CE0" w:rsidRDefault="00D6615D">
      <w:pPr>
        <w:spacing w:after="0" w:line="360" w:lineRule="auto"/>
        <w:ind w:right="49"/>
        <w:jc w:val="both"/>
        <w:rPr>
          <w:rFonts w:ascii="Palatino Linotype" w:eastAsia="Palatino Linotype" w:hAnsi="Palatino Linotype" w:cs="Palatino Linotype"/>
        </w:rPr>
      </w:pPr>
    </w:p>
    <w:p w14:paraId="378D7E12"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w:t>
      </w:r>
      <w:r w:rsidRPr="001B4CE0">
        <w:rPr>
          <w:rFonts w:ascii="Palatino Linotype" w:eastAsia="Palatino Linotype" w:hAnsi="Palatino Linotype" w:cs="Palatino Linotype"/>
          <w:b/>
          <w:i/>
        </w:rPr>
        <w:t>Artículo 179.</w:t>
      </w:r>
      <w:r w:rsidRPr="001B4CE0">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4A2A3BE6"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I…</w:t>
      </w:r>
    </w:p>
    <w:p w14:paraId="5148CBB5"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II. La clasificación de la información;</w:t>
      </w:r>
    </w:p>
    <w:p w14:paraId="70BBC0D5"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w:t>
      </w:r>
    </w:p>
    <w:p w14:paraId="6DE1A2AA" w14:textId="77777777" w:rsidR="00D6615D" w:rsidRPr="001B4CE0" w:rsidRDefault="00D6615D">
      <w:pPr>
        <w:spacing w:after="0" w:line="360" w:lineRule="auto"/>
        <w:ind w:left="567" w:right="560"/>
        <w:jc w:val="both"/>
        <w:rPr>
          <w:rFonts w:ascii="Palatino Linotype" w:eastAsia="Palatino Linotype" w:hAnsi="Palatino Linotype" w:cs="Palatino Linotype"/>
          <w:i/>
        </w:rPr>
      </w:pPr>
    </w:p>
    <w:p w14:paraId="042A3432" w14:textId="77777777" w:rsidR="00D6615D" w:rsidRPr="001B4CE0" w:rsidRDefault="000D168C">
      <w:pP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b/>
        </w:rPr>
        <w:t>Tercero. Materia de la revisión</w:t>
      </w:r>
      <w:r w:rsidRPr="001B4CE0">
        <w:rPr>
          <w:rFonts w:ascii="Palatino Linotype" w:eastAsia="Palatino Linotype" w:hAnsi="Palatino Linotype" w:cs="Palatino Linotype"/>
        </w:rPr>
        <w:t xml:space="preserve">. De la revisión a las constancias y documentos que obran en el expediente electrónico se advierte, que el tema sobre el que este Organismo Garante de Transparencia y Acceso a la Información se pronunciará será determinar, si se actualiza la hipótesis prevista en la fracción II del artículo 179 de la Ley en la materia. </w:t>
      </w:r>
    </w:p>
    <w:p w14:paraId="62210CF2" w14:textId="77777777" w:rsidR="00D6615D" w:rsidRPr="001B4CE0" w:rsidRDefault="00D6615D">
      <w:pPr>
        <w:spacing w:after="0" w:line="360" w:lineRule="auto"/>
        <w:ind w:right="49"/>
        <w:jc w:val="both"/>
        <w:rPr>
          <w:rFonts w:ascii="Palatino Linotype" w:eastAsia="Palatino Linotype" w:hAnsi="Palatino Linotype" w:cs="Palatino Linotype"/>
        </w:rPr>
      </w:pPr>
    </w:p>
    <w:p w14:paraId="28FA9541" w14:textId="77777777" w:rsidR="00D6615D" w:rsidRPr="001B4CE0" w:rsidRDefault="000D168C">
      <w:pP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b/>
        </w:rPr>
        <w:lastRenderedPageBreak/>
        <w:t>Cuarto.</w:t>
      </w:r>
      <w:r w:rsidRPr="001B4CE0">
        <w:rPr>
          <w:rFonts w:ascii="Palatino Linotype" w:eastAsia="Palatino Linotype" w:hAnsi="Palatino Linotype" w:cs="Palatino Linotype"/>
        </w:rPr>
        <w:t xml:space="preserve"> </w:t>
      </w:r>
      <w:r w:rsidRPr="001B4CE0">
        <w:rPr>
          <w:rFonts w:ascii="Palatino Linotype" w:eastAsia="Palatino Linotype" w:hAnsi="Palatino Linotype" w:cs="Palatino Linotype"/>
          <w:b/>
        </w:rPr>
        <w:t>Estudio de fondo del asunto.</w:t>
      </w:r>
      <w:r w:rsidRPr="001B4CE0">
        <w:rPr>
          <w:rFonts w:ascii="Palatino Linotype" w:eastAsia="Palatino Linotype" w:hAnsi="Palatino Linotype" w:cs="Palatino Linotype"/>
        </w:rPr>
        <w:t xml:space="preserve"> Antes de entrar al análisis de los pronunciamientos del Sujeto Obligado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03CA353" w14:textId="77777777" w:rsidR="00D6615D" w:rsidRPr="001B4CE0" w:rsidRDefault="00D6615D">
      <w:pPr>
        <w:spacing w:after="0"/>
        <w:ind w:left="567" w:right="560"/>
        <w:jc w:val="both"/>
        <w:rPr>
          <w:rFonts w:ascii="Palatino Linotype" w:eastAsia="Palatino Linotype" w:hAnsi="Palatino Linotype" w:cs="Palatino Linotype"/>
          <w:i/>
        </w:rPr>
      </w:pPr>
    </w:p>
    <w:p w14:paraId="21527049"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w:t>
      </w:r>
      <w:r w:rsidRPr="001B4CE0">
        <w:rPr>
          <w:rFonts w:ascii="Palatino Linotype" w:eastAsia="Palatino Linotype" w:hAnsi="Palatino Linotype" w:cs="Palatino Linotype"/>
          <w:b/>
          <w:i/>
        </w:rPr>
        <w:t>Artículo 1o.</w:t>
      </w:r>
      <w:r w:rsidRPr="001B4CE0">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2AA5EC8"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0D031CB0"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B70537E"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w:t>
      </w:r>
    </w:p>
    <w:p w14:paraId="2F3FF486" w14:textId="77777777" w:rsidR="00D6615D" w:rsidRPr="001B4CE0" w:rsidRDefault="000D168C">
      <w:pPr>
        <w:spacing w:after="0"/>
        <w:ind w:left="851" w:right="843"/>
        <w:jc w:val="both"/>
        <w:rPr>
          <w:rFonts w:ascii="Palatino Linotype" w:eastAsia="Palatino Linotype" w:hAnsi="Palatino Linotype" w:cs="Palatino Linotype"/>
          <w:b/>
          <w:i/>
        </w:rPr>
      </w:pPr>
      <w:r w:rsidRPr="001B4CE0">
        <w:rPr>
          <w:rFonts w:ascii="Palatino Linotype" w:eastAsia="Palatino Linotype" w:hAnsi="Palatino Linotype" w:cs="Palatino Linotype"/>
          <w:b/>
          <w:i/>
        </w:rPr>
        <w:t>“Artículo 6o.</w:t>
      </w:r>
    </w:p>
    <w:p w14:paraId="439473CC"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w:t>
      </w:r>
    </w:p>
    <w:p w14:paraId="312B3F03"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A. Para el ejercicio del derecho de acceso a la información, la Federación y las entidades federativas, en el ámbito de sus respectivas competencias, se regirán por los siguientes principios y bases:</w:t>
      </w:r>
    </w:p>
    <w:p w14:paraId="631D3120"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w:t>
      </w:r>
      <w:r w:rsidRPr="001B4CE0">
        <w:rPr>
          <w:rFonts w:ascii="Palatino Linotype" w:eastAsia="Palatino Linotype" w:hAnsi="Palatino Linotype" w:cs="Palatino Linotype"/>
          <w:i/>
        </w:rPr>
        <w:lastRenderedPageBreak/>
        <w:t>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1F28D10"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 xml:space="preserve"> II. La información que se refiere a la vida privada y los datos personales será protegida en los términos y con las excepciones que fijen las leyes.</w:t>
      </w:r>
    </w:p>
    <w:p w14:paraId="011A82FF"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 xml:space="preserve"> III. Toda persona, sin necesidad de acreditar interés alguno o justificar su utilización, tendrá acceso gratuito a la información pública, a sus datos personales o a la rectificación de éstos.</w:t>
      </w:r>
    </w:p>
    <w:p w14:paraId="71201E91"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 xml:space="preserve"> IV. Se establecerán mecanismos de acceso a la información y procedimientos de revisión expeditos que se sustanciarán ante los organismos autónomos especializados e imparciales que establece esta Constitución.</w:t>
      </w:r>
    </w:p>
    <w:p w14:paraId="784187C6"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502C047"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 xml:space="preserve"> VI. Las leyes determinarán la manera en que los sujetos obligados deberán hacer pública la información relativa a los recursos públicos que entreguen a personas físicas o morales.</w:t>
      </w:r>
    </w:p>
    <w:p w14:paraId="55971552"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 xml:space="preserve"> VII. La inobservancia a las disposiciones en materia de acceso a la información pública será sancionada en los términos que dispongan las leyes. [...]</w:t>
      </w:r>
    </w:p>
    <w:p w14:paraId="2019C71A" w14:textId="77777777" w:rsidR="00D6615D" w:rsidRPr="001B4CE0" w:rsidRDefault="00D6615D">
      <w:pPr>
        <w:spacing w:after="0"/>
        <w:ind w:left="567" w:right="560"/>
        <w:jc w:val="both"/>
        <w:rPr>
          <w:rFonts w:ascii="Palatino Linotype" w:eastAsia="Palatino Linotype" w:hAnsi="Palatino Linotype" w:cs="Palatino Linotype"/>
          <w:i/>
        </w:rPr>
      </w:pPr>
    </w:p>
    <w:p w14:paraId="17F801E5" w14:textId="77777777" w:rsidR="00D6615D" w:rsidRPr="001B4CE0" w:rsidRDefault="000D168C">
      <w:pP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w:t>
      </w:r>
      <w:r w:rsidRPr="001B4CE0">
        <w:rPr>
          <w:rFonts w:ascii="Palatino Linotype" w:eastAsia="Palatino Linotype" w:hAnsi="Palatino Linotype" w:cs="Palatino Linotype"/>
        </w:rPr>
        <w:lastRenderedPageBreak/>
        <w:t>permanente a cualquier persona, privilegiando el principio de máxima publicidad, como así lo establece dicha determinación, que a continuación se transcribe para un mejor entendimiento:</w:t>
      </w:r>
    </w:p>
    <w:p w14:paraId="206D72AE" w14:textId="77777777" w:rsidR="00D6615D" w:rsidRPr="001B4CE0" w:rsidRDefault="00D6615D">
      <w:pPr>
        <w:spacing w:after="0" w:line="360" w:lineRule="auto"/>
        <w:ind w:right="49"/>
        <w:jc w:val="both"/>
        <w:rPr>
          <w:rFonts w:ascii="Palatino Linotype" w:eastAsia="Palatino Linotype" w:hAnsi="Palatino Linotype" w:cs="Palatino Linotype"/>
        </w:rPr>
      </w:pPr>
    </w:p>
    <w:p w14:paraId="21D53170"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w:t>
      </w:r>
      <w:r w:rsidRPr="001B4CE0">
        <w:rPr>
          <w:rFonts w:ascii="Palatino Linotype" w:eastAsia="Palatino Linotype" w:hAnsi="Palatino Linotype" w:cs="Palatino Linotype"/>
          <w:b/>
          <w:i/>
        </w:rPr>
        <w:t>Artículo 4.</w:t>
      </w:r>
      <w:r w:rsidRPr="001B4CE0">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AD66052"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D39D9F7"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0F6BD112" w14:textId="77777777" w:rsidR="00D6615D" w:rsidRPr="001B4CE0" w:rsidRDefault="00D6615D">
      <w:pPr>
        <w:spacing w:after="0" w:line="360" w:lineRule="auto"/>
        <w:ind w:left="567" w:right="560"/>
        <w:jc w:val="both"/>
        <w:rPr>
          <w:rFonts w:ascii="Palatino Linotype" w:eastAsia="Palatino Linotype" w:hAnsi="Palatino Linotype" w:cs="Palatino Linotype"/>
          <w:i/>
        </w:rPr>
      </w:pPr>
    </w:p>
    <w:p w14:paraId="36404814" w14:textId="77777777" w:rsidR="00D6615D" w:rsidRPr="001B4CE0" w:rsidRDefault="000D168C">
      <w:pP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B19E501" w14:textId="77777777" w:rsidR="00D6615D" w:rsidRPr="001B4CE0" w:rsidRDefault="00D6615D">
      <w:pPr>
        <w:spacing w:after="0" w:line="360" w:lineRule="auto"/>
        <w:ind w:right="49"/>
        <w:jc w:val="both"/>
        <w:rPr>
          <w:rFonts w:ascii="Palatino Linotype" w:eastAsia="Palatino Linotype" w:hAnsi="Palatino Linotype" w:cs="Palatino Linotype"/>
        </w:rPr>
      </w:pPr>
    </w:p>
    <w:p w14:paraId="0B734AFB"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w:t>
      </w:r>
      <w:r w:rsidRPr="001B4CE0">
        <w:rPr>
          <w:rFonts w:ascii="Palatino Linotype" w:eastAsia="Palatino Linotype" w:hAnsi="Palatino Linotype" w:cs="Palatino Linotype"/>
          <w:b/>
          <w:i/>
        </w:rPr>
        <w:t>Artículo 12.</w:t>
      </w:r>
      <w:r w:rsidRPr="001B4CE0">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61103D13"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703DD17" w14:textId="77777777" w:rsidR="00D6615D" w:rsidRPr="001B4CE0" w:rsidRDefault="00D6615D">
      <w:pPr>
        <w:spacing w:after="0" w:line="360" w:lineRule="auto"/>
        <w:ind w:right="49"/>
        <w:jc w:val="both"/>
        <w:rPr>
          <w:rFonts w:ascii="Palatino Linotype" w:eastAsia="Palatino Linotype" w:hAnsi="Palatino Linotype" w:cs="Palatino Linotype"/>
        </w:rPr>
      </w:pPr>
    </w:p>
    <w:p w14:paraId="7A45975D" w14:textId="77777777" w:rsidR="00D6615D" w:rsidRPr="001B4CE0" w:rsidRDefault="000D168C">
      <w:pP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w:t>
      </w:r>
    </w:p>
    <w:p w14:paraId="5ACCCD16" w14:textId="77777777" w:rsidR="00D6615D" w:rsidRPr="001B4CE0" w:rsidRDefault="00D6615D">
      <w:pPr>
        <w:spacing w:after="0" w:line="360" w:lineRule="auto"/>
        <w:ind w:right="49"/>
        <w:jc w:val="both"/>
        <w:rPr>
          <w:rFonts w:ascii="Palatino Linotype" w:eastAsia="Palatino Linotype" w:hAnsi="Palatino Linotype" w:cs="Palatino Linotype"/>
        </w:rPr>
      </w:pPr>
    </w:p>
    <w:p w14:paraId="7DE49A08" w14:textId="77777777" w:rsidR="00D6615D" w:rsidRPr="001B4CE0" w:rsidRDefault="000D168C">
      <w:pPr>
        <w:spacing w:after="0"/>
        <w:ind w:left="851" w:right="843"/>
        <w:jc w:val="both"/>
        <w:rPr>
          <w:rFonts w:ascii="Palatino Linotype" w:eastAsia="Palatino Linotype" w:hAnsi="Palatino Linotype" w:cs="Palatino Linotype"/>
          <w:b/>
          <w:i/>
        </w:rPr>
      </w:pPr>
      <w:r w:rsidRPr="001B4CE0">
        <w:rPr>
          <w:rFonts w:ascii="Palatino Linotype" w:eastAsia="Palatino Linotype" w:hAnsi="Palatino Linotype" w:cs="Palatino Linotype"/>
          <w:b/>
          <w:i/>
        </w:rPr>
        <w:t>Criterio 03/17</w:t>
      </w:r>
    </w:p>
    <w:p w14:paraId="45F62B54"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b/>
          <w:i/>
        </w:rPr>
        <w:t xml:space="preserve">“NO EXISTE OBLIGACIÓN DE ELABORAR DOCUMENTOS AD HOC PARA ATENDER LAS SOLICITUDES DE ACCESO A LA INFORMACIÓN. </w:t>
      </w:r>
      <w:r w:rsidRPr="001B4CE0">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FE90A43" w14:textId="77777777" w:rsidR="00D6615D" w:rsidRPr="001B4CE0" w:rsidRDefault="00D6615D">
      <w:pPr>
        <w:spacing w:after="0" w:line="360" w:lineRule="auto"/>
        <w:ind w:left="567" w:right="560"/>
        <w:jc w:val="both"/>
        <w:rPr>
          <w:rFonts w:ascii="Palatino Linotype" w:eastAsia="Palatino Linotype" w:hAnsi="Palatino Linotype" w:cs="Palatino Linotype"/>
          <w:b/>
          <w:i/>
        </w:rPr>
      </w:pPr>
    </w:p>
    <w:p w14:paraId="7A3B7085" w14:textId="77777777" w:rsidR="00D6615D" w:rsidRPr="001B4CE0" w:rsidRDefault="000D168C">
      <w:pP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Por otra parte, y aunado a lo antepuesto, el último párrafo del artículo 24 de la Ley de la materia, dispone que los Sujetos Obligados sólo proporcionarán la información pública que </w:t>
      </w:r>
      <w:r w:rsidRPr="001B4CE0">
        <w:rPr>
          <w:rFonts w:ascii="Palatino Linotype" w:eastAsia="Palatino Linotype" w:hAnsi="Palatino Linotype" w:cs="Palatino Linotype"/>
        </w:rPr>
        <w:lastRenderedPageBreak/>
        <w:t>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558A9C2" w14:textId="77777777" w:rsidR="00D6615D" w:rsidRPr="001B4CE0" w:rsidRDefault="00D6615D">
      <w:pPr>
        <w:spacing w:after="0" w:line="360" w:lineRule="auto"/>
        <w:ind w:right="49"/>
        <w:jc w:val="both"/>
        <w:rPr>
          <w:rFonts w:ascii="Palatino Linotype" w:eastAsia="Palatino Linotype" w:hAnsi="Palatino Linotype" w:cs="Palatino Linotype"/>
        </w:rPr>
      </w:pPr>
    </w:p>
    <w:p w14:paraId="457552AA" w14:textId="77777777" w:rsidR="00D6615D" w:rsidRPr="001B4CE0" w:rsidRDefault="000D168C">
      <w:pP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0F11FC5" w14:textId="77777777" w:rsidR="00D6615D" w:rsidRPr="001B4CE0" w:rsidRDefault="00D6615D">
      <w:pPr>
        <w:spacing w:after="0" w:line="360" w:lineRule="auto"/>
        <w:ind w:right="49"/>
        <w:jc w:val="both"/>
        <w:rPr>
          <w:rFonts w:ascii="Palatino Linotype" w:eastAsia="Palatino Linotype" w:hAnsi="Palatino Linotype" w:cs="Palatino Linotype"/>
        </w:rPr>
      </w:pPr>
    </w:p>
    <w:p w14:paraId="7D5CA480" w14:textId="77777777" w:rsidR="00D6615D" w:rsidRPr="001B4CE0" w:rsidRDefault="000D168C">
      <w:pP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61FBDD4" w14:textId="77777777" w:rsidR="00D6615D" w:rsidRPr="001B4CE0" w:rsidRDefault="00D6615D">
      <w:pPr>
        <w:spacing w:after="0" w:line="360" w:lineRule="auto"/>
        <w:ind w:right="49"/>
        <w:jc w:val="both"/>
        <w:rPr>
          <w:rFonts w:ascii="Palatino Linotype" w:eastAsia="Palatino Linotype" w:hAnsi="Palatino Linotype" w:cs="Palatino Linotype"/>
        </w:rPr>
      </w:pPr>
    </w:p>
    <w:p w14:paraId="6AC26D9E"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w:t>
      </w:r>
      <w:r w:rsidRPr="001B4CE0">
        <w:rPr>
          <w:rFonts w:ascii="Palatino Linotype" w:eastAsia="Palatino Linotype" w:hAnsi="Palatino Linotype" w:cs="Palatino Linotype"/>
          <w:b/>
          <w:i/>
        </w:rPr>
        <w:t>Artículo 3.</w:t>
      </w:r>
      <w:r w:rsidRPr="001B4CE0">
        <w:rPr>
          <w:rFonts w:ascii="Palatino Linotype" w:eastAsia="Palatino Linotype" w:hAnsi="Palatino Linotype" w:cs="Palatino Linotype"/>
          <w:i/>
        </w:rPr>
        <w:t xml:space="preserve"> Para los efectos de la presente Ley se entenderá por:</w:t>
      </w:r>
    </w:p>
    <w:p w14:paraId="3FF42D0D"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w:t>
      </w:r>
    </w:p>
    <w:p w14:paraId="15711FB8"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b/>
          <w:i/>
        </w:rPr>
        <w:t>XI. Documento:</w:t>
      </w:r>
      <w:r w:rsidRPr="001B4CE0">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1B4CE0">
        <w:rPr>
          <w:rFonts w:ascii="Palatino Linotype" w:eastAsia="Palatino Linotype" w:hAnsi="Palatino Linotype" w:cs="Palatino Linotype"/>
          <w:i/>
        </w:rPr>
        <w:lastRenderedPageBreak/>
        <w:t xml:space="preserve">elaboración. Los documentos podrán estar en cualquier medio, sea escrito, impreso, sonoro, visual, electrónico, informático u holográfico…” </w:t>
      </w:r>
    </w:p>
    <w:p w14:paraId="2FDAA113" w14:textId="77777777" w:rsidR="00D6615D" w:rsidRPr="001B4CE0" w:rsidRDefault="00D6615D">
      <w:pPr>
        <w:spacing w:after="0" w:line="360" w:lineRule="auto"/>
        <w:ind w:right="49"/>
        <w:jc w:val="both"/>
        <w:rPr>
          <w:rFonts w:ascii="Palatino Linotype" w:eastAsia="Palatino Linotype" w:hAnsi="Palatino Linotype" w:cs="Palatino Linotype"/>
        </w:rPr>
      </w:pPr>
    </w:p>
    <w:p w14:paraId="71621776" w14:textId="77777777" w:rsidR="00D6615D" w:rsidRPr="001B4CE0" w:rsidRDefault="000D168C">
      <w:pP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B2B0798" w14:textId="77777777" w:rsidR="00D6615D" w:rsidRPr="001B4CE0" w:rsidRDefault="00D6615D">
      <w:pPr>
        <w:spacing w:after="0" w:line="360" w:lineRule="auto"/>
        <w:ind w:right="49"/>
        <w:jc w:val="both"/>
        <w:rPr>
          <w:rFonts w:ascii="Palatino Linotype" w:eastAsia="Palatino Linotype" w:hAnsi="Palatino Linotype" w:cs="Palatino Linotype"/>
        </w:rPr>
      </w:pPr>
    </w:p>
    <w:p w14:paraId="1CCF4AA2" w14:textId="77777777" w:rsidR="00D6615D" w:rsidRPr="001B4CE0" w:rsidRDefault="000D168C">
      <w:pPr>
        <w:spacing w:after="0"/>
        <w:ind w:left="851" w:right="843"/>
        <w:jc w:val="both"/>
        <w:rPr>
          <w:rFonts w:ascii="Palatino Linotype" w:eastAsia="Palatino Linotype" w:hAnsi="Palatino Linotype" w:cs="Palatino Linotype"/>
          <w:b/>
          <w:i/>
        </w:rPr>
      </w:pPr>
      <w:r w:rsidRPr="001B4CE0">
        <w:rPr>
          <w:rFonts w:ascii="Palatino Linotype" w:eastAsia="Palatino Linotype" w:hAnsi="Palatino Linotype" w:cs="Palatino Linotype"/>
          <w:i/>
        </w:rPr>
        <w:t>“</w:t>
      </w:r>
      <w:r w:rsidRPr="001B4CE0">
        <w:rPr>
          <w:rFonts w:ascii="Palatino Linotype" w:eastAsia="Palatino Linotype" w:hAnsi="Palatino Linotype" w:cs="Palatino Linotype"/>
          <w:b/>
          <w:i/>
        </w:rPr>
        <w:t>CRITERIO 0002-11</w:t>
      </w:r>
    </w:p>
    <w:p w14:paraId="576ED85B"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1B4CE0">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26EFB0A"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En consecuencia el acceso a la información se refiere a que se cumplan cualquiera de los siguientes tres supuestos:</w:t>
      </w:r>
    </w:p>
    <w:p w14:paraId="06A1A2A0"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1)</w:t>
      </w:r>
      <w:r w:rsidRPr="001B4CE0">
        <w:rPr>
          <w:rFonts w:ascii="Palatino Linotype" w:eastAsia="Palatino Linotype" w:hAnsi="Palatino Linotype" w:cs="Palatino Linotype"/>
          <w:i/>
        </w:rPr>
        <w:tab/>
        <w:t>Que se trate de información registrada en cualquier soporte documental, que en ejercicio de las atribuciones conferidas, sea generada por los Sujetos Obligados;</w:t>
      </w:r>
    </w:p>
    <w:p w14:paraId="01E88E80"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2)</w:t>
      </w:r>
      <w:r w:rsidRPr="001B4CE0">
        <w:rPr>
          <w:rFonts w:ascii="Palatino Linotype" w:eastAsia="Palatino Linotype" w:hAnsi="Palatino Linotype" w:cs="Palatino Linotype"/>
          <w:i/>
        </w:rPr>
        <w:tab/>
        <w:t>Que se trate de información registrada en cualquier soporte documental, que en ejercicio de las atribuciones conferidas, sea administrada por los Sujetos Obligados, y</w:t>
      </w:r>
    </w:p>
    <w:p w14:paraId="51AF64B8"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50B7C4BB" w14:textId="77777777" w:rsidR="00D6615D" w:rsidRPr="001B4CE0" w:rsidRDefault="00D6615D">
      <w:pPr>
        <w:spacing w:after="0" w:line="360" w:lineRule="auto"/>
        <w:ind w:right="49"/>
        <w:jc w:val="both"/>
        <w:rPr>
          <w:rFonts w:ascii="Palatino Linotype" w:eastAsia="Palatino Linotype" w:hAnsi="Palatino Linotype" w:cs="Palatino Linotype"/>
        </w:rPr>
      </w:pPr>
    </w:p>
    <w:p w14:paraId="35031B44" w14:textId="77777777" w:rsidR="00D6615D" w:rsidRPr="001B4CE0" w:rsidRDefault="000D168C">
      <w:pP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De ahí que el Sujeto Obligado cuenta con el deber de satisfacer las solicitudes de acceso a la información que le sean formuladas y entregar la información pública que obre en sus </w:t>
      </w:r>
      <w:r w:rsidRPr="001B4CE0">
        <w:rPr>
          <w:rFonts w:ascii="Palatino Linotype" w:eastAsia="Palatino Linotype" w:hAnsi="Palatino Linotype" w:cs="Palatino Linotype"/>
        </w:rPr>
        <w:lastRenderedPageBreak/>
        <w:t>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5339D7AB" w14:textId="77777777" w:rsidR="00D6615D" w:rsidRPr="001B4CE0" w:rsidRDefault="00D6615D">
      <w:pPr>
        <w:spacing w:after="0" w:line="360" w:lineRule="auto"/>
        <w:ind w:right="49"/>
        <w:jc w:val="both"/>
        <w:rPr>
          <w:rFonts w:ascii="Palatino Linotype" w:eastAsia="Palatino Linotype" w:hAnsi="Palatino Linotype" w:cs="Palatino Linotype"/>
        </w:rPr>
      </w:pPr>
    </w:p>
    <w:p w14:paraId="6D139E66" w14:textId="77777777" w:rsidR="00D6615D" w:rsidRPr="001B4CE0" w:rsidRDefault="000D168C">
      <w:pP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De las actuaciones que integran el expediente electrónico, se procede al análisis de los agravios hechos valer por la parte </w:t>
      </w:r>
      <w:r w:rsidRPr="001B4CE0">
        <w:rPr>
          <w:rFonts w:ascii="Palatino Linotype" w:eastAsia="Palatino Linotype" w:hAnsi="Palatino Linotype" w:cs="Palatino Linotype"/>
          <w:b/>
        </w:rPr>
        <w:t>Recurrente</w:t>
      </w:r>
      <w:r w:rsidRPr="001B4CE0">
        <w:rPr>
          <w:rFonts w:ascii="Palatino Linotype" w:eastAsia="Palatino Linotype" w:hAnsi="Palatino Linotype" w:cs="Palatino Linotype"/>
        </w:rPr>
        <w:t>, relativos a la clasificación de la información, lo que actualiza la causal de procedencia prevista en la fracción II del artículo 179 de la Ley de Transparencia y Acceso a la Información Pública del Estado de México y Municipios.</w:t>
      </w:r>
    </w:p>
    <w:p w14:paraId="24B0A2BF" w14:textId="77777777" w:rsidR="00D6615D" w:rsidRPr="001B4CE0" w:rsidRDefault="00D6615D">
      <w:pPr>
        <w:spacing w:after="0" w:line="360" w:lineRule="auto"/>
        <w:ind w:right="49"/>
        <w:jc w:val="both"/>
        <w:rPr>
          <w:rFonts w:ascii="Palatino Linotype" w:eastAsia="Palatino Linotype" w:hAnsi="Palatino Linotype" w:cs="Palatino Linotype"/>
        </w:rPr>
      </w:pPr>
    </w:p>
    <w:p w14:paraId="27603E3F" w14:textId="77777777" w:rsidR="00D6615D" w:rsidRPr="001B4CE0" w:rsidRDefault="000D168C">
      <w:pP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Para ello, en principio resulta conveniente recordar que la pretensión de la parte </w:t>
      </w:r>
      <w:r w:rsidRPr="001B4CE0">
        <w:rPr>
          <w:rFonts w:ascii="Palatino Linotype" w:eastAsia="Palatino Linotype" w:hAnsi="Palatino Linotype" w:cs="Palatino Linotype"/>
          <w:b/>
        </w:rPr>
        <w:t>Recurrente</w:t>
      </w:r>
      <w:r w:rsidRPr="001B4CE0">
        <w:rPr>
          <w:rFonts w:ascii="Palatino Linotype" w:eastAsia="Palatino Linotype" w:hAnsi="Palatino Linotype" w:cs="Palatino Linotype"/>
        </w:rPr>
        <w:t xml:space="preserve"> es obtener la siguiente información: </w:t>
      </w:r>
    </w:p>
    <w:p w14:paraId="3240CDF4" w14:textId="77777777" w:rsidR="00D6615D" w:rsidRPr="001B4CE0" w:rsidRDefault="00D6615D">
      <w:pPr>
        <w:spacing w:after="0" w:line="360" w:lineRule="auto"/>
        <w:ind w:right="49"/>
        <w:jc w:val="both"/>
        <w:rPr>
          <w:rFonts w:ascii="Palatino Linotype" w:eastAsia="Palatino Linotype" w:hAnsi="Palatino Linotype" w:cs="Palatino Linotype"/>
        </w:rPr>
      </w:pPr>
    </w:p>
    <w:p w14:paraId="7B29E606" w14:textId="77777777" w:rsidR="00D6615D" w:rsidRPr="001B4CE0" w:rsidRDefault="000D168C">
      <w:pPr>
        <w:numPr>
          <w:ilvl w:val="0"/>
          <w:numId w:val="1"/>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De las fosas clandestinas halladas en el municipio, requiero </w:t>
      </w:r>
      <w:r w:rsidRPr="001B4CE0">
        <w:rPr>
          <w:rFonts w:ascii="Palatino Linotype" w:eastAsia="Palatino Linotype" w:hAnsi="Palatino Linotype" w:cs="Palatino Linotype"/>
          <w:b/>
          <w:u w:val="single"/>
        </w:rPr>
        <w:t xml:space="preserve">saber </w:t>
      </w:r>
      <w:r w:rsidR="003F1DCC" w:rsidRPr="001B4CE0">
        <w:rPr>
          <w:rFonts w:ascii="Palatino Linotype" w:eastAsia="Palatino Linotype" w:hAnsi="Palatino Linotype" w:cs="Palatino Linotype"/>
          <w:b/>
          <w:u w:val="single"/>
        </w:rPr>
        <w:t>qué</w:t>
      </w:r>
      <w:r w:rsidRPr="001B4CE0">
        <w:rPr>
          <w:rFonts w:ascii="Palatino Linotype" w:eastAsia="Palatino Linotype" w:hAnsi="Palatino Linotype" w:cs="Palatino Linotype"/>
          <w:b/>
          <w:u w:val="single"/>
        </w:rPr>
        <w:t xml:space="preserve"> acciones ha tomado la presidenta municipal para prevenir y erradicar este tipo de delitos</w:t>
      </w:r>
      <w:r w:rsidRPr="001B4CE0">
        <w:rPr>
          <w:rFonts w:ascii="Palatino Linotype" w:eastAsia="Palatino Linotype" w:hAnsi="Palatino Linotype" w:cs="Palatino Linotype"/>
        </w:rPr>
        <w:t xml:space="preserve">. </w:t>
      </w:r>
    </w:p>
    <w:p w14:paraId="116A72F6" w14:textId="77777777" w:rsidR="00D6615D" w:rsidRPr="001B4CE0" w:rsidRDefault="000D168C">
      <w:pPr>
        <w:numPr>
          <w:ilvl w:val="0"/>
          <w:numId w:val="1"/>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Cuál es el estado de fuerza con que cuenta el municipio. </w:t>
      </w:r>
    </w:p>
    <w:p w14:paraId="3BC907BB" w14:textId="77777777" w:rsidR="00D6615D" w:rsidRPr="001B4CE0" w:rsidRDefault="000D168C">
      <w:pPr>
        <w:numPr>
          <w:ilvl w:val="0"/>
          <w:numId w:val="1"/>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Cuál es el tipo de armamento que usa la policía del municipio. </w:t>
      </w:r>
    </w:p>
    <w:p w14:paraId="2A3A6BE6" w14:textId="77777777" w:rsidR="00D6615D" w:rsidRPr="001B4CE0" w:rsidRDefault="000D168C">
      <w:pPr>
        <w:numPr>
          <w:ilvl w:val="0"/>
          <w:numId w:val="1"/>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Cuál es la antigüedad de las patrullas del municipio.</w:t>
      </w:r>
    </w:p>
    <w:p w14:paraId="1E4A1DAA" w14:textId="77777777" w:rsidR="00D6615D" w:rsidRPr="001B4CE0" w:rsidRDefault="000D168C">
      <w:pPr>
        <w:numPr>
          <w:ilvl w:val="0"/>
          <w:numId w:val="1"/>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Cuál es el presupuesto asignado a seguridad pública municipal. </w:t>
      </w:r>
    </w:p>
    <w:p w14:paraId="1C60C4B2" w14:textId="77777777" w:rsidR="00D6615D" w:rsidRPr="001B4CE0" w:rsidRDefault="000D168C">
      <w:pPr>
        <w:numPr>
          <w:ilvl w:val="0"/>
          <w:numId w:val="1"/>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b/>
        </w:rPr>
      </w:pPr>
      <w:r w:rsidRPr="001B4CE0">
        <w:rPr>
          <w:rFonts w:ascii="Palatino Linotype" w:eastAsia="Palatino Linotype" w:hAnsi="Palatino Linotype" w:cs="Palatino Linotype"/>
        </w:rPr>
        <w:t>Conocer si el ayuntamiento ha obtenido recursos estatales o federales para atender este rubro, "adjunte documentos probatorios".</w:t>
      </w:r>
      <w:r w:rsidRPr="001B4CE0">
        <w:rPr>
          <w:rFonts w:ascii="Palatino Linotype" w:eastAsia="Palatino Linotype" w:hAnsi="Palatino Linotype" w:cs="Palatino Linotype"/>
          <w:b/>
        </w:rPr>
        <w:t xml:space="preserve"> </w:t>
      </w:r>
    </w:p>
    <w:p w14:paraId="4766B482" w14:textId="77777777" w:rsidR="00D6615D" w:rsidRPr="001B4CE0" w:rsidRDefault="00D6615D">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4A27C2E2" w14:textId="77777777" w:rsidR="00D6615D" w:rsidRPr="001B4CE0" w:rsidRDefault="000D168C">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En respuesta, el </w:t>
      </w:r>
      <w:r w:rsidRPr="001B4CE0">
        <w:rPr>
          <w:rFonts w:ascii="Palatino Linotype" w:eastAsia="Palatino Linotype" w:hAnsi="Palatino Linotype" w:cs="Palatino Linotype"/>
          <w:b/>
        </w:rPr>
        <w:t>Sujeto Obligado</w:t>
      </w:r>
      <w:r w:rsidRPr="001B4CE0">
        <w:rPr>
          <w:rFonts w:ascii="Palatino Linotype" w:eastAsia="Palatino Linotype" w:hAnsi="Palatino Linotype" w:cs="Palatino Linotype"/>
        </w:rPr>
        <w:t xml:space="preserve">, a través del Director de Seguridad Pública de Mexicaltzingo informó: </w:t>
      </w:r>
    </w:p>
    <w:p w14:paraId="726C21E7" w14:textId="77777777" w:rsidR="00D6615D" w:rsidRPr="001B4CE0" w:rsidRDefault="00D6615D">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395D97E6" w14:textId="77777777" w:rsidR="00D6615D" w:rsidRPr="001B4CE0" w:rsidRDefault="000D168C">
      <w:pPr>
        <w:numPr>
          <w:ilvl w:val="3"/>
          <w:numId w:val="2"/>
        </w:numPr>
        <w:pBdr>
          <w:top w:val="nil"/>
          <w:left w:val="nil"/>
          <w:bottom w:val="nil"/>
          <w:right w:val="nil"/>
          <w:between w:val="nil"/>
        </w:pBdr>
        <w:spacing w:after="0" w:line="360" w:lineRule="auto"/>
        <w:ind w:left="851" w:right="843" w:firstLine="0"/>
        <w:jc w:val="both"/>
        <w:rPr>
          <w:rFonts w:ascii="Palatino Linotype" w:eastAsia="Palatino Linotype" w:hAnsi="Palatino Linotype" w:cs="Palatino Linotype"/>
        </w:rPr>
      </w:pPr>
      <w:r w:rsidRPr="001B4CE0">
        <w:rPr>
          <w:rFonts w:ascii="Palatino Linotype" w:eastAsia="Palatino Linotype" w:hAnsi="Palatino Linotype" w:cs="Palatino Linotype"/>
        </w:rPr>
        <w:lastRenderedPageBreak/>
        <w:t xml:space="preserve">Que la policía municipal es meramente de carácter preventivo, es por ello que, mediante sus atribuciones en coordinación con la Fiscalía General de Justicia del Estado de México, quien es la encargada de llevar a cabo las investigaciones pertinentes y demás cuerpos de seguridad, se llevaron a cabo diversos operativos en los diferentes puntos del municipio. </w:t>
      </w:r>
    </w:p>
    <w:p w14:paraId="56992B7E" w14:textId="77777777" w:rsidR="00D6615D" w:rsidRPr="001B4CE0" w:rsidRDefault="000D168C">
      <w:pPr>
        <w:numPr>
          <w:ilvl w:val="3"/>
          <w:numId w:val="2"/>
        </w:numPr>
        <w:pBdr>
          <w:top w:val="nil"/>
          <w:left w:val="nil"/>
          <w:bottom w:val="nil"/>
          <w:right w:val="nil"/>
          <w:between w:val="nil"/>
        </w:pBdr>
        <w:tabs>
          <w:tab w:val="left" w:pos="993"/>
        </w:tabs>
        <w:spacing w:after="0" w:line="360" w:lineRule="auto"/>
        <w:ind w:left="851" w:right="843" w:firstLine="0"/>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Que en cuanto hace al tipo de armamento que utilizan los elementos de seguridad es información confidencial y reservada, misma que no se puede dar a conocer mediante esta solicitud. </w:t>
      </w:r>
    </w:p>
    <w:p w14:paraId="4D2671EA" w14:textId="77777777" w:rsidR="00D6615D" w:rsidRPr="001B4CE0" w:rsidRDefault="000D168C">
      <w:pPr>
        <w:numPr>
          <w:ilvl w:val="3"/>
          <w:numId w:val="2"/>
        </w:numPr>
        <w:pBdr>
          <w:top w:val="nil"/>
          <w:left w:val="nil"/>
          <w:bottom w:val="nil"/>
          <w:right w:val="nil"/>
          <w:between w:val="nil"/>
        </w:pBdr>
        <w:tabs>
          <w:tab w:val="left" w:pos="993"/>
        </w:tabs>
        <w:spacing w:after="0" w:line="360" w:lineRule="auto"/>
        <w:ind w:left="851" w:right="843" w:firstLine="0"/>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Que el municipio cuenta con cuatro unidades útiles del modelo 2019 al 2023. </w:t>
      </w:r>
    </w:p>
    <w:p w14:paraId="56ED027C" w14:textId="77777777" w:rsidR="00D6615D" w:rsidRPr="001B4CE0" w:rsidRDefault="000D168C">
      <w:pPr>
        <w:numPr>
          <w:ilvl w:val="3"/>
          <w:numId w:val="2"/>
        </w:numPr>
        <w:pBdr>
          <w:top w:val="nil"/>
          <w:left w:val="nil"/>
          <w:bottom w:val="nil"/>
          <w:right w:val="nil"/>
          <w:between w:val="nil"/>
        </w:pBdr>
        <w:tabs>
          <w:tab w:val="left" w:pos="993"/>
        </w:tabs>
        <w:spacing w:after="0" w:line="360" w:lineRule="auto"/>
        <w:ind w:left="851" w:right="843" w:firstLine="0"/>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Que el presupuesto asignado a seguridad pública consiste en lo recibido por FASP y FOFISP. </w:t>
      </w:r>
    </w:p>
    <w:p w14:paraId="5D853F23" w14:textId="77777777" w:rsidR="00D6615D" w:rsidRPr="001B4CE0" w:rsidRDefault="000D168C">
      <w:pPr>
        <w:numPr>
          <w:ilvl w:val="3"/>
          <w:numId w:val="2"/>
        </w:numPr>
        <w:pBdr>
          <w:top w:val="nil"/>
          <w:left w:val="nil"/>
          <w:bottom w:val="nil"/>
          <w:right w:val="nil"/>
          <w:between w:val="nil"/>
        </w:pBdr>
        <w:tabs>
          <w:tab w:val="left" w:pos="993"/>
        </w:tabs>
        <w:spacing w:after="0" w:line="360" w:lineRule="auto"/>
        <w:ind w:left="851" w:right="843" w:firstLine="0"/>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Que el Ayuntamiento ha sido beneficiado con recursos federales, mismos que consisten en Fondo de Aportaciones para la Seguridad Pública (FASP) y Fondo para el Fortalecimiento de las Instituciones de Seguridad Pública (FOFISP). </w:t>
      </w:r>
    </w:p>
    <w:p w14:paraId="5BD417BA" w14:textId="77777777" w:rsidR="00D6615D" w:rsidRPr="001B4CE0" w:rsidRDefault="000D168C">
      <w:pPr>
        <w:numPr>
          <w:ilvl w:val="3"/>
          <w:numId w:val="2"/>
        </w:numPr>
        <w:pBdr>
          <w:top w:val="nil"/>
          <w:left w:val="nil"/>
          <w:bottom w:val="nil"/>
          <w:right w:val="nil"/>
          <w:between w:val="nil"/>
        </w:pBdr>
        <w:tabs>
          <w:tab w:val="left" w:pos="993"/>
        </w:tabs>
        <w:spacing w:after="0" w:line="360" w:lineRule="auto"/>
        <w:ind w:left="851" w:right="49" w:firstLine="0"/>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Que informó la entrega del Oficio número 206000000000000L/0143-58/2024 de fecha 8 de febrero del 2024 como Anexo Único; sin embargo, no se hizo entrega de este. </w:t>
      </w:r>
    </w:p>
    <w:p w14:paraId="729F17A1" w14:textId="77777777" w:rsidR="00D6615D" w:rsidRPr="001B4CE0" w:rsidRDefault="000D168C">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Derivado de lo anterior, la parte </w:t>
      </w:r>
      <w:r w:rsidRPr="001B4CE0">
        <w:rPr>
          <w:rFonts w:ascii="Palatino Linotype" w:eastAsia="Palatino Linotype" w:hAnsi="Palatino Linotype" w:cs="Palatino Linotype"/>
          <w:b/>
        </w:rPr>
        <w:t>Recurrente</w:t>
      </w:r>
      <w:r w:rsidRPr="001B4CE0">
        <w:rPr>
          <w:rFonts w:ascii="Palatino Linotype" w:eastAsia="Palatino Linotype" w:hAnsi="Palatino Linotype" w:cs="Palatino Linotype"/>
        </w:rPr>
        <w:t xml:space="preserve"> se inconformó arguyendo que el Ayuntamiento no contestó lo requerido y la alusión a la reserva de la información sin que se fundara y motivara. </w:t>
      </w:r>
    </w:p>
    <w:p w14:paraId="5C5A6C41" w14:textId="77777777" w:rsidR="00D6615D" w:rsidRPr="001B4CE0" w:rsidRDefault="00D6615D">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13F7E1B1"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Es así que, el </w:t>
      </w:r>
      <w:r w:rsidRPr="001B4CE0">
        <w:rPr>
          <w:rFonts w:ascii="Palatino Linotype" w:eastAsia="Palatino Linotype" w:hAnsi="Palatino Linotype" w:cs="Palatino Linotype"/>
          <w:b/>
        </w:rPr>
        <w:t>Recurrente</w:t>
      </w:r>
      <w:r w:rsidRPr="001B4CE0">
        <w:rPr>
          <w:rFonts w:ascii="Palatino Linotype" w:eastAsia="Palatino Linotype" w:hAnsi="Palatino Linotype" w:cs="Palatino Linotype"/>
        </w:rPr>
        <w:t xml:space="preserve"> no realizó manifestaciones, alegatos o pruebas que a su derecho convinieran y por su parte el </w:t>
      </w:r>
      <w:r w:rsidRPr="001B4CE0">
        <w:rPr>
          <w:rFonts w:ascii="Palatino Linotype" w:eastAsia="Palatino Linotype" w:hAnsi="Palatino Linotype" w:cs="Palatino Linotype"/>
          <w:b/>
        </w:rPr>
        <w:t>Sujeto Obligado</w:t>
      </w:r>
      <w:r w:rsidRPr="001B4CE0">
        <w:rPr>
          <w:rFonts w:ascii="Palatino Linotype" w:eastAsia="Palatino Linotype" w:hAnsi="Palatino Linotype" w:cs="Palatino Linotype"/>
        </w:rPr>
        <w:t xml:space="preserve">, fue omiso en hacer entrega del Informe Justificado. </w:t>
      </w:r>
    </w:p>
    <w:p w14:paraId="279A023E" w14:textId="77777777" w:rsidR="00D6615D" w:rsidRPr="001B4CE0" w:rsidRDefault="00D6615D">
      <w:pPr>
        <w:spacing w:after="0" w:line="360" w:lineRule="auto"/>
        <w:jc w:val="both"/>
        <w:rPr>
          <w:rFonts w:ascii="Palatino Linotype" w:eastAsia="Palatino Linotype" w:hAnsi="Palatino Linotype" w:cs="Palatino Linotype"/>
        </w:rPr>
      </w:pPr>
    </w:p>
    <w:p w14:paraId="5A54CE2D"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Expuestas las posturas de las partes, este Organismo Garante considera oportuno señalar que quien dio respuesta fue la Dirección de Seguridad Pública, de modo que el Bando Municipal de Mexicaltzingo vigente, refiere en su artículo 47 que para el despacho de los asuntos municipales, el Ayuntamiento se auxiliará de las dependencias de la Administración Pública Municipal que considere necesarias, entre ellas Tesorería y Dirección de Seguridad Pública. </w:t>
      </w:r>
    </w:p>
    <w:p w14:paraId="02768365" w14:textId="77777777" w:rsidR="00D6615D" w:rsidRPr="001B4CE0" w:rsidRDefault="00D6615D">
      <w:pPr>
        <w:spacing w:after="0" w:line="360" w:lineRule="auto"/>
        <w:jc w:val="both"/>
        <w:rPr>
          <w:rFonts w:ascii="Palatino Linotype" w:eastAsia="Palatino Linotype" w:hAnsi="Palatino Linotype" w:cs="Palatino Linotype"/>
        </w:rPr>
      </w:pPr>
    </w:p>
    <w:p w14:paraId="179B7483"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El artículo 78 del mismo ordenamiento legal señala que la actividad financiera del municipio corresponde al Ayuntamiento, por conducto de la Tesorería Municipal y se regirá por los principios y procedimientos que establece el Código Financiero, así como las disposiciones de Ley y procedimientos que establecen los órganos de fiscalización, rigiéndose bajo tres principales ejes: Responsabilidad Fiscal, Transparencia y Rendición de Cuentas y Finanzas Responsables. </w:t>
      </w:r>
    </w:p>
    <w:p w14:paraId="41D18F9F" w14:textId="77777777" w:rsidR="00D6615D" w:rsidRPr="001B4CE0" w:rsidRDefault="00D6615D">
      <w:pPr>
        <w:spacing w:after="0" w:line="360" w:lineRule="auto"/>
        <w:jc w:val="both"/>
        <w:rPr>
          <w:rFonts w:ascii="Palatino Linotype" w:eastAsia="Palatino Linotype" w:hAnsi="Palatino Linotype" w:cs="Palatino Linotype"/>
        </w:rPr>
      </w:pPr>
    </w:p>
    <w:p w14:paraId="1F7FA2ED"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Asimismo, el artículo 80 refiere que el Tesorero Municipal contará con las siguientes atribuciones: </w:t>
      </w:r>
    </w:p>
    <w:p w14:paraId="7E9A219B" w14:textId="77777777" w:rsidR="00D6615D" w:rsidRPr="001B4CE0" w:rsidRDefault="00D6615D">
      <w:pPr>
        <w:spacing w:after="0" w:line="360" w:lineRule="auto"/>
        <w:jc w:val="both"/>
        <w:rPr>
          <w:rFonts w:ascii="Palatino Linotype" w:eastAsia="Palatino Linotype" w:hAnsi="Palatino Linotype" w:cs="Palatino Linotype"/>
        </w:rPr>
      </w:pPr>
    </w:p>
    <w:p w14:paraId="7A082A65"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“I</w:t>
      </w:r>
      <w:r w:rsidRPr="001B4CE0">
        <w:rPr>
          <w:rFonts w:ascii="Palatino Linotype" w:eastAsia="Palatino Linotype" w:hAnsi="Palatino Linotype" w:cs="Palatino Linotype"/>
          <w:b/>
          <w:i/>
        </w:rPr>
        <w:t>. Administrar la Hacienda Pública Municipal</w:t>
      </w:r>
      <w:r w:rsidRPr="001B4CE0">
        <w:rPr>
          <w:rFonts w:ascii="Palatino Linotype" w:eastAsia="Palatino Linotype" w:hAnsi="Palatino Linotype" w:cs="Palatino Linotype"/>
          <w:i/>
        </w:rPr>
        <w:t>, de conformidad con las disposiciones legales aplicables;</w:t>
      </w:r>
    </w:p>
    <w:p w14:paraId="264F64E5"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II. Determinar, liquidar, recaudar, fiscalizar y administrar las contribuciones en los términos de los ordenamientos jurídicos aplicables y en su caso, aplicar el procedimiento administrativo de ejecución en términos de las disposiciones aplicables;</w:t>
      </w:r>
    </w:p>
    <w:p w14:paraId="4EDE76F0"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III. Imponer las sanciones administrativas que procedan por infracciones a las disposiciones fiscales;</w:t>
      </w:r>
    </w:p>
    <w:p w14:paraId="4785B58C" w14:textId="77777777" w:rsidR="00D6615D" w:rsidRPr="001B4CE0" w:rsidRDefault="000D168C">
      <w:pPr>
        <w:spacing w:after="0"/>
        <w:ind w:left="851" w:right="843"/>
        <w:jc w:val="both"/>
        <w:rPr>
          <w:rFonts w:ascii="Palatino Linotype" w:eastAsia="Palatino Linotype" w:hAnsi="Palatino Linotype" w:cs="Palatino Linotype"/>
          <w:b/>
          <w:i/>
        </w:rPr>
      </w:pPr>
      <w:r w:rsidRPr="001B4CE0">
        <w:rPr>
          <w:rFonts w:ascii="Palatino Linotype" w:eastAsia="Palatino Linotype" w:hAnsi="Palatino Linotype" w:cs="Palatino Linotype"/>
          <w:b/>
          <w:i/>
        </w:rPr>
        <w:t xml:space="preserve">IV. Proporcionar oportunamente al Ayuntamiento todos los datos o informes que sean necesarios para la formulación del Presupuesto de Egresos </w:t>
      </w:r>
      <w:r w:rsidRPr="001B4CE0">
        <w:rPr>
          <w:rFonts w:ascii="Palatino Linotype" w:eastAsia="Palatino Linotype" w:hAnsi="Palatino Linotype" w:cs="Palatino Linotype"/>
          <w:b/>
          <w:i/>
        </w:rPr>
        <w:lastRenderedPageBreak/>
        <w:t>Municipales, vigilando que se ajuste a las disposiciones de este Bando y otros ordenamientos aplicables;</w:t>
      </w:r>
    </w:p>
    <w:p w14:paraId="6F9285F6"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b/>
          <w:i/>
        </w:rPr>
        <w:t>V. Presentar anualmente al Ayuntamiento un informe de la situación contable financiera de la Tesorería Municipal</w:t>
      </w:r>
      <w:r w:rsidRPr="001B4CE0">
        <w:rPr>
          <w:rFonts w:ascii="Palatino Linotype" w:eastAsia="Palatino Linotype" w:hAnsi="Palatino Linotype" w:cs="Palatino Linotype"/>
          <w:i/>
        </w:rPr>
        <w:t>;</w:t>
      </w:r>
    </w:p>
    <w:p w14:paraId="632A20DB"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VI. Diseñar y aprobar las formas oficiales de manifestaciones, avisos y declaraciones y demás documentos requeridos;</w:t>
      </w:r>
    </w:p>
    <w:p w14:paraId="623B6060"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VII. Participar en la formulación de Convenios Fiscales y ejercer las atribuciones que le correspondan en el ámbito de su competencia;</w:t>
      </w:r>
    </w:p>
    <w:p w14:paraId="1AED3585"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VIII. Proponer al Ayuntamiento la cancelación de cuentas incobrables;</w:t>
      </w:r>
    </w:p>
    <w:p w14:paraId="192ADF59"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IX. Custodiar y ejercer las garantías que se otorguen en favor de la Hacienda Municipal;</w:t>
      </w:r>
    </w:p>
    <w:p w14:paraId="1CC71D5F"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X. Proponer la política de ingresos de la Tesorería Municipal;</w:t>
      </w:r>
    </w:p>
    <w:p w14:paraId="1DBE764B"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XI. Expedir copias certificadas de los documentos a su cuidado, por acuerdo expreso del Ayuntamiento y cuando se trate de documentación presentada ante el Órgano Superior de Fiscalización del Estado de México;</w:t>
      </w:r>
    </w:p>
    <w:p w14:paraId="2ECCD83D"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b/>
          <w:i/>
        </w:rPr>
        <w:t>XII. Recaudar y administrar los ingresos</w:t>
      </w:r>
      <w:r w:rsidRPr="001B4CE0">
        <w:rPr>
          <w:rFonts w:ascii="Palatino Linotype" w:eastAsia="Palatino Linotype" w:hAnsi="Palatino Linotype" w:cs="Palatino Linotype"/>
          <w:i/>
        </w:rPr>
        <w:t xml:space="preserve">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w:t>
      </w:r>
    </w:p>
    <w:p w14:paraId="03907075"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XIII. Dar cumplimiento a las leyes, convenios de coordinación fiscal y demás que en materia hacendaria que celebre el Ayuntamiento con el Estado; y</w:t>
      </w:r>
    </w:p>
    <w:p w14:paraId="5736F93E" w14:textId="77777777" w:rsidR="00D6615D" w:rsidRPr="001B4CE0" w:rsidRDefault="000D168C">
      <w:pP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XIV. Las demás que determine la Ley Orgánica Municipal y demás ordenamientos aplicables</w:t>
      </w:r>
    </w:p>
    <w:p w14:paraId="730496F6" w14:textId="77777777" w:rsidR="00D6615D" w:rsidRPr="001B4CE0" w:rsidRDefault="00D6615D">
      <w:pPr>
        <w:spacing w:after="0" w:line="360" w:lineRule="auto"/>
        <w:jc w:val="both"/>
        <w:rPr>
          <w:rFonts w:ascii="Palatino Linotype" w:eastAsia="Palatino Linotype" w:hAnsi="Palatino Linotype" w:cs="Palatino Linotype"/>
        </w:rPr>
      </w:pPr>
    </w:p>
    <w:p w14:paraId="12205A99"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Por otra parte, el artículo 140 señala que el Ayuntamiento establecerá las bases para la organización y funcionamiento de la Seguridad Pública y la Presidenta Municipal asumirá el mando directo del Cuerpo de Seguridad Pública Municipal, cuyo fin es el de salvaguardar la integridad física y los derechos de las personas, así como preservar las libertades, el orden y </w:t>
      </w:r>
      <w:r w:rsidRPr="001B4CE0">
        <w:rPr>
          <w:rFonts w:ascii="Palatino Linotype" w:eastAsia="Palatino Linotype" w:hAnsi="Palatino Linotype" w:cs="Palatino Linotype"/>
        </w:rPr>
        <w:lastRenderedPageBreak/>
        <w:t>la paz pública; el Ayuntamiento, a través de la Dirección de Seguridad Pública y la Coordinación de Protección Civil y Bomberos, prestará sus servicios en el Municipio.</w:t>
      </w:r>
    </w:p>
    <w:p w14:paraId="7E40638A" w14:textId="77777777" w:rsidR="00D6615D" w:rsidRPr="001B4CE0" w:rsidRDefault="00D6615D">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b/>
        </w:rPr>
      </w:pPr>
    </w:p>
    <w:p w14:paraId="07379BAC" w14:textId="77777777" w:rsidR="00D6615D" w:rsidRPr="001B4CE0" w:rsidRDefault="000D168C">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Aunado a ello, el mismo Bando Municipal establece que en materia de Seguridad Pública, la Presidenta Municipal a través de la Dirección de Seguridad Pública y la Coordinación de Protección Civil y Bomberos ejercerá, entre otras, las siguientes atribuciones:</w:t>
      </w:r>
    </w:p>
    <w:p w14:paraId="7B5BD6BE" w14:textId="77777777" w:rsidR="00D6615D" w:rsidRPr="001B4CE0" w:rsidRDefault="00D6615D">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b/>
        </w:rPr>
      </w:pPr>
    </w:p>
    <w:p w14:paraId="0D4A3F3F" w14:textId="77777777" w:rsidR="00D6615D" w:rsidRPr="001B4CE0" w:rsidRDefault="000D168C">
      <w:pPr>
        <w:pBdr>
          <w:top w:val="nil"/>
          <w:left w:val="nil"/>
          <w:bottom w:val="nil"/>
          <w:right w:val="nil"/>
          <w:between w:val="nil"/>
        </w:pBdr>
        <w:tabs>
          <w:tab w:val="left" w:pos="993"/>
        </w:tabs>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 xml:space="preserve">“I. </w:t>
      </w:r>
      <w:r w:rsidRPr="001B4CE0">
        <w:rPr>
          <w:rFonts w:ascii="Palatino Linotype" w:eastAsia="Palatino Linotype" w:hAnsi="Palatino Linotype" w:cs="Palatino Linotype"/>
          <w:b/>
          <w:i/>
        </w:rPr>
        <w:t>Suscribir convenios de coordinación y colaboración con el Gobierno del Estado de México, a través de la Secretaría de Seguridad Ciudadana y con otros municipios, para implementar mecanismos de prevención en la comisión de delitos y proteger a las personas, propiedades, posesiones y derechos, en el marco de la coordinación y atribuciones que correspondan al Municipio;</w:t>
      </w:r>
    </w:p>
    <w:p w14:paraId="7469100D" w14:textId="77777777" w:rsidR="00D6615D" w:rsidRPr="001B4CE0" w:rsidRDefault="000D168C">
      <w:pPr>
        <w:pBdr>
          <w:top w:val="nil"/>
          <w:left w:val="nil"/>
          <w:bottom w:val="nil"/>
          <w:right w:val="nil"/>
          <w:between w:val="nil"/>
        </w:pBdr>
        <w:tabs>
          <w:tab w:val="left" w:pos="993"/>
        </w:tabs>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II. Detener a los presuntos responsables en los casos de delito flagrante, poniéndolos inmediatamente a disposición del Ministerio Público y en caso de faltas administrativas estos se remitirán a la Oficialía Mediadora, Conciliadora y Calificadora según sea el caso;</w:t>
      </w:r>
    </w:p>
    <w:p w14:paraId="7D99BD74" w14:textId="77777777" w:rsidR="00D6615D" w:rsidRPr="001B4CE0" w:rsidRDefault="000D168C">
      <w:pPr>
        <w:pBdr>
          <w:top w:val="nil"/>
          <w:left w:val="nil"/>
          <w:bottom w:val="nil"/>
          <w:right w:val="nil"/>
          <w:between w:val="nil"/>
        </w:pBdr>
        <w:tabs>
          <w:tab w:val="left" w:pos="993"/>
        </w:tabs>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III. Auxiliar en el ejercicio de sus funciones al Ministerio Público, a las autoridades judiciales y administrativas cuando sea requerida para ello;</w:t>
      </w:r>
    </w:p>
    <w:p w14:paraId="0E05F95D" w14:textId="77777777" w:rsidR="00D6615D" w:rsidRPr="001B4CE0" w:rsidRDefault="000D168C">
      <w:pPr>
        <w:pBdr>
          <w:top w:val="nil"/>
          <w:left w:val="nil"/>
          <w:bottom w:val="nil"/>
          <w:right w:val="nil"/>
          <w:between w:val="nil"/>
        </w:pBdr>
        <w:tabs>
          <w:tab w:val="left" w:pos="993"/>
        </w:tabs>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IV. Llevar un estricto control de supervisión y vigilancia sobre el desarrollo de las actividades que realicen dentro del territorio municipal las corporaciones privadas de seguridad que previamente han sido autorizadas por el Ayuntamiento para ejercer sus actividades;</w:t>
      </w:r>
    </w:p>
    <w:p w14:paraId="163C1FC2" w14:textId="77777777" w:rsidR="00D6615D" w:rsidRPr="001B4CE0" w:rsidRDefault="000D168C">
      <w:pPr>
        <w:pBdr>
          <w:top w:val="nil"/>
          <w:left w:val="nil"/>
          <w:bottom w:val="nil"/>
          <w:right w:val="nil"/>
          <w:between w:val="nil"/>
        </w:pBdr>
        <w:tabs>
          <w:tab w:val="left" w:pos="993"/>
        </w:tabs>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V. Participar de manera activa y directa en las sesiones del Consejo Municipal de Seguridad Pública;</w:t>
      </w:r>
    </w:p>
    <w:p w14:paraId="1B9B0715" w14:textId="77777777" w:rsidR="00D6615D" w:rsidRPr="001B4CE0" w:rsidRDefault="000D168C">
      <w:pPr>
        <w:pBdr>
          <w:top w:val="nil"/>
          <w:left w:val="nil"/>
          <w:bottom w:val="nil"/>
          <w:right w:val="nil"/>
          <w:between w:val="nil"/>
        </w:pBdr>
        <w:tabs>
          <w:tab w:val="left" w:pos="993"/>
        </w:tabs>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VI. Participar en los Convenios, Acuerdos y Subsidios que celebre el Ayuntamiento en materia de Seguridad Pública, Protección Civil y Bomberos;</w:t>
      </w:r>
    </w:p>
    <w:p w14:paraId="256B6D8C" w14:textId="77777777" w:rsidR="00D6615D" w:rsidRPr="001B4CE0" w:rsidRDefault="000D168C">
      <w:pPr>
        <w:pBdr>
          <w:top w:val="nil"/>
          <w:left w:val="nil"/>
          <w:bottom w:val="nil"/>
          <w:right w:val="nil"/>
          <w:between w:val="nil"/>
        </w:pBdr>
        <w:tabs>
          <w:tab w:val="left" w:pos="993"/>
        </w:tabs>
        <w:spacing w:after="0"/>
        <w:ind w:left="851" w:right="843"/>
        <w:jc w:val="both"/>
        <w:rPr>
          <w:rFonts w:ascii="Palatino Linotype" w:eastAsia="Palatino Linotype" w:hAnsi="Palatino Linotype" w:cs="Palatino Linotype"/>
          <w:b/>
          <w:i/>
        </w:rPr>
      </w:pPr>
      <w:r w:rsidRPr="001B4CE0">
        <w:rPr>
          <w:rFonts w:ascii="Palatino Linotype" w:eastAsia="Palatino Linotype" w:hAnsi="Palatino Linotype" w:cs="Palatino Linotype"/>
          <w:b/>
          <w:i/>
        </w:rPr>
        <w:t>VII. Diseñar, implementar y concertar estrategias y acuerdos de manera coordinada entre la federación, el estado y municipios, en los operativos y demás acciones que se acuerden;</w:t>
      </w:r>
    </w:p>
    <w:p w14:paraId="25566130" w14:textId="77777777" w:rsidR="00D6615D" w:rsidRPr="001B4CE0" w:rsidRDefault="000D168C">
      <w:pPr>
        <w:pBdr>
          <w:top w:val="nil"/>
          <w:left w:val="nil"/>
          <w:bottom w:val="nil"/>
          <w:right w:val="nil"/>
          <w:between w:val="nil"/>
        </w:pBdr>
        <w:tabs>
          <w:tab w:val="left" w:pos="993"/>
        </w:tabs>
        <w:spacing w:after="0"/>
        <w:ind w:left="851" w:right="843"/>
        <w:jc w:val="both"/>
        <w:rPr>
          <w:rFonts w:ascii="Palatino Linotype" w:eastAsia="Palatino Linotype" w:hAnsi="Palatino Linotype" w:cs="Palatino Linotype"/>
          <w:b/>
          <w:i/>
        </w:rPr>
      </w:pPr>
      <w:r w:rsidRPr="001B4CE0">
        <w:rPr>
          <w:rFonts w:ascii="Palatino Linotype" w:eastAsia="Palatino Linotype" w:hAnsi="Palatino Linotype" w:cs="Palatino Linotype"/>
          <w:b/>
          <w:i/>
        </w:rPr>
        <w:lastRenderedPageBreak/>
        <w:t xml:space="preserve">VIII. Promover </w:t>
      </w:r>
      <w:r w:rsidRPr="001B4CE0">
        <w:rPr>
          <w:rFonts w:ascii="Palatino Linotype" w:eastAsia="Palatino Linotype" w:hAnsi="Palatino Linotype" w:cs="Palatino Linotype"/>
          <w:i/>
        </w:rPr>
        <w:t xml:space="preserve">la aplicación de cursos de capacitación y </w:t>
      </w:r>
      <w:r w:rsidRPr="001B4CE0">
        <w:rPr>
          <w:rFonts w:ascii="Palatino Linotype" w:eastAsia="Palatino Linotype" w:hAnsi="Palatino Linotype" w:cs="Palatino Linotype"/>
          <w:b/>
          <w:i/>
        </w:rPr>
        <w:t>el uso de tecnología, métodos y técnicas de investigación para fortalecer la protección y seguridad de los habitantes, generando un sistema de planeación y control policial que permita sistematizar la información que garantice la toma de decisiones y combatir la delincuencia; y</w:t>
      </w:r>
    </w:p>
    <w:p w14:paraId="7DDB334B" w14:textId="77777777" w:rsidR="00D6615D" w:rsidRPr="001B4CE0" w:rsidRDefault="000D168C">
      <w:pPr>
        <w:pBdr>
          <w:top w:val="nil"/>
          <w:left w:val="nil"/>
          <w:bottom w:val="nil"/>
          <w:right w:val="nil"/>
          <w:between w:val="nil"/>
        </w:pBdr>
        <w:tabs>
          <w:tab w:val="left" w:pos="993"/>
        </w:tabs>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IX. Las demás que le confieran las leyes en la materia.”</w:t>
      </w:r>
    </w:p>
    <w:p w14:paraId="5D4BC1AD" w14:textId="77777777" w:rsidR="00D6615D" w:rsidRPr="001B4CE0" w:rsidRDefault="00D6615D">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b/>
        </w:rPr>
      </w:pPr>
    </w:p>
    <w:p w14:paraId="3E51E662" w14:textId="77777777" w:rsidR="00D6615D" w:rsidRPr="001B4CE0" w:rsidRDefault="000D168C">
      <w:pPr>
        <w:spacing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Por lo tanto, se advierte que en el presente caso no se turnó la solicitud de información a todas las unidades administrativas competentes, puesto que de la revisión al expediente electrónico se advierte que la Unidad de Transparencia no cumplió con el procedimiento de búsqueda de la información, por haberse solicitado la misma únicamente a la Dirección de Seguridad Pública, siendo competente también la Tesorería Municipal.</w:t>
      </w:r>
    </w:p>
    <w:p w14:paraId="670023F4" w14:textId="77777777" w:rsidR="00D6615D" w:rsidRPr="001B4CE0" w:rsidRDefault="000D168C">
      <w:pPr>
        <w:spacing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Es así que, se procede al análisis pormenorizado de cada uno los requerimientos con la respuesta emitida por el </w:t>
      </w:r>
      <w:r w:rsidRPr="001B4CE0">
        <w:rPr>
          <w:rFonts w:ascii="Palatino Linotype" w:eastAsia="Palatino Linotype" w:hAnsi="Palatino Linotype" w:cs="Palatino Linotype"/>
          <w:b/>
        </w:rPr>
        <w:t>Sujeto Obligado</w:t>
      </w:r>
      <w:r w:rsidRPr="001B4CE0">
        <w:rPr>
          <w:rFonts w:ascii="Palatino Linotype" w:eastAsia="Palatino Linotype" w:hAnsi="Palatino Linotype" w:cs="Palatino Linotype"/>
        </w:rPr>
        <w:t xml:space="preserve">, a efecto de determinar si es suficiente para tener por colmado el derecho de acceso a la información de la parte </w:t>
      </w:r>
      <w:r w:rsidRPr="001B4CE0">
        <w:rPr>
          <w:rFonts w:ascii="Palatino Linotype" w:eastAsia="Palatino Linotype" w:hAnsi="Palatino Linotype" w:cs="Palatino Linotype"/>
          <w:b/>
        </w:rPr>
        <w:t>Recurrente</w:t>
      </w:r>
      <w:r w:rsidRPr="001B4CE0">
        <w:rPr>
          <w:rFonts w:ascii="Palatino Linotype" w:eastAsia="Palatino Linotype" w:hAnsi="Palatino Linotype" w:cs="Palatino Linotype"/>
        </w:rPr>
        <w:t>, o en su defecto ordenar la entrega del o los documentos que lo satisfagan.</w:t>
      </w:r>
    </w:p>
    <w:p w14:paraId="0B702621" w14:textId="77777777" w:rsidR="00D6615D" w:rsidRPr="001B4CE0" w:rsidRDefault="000D168C">
      <w:pPr>
        <w:numPr>
          <w:ilvl w:val="0"/>
          <w:numId w:val="6"/>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b/>
        </w:rPr>
      </w:pPr>
      <w:r w:rsidRPr="001B4CE0">
        <w:rPr>
          <w:rFonts w:ascii="Palatino Linotype" w:eastAsia="Palatino Linotype" w:hAnsi="Palatino Linotype" w:cs="Palatino Linotype"/>
          <w:b/>
        </w:rPr>
        <w:t xml:space="preserve">De las fosas clandestinas halladas en el municipio, requiero saber qué </w:t>
      </w:r>
      <w:r w:rsidRPr="001B4CE0">
        <w:rPr>
          <w:rFonts w:ascii="Palatino Linotype" w:eastAsia="Palatino Linotype" w:hAnsi="Palatino Linotype" w:cs="Palatino Linotype"/>
          <w:b/>
          <w:u w:val="single"/>
        </w:rPr>
        <w:t>acciones ha tomado la presidenta municipal para prevenir y erradicar este tipo de delitos</w:t>
      </w:r>
      <w:r w:rsidRPr="001B4CE0">
        <w:rPr>
          <w:rFonts w:ascii="Palatino Linotype" w:eastAsia="Palatino Linotype" w:hAnsi="Palatino Linotype" w:cs="Palatino Linotype"/>
          <w:b/>
        </w:rPr>
        <w:t xml:space="preserve">. </w:t>
      </w:r>
    </w:p>
    <w:p w14:paraId="68737556" w14:textId="77777777" w:rsidR="00D6615D" w:rsidRPr="001B4CE0" w:rsidRDefault="00D6615D">
      <w:pPr>
        <w:pBdr>
          <w:top w:val="nil"/>
          <w:left w:val="nil"/>
          <w:bottom w:val="nil"/>
          <w:right w:val="nil"/>
          <w:between w:val="nil"/>
        </w:pBdr>
        <w:tabs>
          <w:tab w:val="left" w:pos="993"/>
        </w:tabs>
        <w:spacing w:after="0" w:line="360" w:lineRule="auto"/>
        <w:ind w:left="720" w:right="49"/>
        <w:jc w:val="both"/>
        <w:rPr>
          <w:rFonts w:ascii="Palatino Linotype" w:eastAsia="Palatino Linotype" w:hAnsi="Palatino Linotype" w:cs="Palatino Linotype"/>
          <w:b/>
        </w:rPr>
      </w:pPr>
    </w:p>
    <w:p w14:paraId="30694AAC" w14:textId="77777777" w:rsidR="00D6615D" w:rsidRPr="001B4CE0" w:rsidRDefault="000D168C">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En respuesta el Director de Seguridad Pública informó que con fundamento en los artículos 20, 21 y 22 fracción X de la Ley de Seguridad del Estado de México, la policía municipal es meramente de carácter preventivo, es por ello que, mediante sus atribuciones en coordinación con la Fiscalía General de Justicia del Estado de México, quien es la encargada de llevar a cabo las investigaciones pertinentes y demás cuerpos de seguridad, </w:t>
      </w:r>
      <w:r w:rsidRPr="001B4CE0">
        <w:rPr>
          <w:rFonts w:ascii="Palatino Linotype" w:eastAsia="Palatino Linotype" w:hAnsi="Palatino Linotype" w:cs="Palatino Linotype"/>
          <w:b/>
          <w:u w:val="single"/>
        </w:rPr>
        <w:t>se llevaron a cabo diversos operativos en los diferentes puntos del municipio,</w:t>
      </w:r>
      <w:r w:rsidRPr="001B4CE0">
        <w:rPr>
          <w:rFonts w:ascii="Palatino Linotype" w:eastAsia="Palatino Linotype" w:hAnsi="Palatino Linotype" w:cs="Palatino Linotype"/>
        </w:rPr>
        <w:t xml:space="preserve"> adjuntando con ello, las siguientes evidencias: </w:t>
      </w:r>
    </w:p>
    <w:p w14:paraId="52626793" w14:textId="77777777" w:rsidR="00D6615D" w:rsidRPr="001B4CE0" w:rsidRDefault="000D168C">
      <w:pPr>
        <w:pBdr>
          <w:top w:val="nil"/>
          <w:left w:val="nil"/>
          <w:bottom w:val="nil"/>
          <w:right w:val="nil"/>
          <w:between w:val="nil"/>
        </w:pBdr>
        <w:tabs>
          <w:tab w:val="left" w:pos="993"/>
        </w:tabs>
        <w:spacing w:after="0" w:line="360" w:lineRule="auto"/>
        <w:ind w:right="49"/>
        <w:jc w:val="center"/>
        <w:rPr>
          <w:rFonts w:ascii="Palatino Linotype" w:eastAsia="Palatino Linotype" w:hAnsi="Palatino Linotype" w:cs="Palatino Linotype"/>
        </w:rPr>
      </w:pPr>
      <w:r w:rsidRPr="001B4CE0">
        <w:rPr>
          <w:rFonts w:ascii="Palatino Linotype" w:eastAsia="Palatino Linotype" w:hAnsi="Palatino Linotype" w:cs="Palatino Linotype"/>
          <w:i/>
          <w:noProof/>
          <w:lang w:eastAsia="es-MX"/>
        </w:rPr>
        <w:lastRenderedPageBreak/>
        <w:drawing>
          <wp:inline distT="0" distB="0" distL="0" distR="0" wp14:anchorId="79F2DD91" wp14:editId="752B0406">
            <wp:extent cx="5220977" cy="3792776"/>
            <wp:effectExtent l="0" t="0" r="0" b="0"/>
            <wp:docPr id="939555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220977" cy="3792776"/>
                    </a:xfrm>
                    <a:prstGeom prst="rect">
                      <a:avLst/>
                    </a:prstGeom>
                    <a:ln/>
                  </pic:spPr>
                </pic:pic>
              </a:graphicData>
            </a:graphic>
          </wp:inline>
        </w:drawing>
      </w:r>
    </w:p>
    <w:p w14:paraId="242C49FF" w14:textId="77777777" w:rsidR="00D6615D" w:rsidRPr="001B4CE0" w:rsidRDefault="000D168C">
      <w:pPr>
        <w:spacing w:line="360" w:lineRule="auto"/>
        <w:ind w:right="-93"/>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De este modo, se advierte que el </w:t>
      </w:r>
      <w:r w:rsidRPr="001B4CE0">
        <w:rPr>
          <w:rFonts w:ascii="Palatino Linotype" w:eastAsia="Palatino Linotype" w:hAnsi="Palatino Linotype" w:cs="Palatino Linotype"/>
          <w:b/>
        </w:rPr>
        <w:t>Sujeto Obligado</w:t>
      </w:r>
      <w:r w:rsidRPr="001B4CE0">
        <w:rPr>
          <w:rFonts w:ascii="Palatino Linotype" w:eastAsia="Palatino Linotype" w:hAnsi="Palatino Linotype" w:cs="Palatino Linotype"/>
        </w:rPr>
        <w:t xml:space="preserve"> hizo del conocimiento al particular que llevaron a cabo diversos operativos en los diferentes puntos del municipio para prevenir y erradicar este tipo de delitos, de modo que se tiene por atendido el punto de análisis. </w:t>
      </w:r>
    </w:p>
    <w:p w14:paraId="521F7C13" w14:textId="77777777" w:rsidR="00D6615D" w:rsidRPr="001B4CE0" w:rsidRDefault="000D168C">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1B4CE0">
        <w:rPr>
          <w:rFonts w:ascii="Palatino Linotype" w:eastAsia="Palatino Linotype" w:hAnsi="Palatino Linotype" w:cs="Palatino Linotype"/>
          <w:b/>
        </w:rPr>
        <w:t>Cuál es el estado de fuerza con que cuenta el municipio.</w:t>
      </w:r>
    </w:p>
    <w:p w14:paraId="1CE7C6D6" w14:textId="77777777" w:rsidR="00D6615D" w:rsidRPr="001B4CE0" w:rsidRDefault="00D6615D">
      <w:pPr>
        <w:pBdr>
          <w:top w:val="nil"/>
          <w:left w:val="nil"/>
          <w:bottom w:val="nil"/>
          <w:right w:val="nil"/>
          <w:between w:val="nil"/>
        </w:pBdr>
        <w:spacing w:after="0" w:line="360" w:lineRule="auto"/>
        <w:ind w:left="720"/>
        <w:jc w:val="both"/>
        <w:rPr>
          <w:rFonts w:ascii="Palatino Linotype" w:eastAsia="Palatino Linotype" w:hAnsi="Palatino Linotype" w:cs="Palatino Linotype"/>
          <w:b/>
        </w:rPr>
      </w:pPr>
    </w:p>
    <w:p w14:paraId="02C3C2BB"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Respecto a este punto, el </w:t>
      </w:r>
      <w:r w:rsidRPr="001B4CE0">
        <w:rPr>
          <w:rFonts w:ascii="Palatino Linotype" w:eastAsia="Palatino Linotype" w:hAnsi="Palatino Linotype" w:cs="Palatino Linotype"/>
          <w:b/>
        </w:rPr>
        <w:t>Sujeto Obligado</w:t>
      </w:r>
      <w:r w:rsidRPr="001B4CE0">
        <w:rPr>
          <w:rFonts w:ascii="Palatino Linotype" w:eastAsia="Palatino Linotype" w:hAnsi="Palatino Linotype" w:cs="Palatino Linotype"/>
        </w:rPr>
        <w:t xml:space="preserve"> fue omiso en emitir un pronunciamiento que diera atención al Derecho de Acceso a la Información de la parte Recurrente, por lo que conviene señalar que sobre el Estado de Fuerza del Municipio, el INEGI publica de manera anual el resultado del </w:t>
      </w:r>
      <w:r w:rsidRPr="001B4CE0">
        <w:rPr>
          <w:rFonts w:ascii="Palatino Linotype" w:eastAsia="Palatino Linotype" w:hAnsi="Palatino Linotype" w:cs="Palatino Linotype"/>
          <w:i/>
        </w:rPr>
        <w:t>Censo Nacional de Seguridad Pública Federal (CNSPF) 2023,</w:t>
      </w:r>
      <w:r w:rsidRPr="001B4CE0">
        <w:rPr>
          <w:rFonts w:ascii="Palatino Linotype" w:eastAsia="Palatino Linotype" w:hAnsi="Palatino Linotype" w:cs="Palatino Linotype"/>
        </w:rPr>
        <w:t xml:space="preserve"> en el que se incluye el </w:t>
      </w:r>
      <w:r w:rsidRPr="001B4CE0">
        <w:rPr>
          <w:rFonts w:ascii="Palatino Linotype" w:eastAsia="Palatino Linotype" w:hAnsi="Palatino Linotype" w:cs="Palatino Linotype"/>
          <w:b/>
          <w:i/>
        </w:rPr>
        <w:t>Estado de Fuerza</w:t>
      </w:r>
      <w:r w:rsidRPr="001B4CE0">
        <w:rPr>
          <w:rFonts w:ascii="Palatino Linotype" w:eastAsia="Palatino Linotype" w:hAnsi="Palatino Linotype" w:cs="Palatino Linotype"/>
          <w:b/>
        </w:rPr>
        <w:t xml:space="preserve"> </w:t>
      </w:r>
      <w:r w:rsidRPr="001B4CE0">
        <w:rPr>
          <w:rFonts w:ascii="Palatino Linotype" w:eastAsia="Palatino Linotype" w:hAnsi="Palatino Linotype" w:cs="Palatino Linotype"/>
        </w:rPr>
        <w:t xml:space="preserve">mínimo, que se refiere al número de elementos operativos en activo —excluyendo a personal administrativo, a policías municipales y a elementos adscritos a Instituciones de Procuración de Justicia o del Sistema Penitenciario— con los que cuenta la </w:t>
      </w:r>
      <w:r w:rsidRPr="001B4CE0">
        <w:rPr>
          <w:rFonts w:ascii="Palatino Linotype" w:eastAsia="Palatino Linotype" w:hAnsi="Palatino Linotype" w:cs="Palatino Linotype"/>
        </w:rPr>
        <w:lastRenderedPageBreak/>
        <w:t xml:space="preserve">policía preventiva estatal, en relación con su población. El indicador expresa el número de elementos por cada 1,000 habitantes. </w:t>
      </w:r>
    </w:p>
    <w:p w14:paraId="2B12423F" w14:textId="77777777" w:rsidR="00D6615D" w:rsidRPr="001B4CE0" w:rsidRDefault="00D6615D">
      <w:pPr>
        <w:spacing w:after="0" w:line="360" w:lineRule="auto"/>
        <w:jc w:val="both"/>
        <w:rPr>
          <w:rFonts w:ascii="Palatino Linotype" w:eastAsia="Palatino Linotype" w:hAnsi="Palatino Linotype" w:cs="Palatino Linotype"/>
        </w:rPr>
      </w:pPr>
    </w:p>
    <w:p w14:paraId="76843B36"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Así, el último informe corresponde al 17 de noviembre de 2023, consultable en </w:t>
      </w:r>
      <w:hyperlink r:id="rId11">
        <w:r w:rsidRPr="001B4CE0">
          <w:rPr>
            <w:rFonts w:ascii="Palatino Linotype" w:eastAsia="Palatino Linotype" w:hAnsi="Palatino Linotype" w:cs="Palatino Linotype"/>
            <w:u w:val="single"/>
          </w:rPr>
          <w:t>Censo Nacional de Seguridad Pública Federal 2023. Resultados (inegi.org.mx)</w:t>
        </w:r>
      </w:hyperlink>
      <w:r w:rsidRPr="001B4CE0">
        <w:rPr>
          <w:rFonts w:ascii="Palatino Linotype" w:eastAsia="Palatino Linotype" w:hAnsi="Palatino Linotype" w:cs="Palatino Linotype"/>
        </w:rPr>
        <w:t>, del que se advierten los siguientes datos:</w:t>
      </w:r>
    </w:p>
    <w:p w14:paraId="49E06CAB" w14:textId="77777777" w:rsidR="00D6615D" w:rsidRPr="001B4CE0" w:rsidRDefault="000D168C">
      <w:pPr>
        <w:rPr>
          <w:rFonts w:ascii="Palatino Linotype" w:eastAsia="Palatino Linotype" w:hAnsi="Palatino Linotype" w:cs="Palatino Linotype"/>
        </w:rPr>
      </w:pPr>
      <w:r w:rsidRPr="001B4CE0">
        <w:rPr>
          <w:rFonts w:ascii="Palatino Linotype" w:eastAsia="Palatino Linotype" w:hAnsi="Palatino Linotype" w:cs="Palatino Linotype"/>
          <w:noProof/>
          <w:lang w:eastAsia="es-MX"/>
        </w:rPr>
        <w:drawing>
          <wp:inline distT="0" distB="0" distL="0" distR="0" wp14:anchorId="0E46603B" wp14:editId="3CE66943">
            <wp:extent cx="5791835" cy="4062730"/>
            <wp:effectExtent l="0" t="0" r="0" b="0"/>
            <wp:docPr id="939555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91835" cy="4062730"/>
                    </a:xfrm>
                    <a:prstGeom prst="rect">
                      <a:avLst/>
                    </a:prstGeom>
                    <a:ln/>
                  </pic:spPr>
                </pic:pic>
              </a:graphicData>
            </a:graphic>
          </wp:inline>
        </w:drawing>
      </w:r>
    </w:p>
    <w:p w14:paraId="41B5C53F" w14:textId="77777777" w:rsidR="00D6615D" w:rsidRPr="001B4CE0" w:rsidRDefault="00D6615D">
      <w:pPr>
        <w:spacing w:line="360" w:lineRule="auto"/>
        <w:ind w:right="-93"/>
        <w:jc w:val="both"/>
        <w:rPr>
          <w:rFonts w:ascii="Palatino Linotype" w:eastAsia="Palatino Linotype" w:hAnsi="Palatino Linotype" w:cs="Palatino Linotype"/>
        </w:rPr>
      </w:pPr>
    </w:p>
    <w:p w14:paraId="755CD5A7" w14:textId="77777777" w:rsidR="00D6615D" w:rsidRPr="001B4CE0" w:rsidRDefault="000D168C">
      <w:pPr>
        <w:spacing w:line="360" w:lineRule="auto"/>
        <w:ind w:right="-93"/>
        <w:jc w:val="both"/>
        <w:rPr>
          <w:rFonts w:ascii="Palatino Linotype" w:eastAsia="Palatino Linotype" w:hAnsi="Palatino Linotype" w:cs="Palatino Linotype"/>
        </w:rPr>
      </w:pPr>
      <w:r w:rsidRPr="001B4CE0">
        <w:rPr>
          <w:rFonts w:ascii="Palatino Linotype" w:eastAsia="Palatino Linotype" w:hAnsi="Palatino Linotype" w:cs="Palatino Linotype"/>
        </w:rPr>
        <w:t>En ese sentido, entiéndase al Estado de Fuerza, como el número o estadístico de elementos operativos en activo de los policías municipales, así el Instructivo de llenado del Formato “</w:t>
      </w:r>
      <w:r w:rsidRPr="001B4CE0">
        <w:rPr>
          <w:rFonts w:ascii="Palatino Linotype" w:eastAsia="Palatino Linotype" w:hAnsi="Palatino Linotype" w:cs="Palatino Linotype"/>
          <w:i/>
        </w:rPr>
        <w:t>Personal de Seguridad Pública</w:t>
      </w:r>
      <w:r w:rsidRPr="001B4CE0">
        <w:rPr>
          <w:rFonts w:ascii="Palatino Linotype" w:eastAsia="Palatino Linotype" w:hAnsi="Palatino Linotype" w:cs="Palatino Linotype"/>
        </w:rPr>
        <w:t xml:space="preserve">”, del Secretariado Ejecutivo del Sistema Nacional de Seguridad </w:t>
      </w:r>
      <w:r w:rsidRPr="001B4CE0">
        <w:rPr>
          <w:rFonts w:ascii="Palatino Linotype" w:eastAsia="Palatino Linotype" w:hAnsi="Palatino Linotype" w:cs="Palatino Linotype"/>
        </w:rPr>
        <w:lastRenderedPageBreak/>
        <w:t xml:space="preserve">Pública (consultable en </w:t>
      </w:r>
      <w:hyperlink r:id="rId13">
        <w:r w:rsidRPr="001B4CE0">
          <w:rPr>
            <w:rFonts w:ascii="Palatino Linotype" w:eastAsia="Palatino Linotype" w:hAnsi="Palatino Linotype" w:cs="Palatino Linotype"/>
            <w:u w:val="single"/>
          </w:rPr>
          <w:t>http://secretariadoejecutivo.gob.mx/work/models/SecretariadoEjecutivo/Resource/328/1/images/instructivo_final_edo_fuerza(1).pdf)</w:t>
        </w:r>
      </w:hyperlink>
      <w:r w:rsidRPr="001B4CE0">
        <w:rPr>
          <w:rFonts w:ascii="Palatino Linotype" w:eastAsia="Palatino Linotype" w:hAnsi="Palatino Linotype" w:cs="Palatino Linotype"/>
        </w:rPr>
        <w:t xml:space="preserve"> establece que los elementos operativos de seguridad pública, son aquellos que desempeñan funciones de campo (policiacas, especializadas o equivalentes y que no </w:t>
      </w:r>
      <w:r w:rsidRPr="001B4CE0">
        <w:rPr>
          <w:rFonts w:ascii="Palatino Linotype" w:eastAsia="Palatino Linotype" w:hAnsi="Palatino Linotype" w:cs="Palatino Linotype"/>
          <w:b/>
        </w:rPr>
        <w:t>desempeña funciones de mando</w:t>
      </w:r>
      <w:r w:rsidRPr="001B4CE0">
        <w:rPr>
          <w:rFonts w:ascii="Palatino Linotype" w:eastAsia="Palatino Linotype" w:hAnsi="Palatino Linotype" w:cs="Palatino Linotype"/>
        </w:rPr>
        <w:t xml:space="preserve">), entre los cuales, se encuentra </w:t>
      </w:r>
      <w:r w:rsidRPr="001B4CE0">
        <w:rPr>
          <w:rFonts w:ascii="Palatino Linotype" w:eastAsia="Palatino Linotype" w:hAnsi="Palatino Linotype" w:cs="Palatino Linotype"/>
          <w:b/>
        </w:rPr>
        <w:t>la Policía Municipal</w:t>
      </w:r>
      <w:r w:rsidRPr="001B4CE0">
        <w:rPr>
          <w:rFonts w:ascii="Palatino Linotype" w:eastAsia="Palatino Linotype" w:hAnsi="Palatino Linotype" w:cs="Palatino Linotype"/>
        </w:rPr>
        <w:t>.</w:t>
      </w:r>
    </w:p>
    <w:p w14:paraId="057D6AB9" w14:textId="77777777" w:rsidR="00D6615D" w:rsidRPr="001B4CE0" w:rsidRDefault="000D168C">
      <w:pPr>
        <w:spacing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Atento a lo anterior, se advierte que la parte </w:t>
      </w:r>
      <w:r w:rsidRPr="001B4CE0">
        <w:rPr>
          <w:rFonts w:ascii="Palatino Linotype" w:eastAsia="Palatino Linotype" w:hAnsi="Palatino Linotype" w:cs="Palatino Linotype"/>
          <w:b/>
        </w:rPr>
        <w:t>Recurrente</w:t>
      </w:r>
      <w:r w:rsidRPr="001B4CE0">
        <w:rPr>
          <w:rFonts w:ascii="Palatino Linotype" w:eastAsia="Palatino Linotype" w:hAnsi="Palatino Linotype" w:cs="Palatino Linotype"/>
        </w:rPr>
        <w:t xml:space="preserve"> solicitó un dato de carácter estadístico, es decir, no solicitó un documento en específico, por lo que no conlleva a poner en riesgo la vida e integridad física con motivo de las funciones de los servidores públicos, es decir, es de naturaleza pública, y por lo tanto es susceptible de proporcionarse.</w:t>
      </w:r>
    </w:p>
    <w:p w14:paraId="3773E2D8" w14:textId="77777777" w:rsidR="00D6615D" w:rsidRPr="001B4CE0" w:rsidRDefault="000D168C">
      <w:pPr>
        <w:spacing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Resulta aplicable, el criterio establecido por el Instituto Nacional de Transparencia, que es del tenor literal siguiente:</w:t>
      </w:r>
    </w:p>
    <w:p w14:paraId="73D255AD" w14:textId="77777777" w:rsidR="00D6615D" w:rsidRPr="001B4CE0" w:rsidRDefault="000D168C">
      <w:pPr>
        <w:spacing w:after="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i/>
        </w:rPr>
        <w:t>“</w:t>
      </w:r>
      <w:r w:rsidRPr="001B4CE0">
        <w:rPr>
          <w:rFonts w:ascii="Palatino Linotype" w:eastAsia="Palatino Linotype" w:hAnsi="Palatino Linotype" w:cs="Palatino Linotype"/>
          <w:b/>
          <w:i/>
        </w:rPr>
        <w:t xml:space="preserve">Ejercicio del derecho de Acceso a la Información Pública. La información estadística es de naturaleza pública, independientemente de la materia con la que se encuentre vinculada. </w:t>
      </w:r>
      <w:r w:rsidRPr="001B4CE0">
        <w:rPr>
          <w:rFonts w:ascii="Palatino Linotype" w:eastAsia="Palatino Linotype" w:hAnsi="Palatino Linotype" w:cs="Palatino Linotype"/>
          <w:i/>
        </w:rPr>
        <w:t>Considerando que la información estadística es el producto de un conjunto de resultados cuantitativos obtenidos de un proceso sistemático de captación de datos primarios obtenidos sobre hechos que constan en documentos que los sujetos obligados poseen, derivado del ejercicio de sus atribuciones; con base en lo dispuesto por el artículo 70 fracción XLVIII de la Ley General de Transparencia y Acceso a la Información Pública, los sujetos obligados deberán poner a disposición del público, entre otra, la relativa a la que con base en la información estadística, responda a las preguntas hechas con más frecuencia por el público, por lo que es posible afirmar que la información estadística es de naturaleza pública, siempre y cuando los datos estadísticos no se encuentren individualizados o personalizados a casos o situaciones específicas, que pudieran llegar a justificar su clasificación.” Sic.</w:t>
      </w:r>
    </w:p>
    <w:p w14:paraId="672DCC8D" w14:textId="77777777" w:rsidR="00D6615D" w:rsidRPr="001B4CE0" w:rsidRDefault="00D6615D">
      <w:pPr>
        <w:spacing w:line="360" w:lineRule="auto"/>
        <w:jc w:val="both"/>
        <w:rPr>
          <w:rFonts w:ascii="Palatino Linotype" w:eastAsia="Palatino Linotype" w:hAnsi="Palatino Linotype" w:cs="Palatino Linotype"/>
        </w:rPr>
      </w:pPr>
    </w:p>
    <w:p w14:paraId="630D1D0E" w14:textId="77777777" w:rsidR="00D6615D" w:rsidRPr="001B4CE0" w:rsidRDefault="000D168C">
      <w:pPr>
        <w:spacing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lastRenderedPageBreak/>
        <w:t xml:space="preserve">En ese sentido, resulta dable ordenar la entrega del documento en donde conste el Estado de Fuerza, haciendo la precisión que este únicamente versa en el dato estadístico (cantidad) de los elementos policiacos adscritos al </w:t>
      </w:r>
      <w:r w:rsidRPr="001B4CE0">
        <w:rPr>
          <w:rFonts w:ascii="Palatino Linotype" w:eastAsia="Palatino Linotype" w:hAnsi="Palatino Linotype" w:cs="Palatino Linotype"/>
          <w:b/>
        </w:rPr>
        <w:t>Sujeto Obligado</w:t>
      </w:r>
      <w:r w:rsidRPr="001B4CE0">
        <w:rPr>
          <w:rFonts w:ascii="Palatino Linotype" w:eastAsia="Palatino Linotype" w:hAnsi="Palatino Linotype" w:cs="Palatino Linotype"/>
        </w:rPr>
        <w:t xml:space="preserve">, cuidando en todo momento la protección de los datos personales de los elementos de seguridad pública, tal como lo es el nombre de dichos elementos. </w:t>
      </w:r>
    </w:p>
    <w:p w14:paraId="09208824" w14:textId="77777777" w:rsidR="00D6615D" w:rsidRPr="001B4CE0" w:rsidRDefault="000D168C">
      <w:pPr>
        <w:numPr>
          <w:ilvl w:val="0"/>
          <w:numId w:val="1"/>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b/>
        </w:rPr>
      </w:pPr>
      <w:r w:rsidRPr="001B4CE0">
        <w:rPr>
          <w:rFonts w:ascii="Palatino Linotype" w:eastAsia="Palatino Linotype" w:hAnsi="Palatino Linotype" w:cs="Palatino Linotype"/>
          <w:b/>
        </w:rPr>
        <w:t xml:space="preserve">Cuál es el tipo de armamento que usa la policía del municipio. </w:t>
      </w:r>
    </w:p>
    <w:p w14:paraId="40138FB1" w14:textId="77777777" w:rsidR="00D6615D" w:rsidRPr="001B4CE0" w:rsidRDefault="00D6615D">
      <w:pPr>
        <w:pBdr>
          <w:top w:val="nil"/>
          <w:left w:val="nil"/>
          <w:bottom w:val="nil"/>
          <w:right w:val="nil"/>
          <w:between w:val="nil"/>
        </w:pBdr>
        <w:tabs>
          <w:tab w:val="left" w:pos="993"/>
        </w:tabs>
        <w:spacing w:after="0" w:line="360" w:lineRule="auto"/>
        <w:ind w:left="720" w:right="49"/>
        <w:jc w:val="both"/>
        <w:rPr>
          <w:rFonts w:ascii="Palatino Linotype" w:eastAsia="Palatino Linotype" w:hAnsi="Palatino Linotype" w:cs="Palatino Linotype"/>
          <w:b/>
        </w:rPr>
      </w:pPr>
    </w:p>
    <w:p w14:paraId="497C3F22"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Respecto a este punto, el </w:t>
      </w:r>
      <w:r w:rsidRPr="001B4CE0">
        <w:rPr>
          <w:rFonts w:ascii="Palatino Linotype" w:eastAsia="Palatino Linotype" w:hAnsi="Palatino Linotype" w:cs="Palatino Linotype"/>
          <w:b/>
        </w:rPr>
        <w:t>Sujeto Obligado</w:t>
      </w:r>
      <w:r w:rsidRPr="001B4CE0">
        <w:rPr>
          <w:rFonts w:ascii="Palatino Linotype" w:eastAsia="Palatino Linotype" w:hAnsi="Palatino Linotype" w:cs="Palatino Linotype"/>
        </w:rPr>
        <w:t xml:space="preserve"> a través del Director de Seguridad Pública de Mexicaltzingo informó que el armamento que utilizan los elementos de seguridad es información confidencial y reservada, misma que no se puede dar a conocer mediante esta solicitud.</w:t>
      </w:r>
    </w:p>
    <w:p w14:paraId="3E8EE048" w14:textId="77777777" w:rsidR="00D6615D" w:rsidRPr="001B4CE0" w:rsidRDefault="00D6615D">
      <w:pPr>
        <w:spacing w:after="0" w:line="360" w:lineRule="auto"/>
        <w:jc w:val="both"/>
        <w:rPr>
          <w:rFonts w:ascii="Palatino Linotype" w:eastAsia="Palatino Linotype" w:hAnsi="Palatino Linotype" w:cs="Palatino Linotype"/>
        </w:rPr>
      </w:pPr>
    </w:p>
    <w:p w14:paraId="0A3EF756" w14:textId="77777777" w:rsidR="00D6615D" w:rsidRPr="001B4CE0" w:rsidRDefault="000D168C">
      <w:pPr>
        <w:pBdr>
          <w:top w:val="nil"/>
          <w:left w:val="nil"/>
          <w:bottom w:val="nil"/>
          <w:right w:val="nil"/>
          <w:between w:val="nil"/>
        </w:pBdr>
        <w:spacing w:after="0" w:line="360" w:lineRule="auto"/>
        <w:ind w:right="96"/>
        <w:jc w:val="both"/>
        <w:rPr>
          <w:rFonts w:ascii="Palatino Linotype" w:eastAsia="Palatino Linotype" w:hAnsi="Palatino Linotype" w:cs="Palatino Linotype"/>
        </w:rPr>
      </w:pPr>
      <w:r w:rsidRPr="001B4CE0">
        <w:rPr>
          <w:rFonts w:ascii="Palatino Linotype" w:eastAsia="Palatino Linotype" w:hAnsi="Palatino Linotype" w:cs="Palatino Linotype"/>
        </w:rPr>
        <w:t>De este modo se procede a contextualizar la naturaleza de la información requerida; y, para tal efecto resulta conveniente señalar los artículos 24, 25 y 29 de la Ley Federal de Armas de Fuego y Explosivos; así como, los numerales 7, 22 y 28 de su Reglamento, los cuales establecen en la parte que nos interesa lo siguiente:</w:t>
      </w:r>
    </w:p>
    <w:p w14:paraId="2CA3552B" w14:textId="77777777" w:rsidR="00D6615D" w:rsidRPr="001B4CE0" w:rsidRDefault="00D6615D">
      <w:pPr>
        <w:shd w:val="clear" w:color="auto" w:fill="FFFFFF"/>
        <w:spacing w:after="0" w:line="240" w:lineRule="auto"/>
        <w:ind w:left="709" w:right="474"/>
        <w:jc w:val="center"/>
        <w:rPr>
          <w:rFonts w:ascii="Palatino Linotype" w:eastAsia="Palatino Linotype" w:hAnsi="Palatino Linotype" w:cs="Palatino Linotype"/>
          <w:b/>
          <w:i/>
        </w:rPr>
      </w:pPr>
    </w:p>
    <w:p w14:paraId="11070B92" w14:textId="77777777" w:rsidR="00D6615D" w:rsidRPr="001B4CE0" w:rsidRDefault="000D168C">
      <w:pPr>
        <w:shd w:val="clear" w:color="auto" w:fill="FFFFFF"/>
        <w:spacing w:after="0"/>
        <w:ind w:left="851" w:right="843"/>
        <w:jc w:val="center"/>
        <w:rPr>
          <w:rFonts w:ascii="Palatino Linotype" w:eastAsia="Palatino Linotype" w:hAnsi="Palatino Linotype" w:cs="Palatino Linotype"/>
          <w:b/>
        </w:rPr>
      </w:pPr>
      <w:r w:rsidRPr="001B4CE0">
        <w:rPr>
          <w:rFonts w:ascii="Palatino Linotype" w:eastAsia="Palatino Linotype" w:hAnsi="Palatino Linotype" w:cs="Palatino Linotype"/>
          <w:b/>
        </w:rPr>
        <w:t>Ley Federal de Armas de Fuego y Explosivos</w:t>
      </w:r>
    </w:p>
    <w:p w14:paraId="56539550" w14:textId="77777777" w:rsidR="00D6615D" w:rsidRPr="001B4CE0" w:rsidRDefault="000D168C">
      <w:pPr>
        <w:shd w:val="clear" w:color="auto" w:fill="FFFFFF"/>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b/>
          <w:i/>
        </w:rPr>
        <w:t>“Artículo 24.- Para portar armas se requiere la licencia respectiva</w:t>
      </w:r>
      <w:r w:rsidRPr="001B4CE0">
        <w:rPr>
          <w:rFonts w:ascii="Palatino Linotype" w:eastAsia="Palatino Linotype" w:hAnsi="Palatino Linotype" w:cs="Palatino Linotype"/>
          <w:i/>
        </w:rPr>
        <w:t>.</w:t>
      </w:r>
    </w:p>
    <w:p w14:paraId="5F93FD85" w14:textId="77777777" w:rsidR="00D6615D" w:rsidRPr="001B4CE0" w:rsidRDefault="000D168C">
      <w:pPr>
        <w:shd w:val="clear" w:color="auto" w:fill="FFFFFF"/>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Los miembros del Ejército, Armada y Fuerza Aérea quedan exceptuados de lo anterior, en los casos y condiciones que señalen las leyes y reglamentos aplicables.</w:t>
      </w:r>
    </w:p>
    <w:p w14:paraId="4B71C0E4" w14:textId="77777777" w:rsidR="00D6615D" w:rsidRPr="001B4CE0" w:rsidRDefault="000D168C">
      <w:pPr>
        <w:shd w:val="clear" w:color="auto" w:fill="FFFFFF"/>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 xml:space="preserve">Los integrantes de las </w:t>
      </w:r>
      <w:r w:rsidRPr="001B4CE0">
        <w:rPr>
          <w:rFonts w:ascii="Palatino Linotype" w:eastAsia="Palatino Linotype" w:hAnsi="Palatino Linotype" w:cs="Palatino Linotype"/>
          <w:b/>
          <w:i/>
        </w:rPr>
        <w:t>instituciones policiales</w:t>
      </w:r>
      <w:r w:rsidRPr="001B4CE0">
        <w:rPr>
          <w:rFonts w:ascii="Palatino Linotype" w:eastAsia="Palatino Linotype" w:hAnsi="Palatino Linotype" w:cs="Palatino Linotype"/>
          <w:i/>
        </w:rPr>
        <w:t xml:space="preserve">, federales, estatales, del Distrito Federal y </w:t>
      </w:r>
      <w:r w:rsidRPr="001B4CE0">
        <w:rPr>
          <w:rFonts w:ascii="Palatino Linotype" w:eastAsia="Palatino Linotype" w:hAnsi="Palatino Linotype" w:cs="Palatino Linotype"/>
          <w:b/>
          <w:i/>
        </w:rPr>
        <w:t>municipales</w:t>
      </w:r>
      <w:r w:rsidRPr="001B4CE0">
        <w:rPr>
          <w:rFonts w:ascii="Palatino Linotype" w:eastAsia="Palatino Linotype" w:hAnsi="Palatino Linotype" w:cs="Palatino Linotype"/>
          <w:i/>
        </w:rPr>
        <w:t xml:space="preserve">, así como de los servicios privados de seguridad, </w:t>
      </w:r>
      <w:r w:rsidRPr="001B4CE0">
        <w:rPr>
          <w:rFonts w:ascii="Palatino Linotype" w:eastAsia="Palatino Linotype" w:hAnsi="Palatino Linotype" w:cs="Palatino Linotype"/>
          <w:b/>
          <w:i/>
        </w:rPr>
        <w:t>podrán portar armas en los casos, condiciones y requisitos que establecen la presente ley</w:t>
      </w:r>
      <w:r w:rsidRPr="001B4CE0">
        <w:rPr>
          <w:rFonts w:ascii="Palatino Linotype" w:eastAsia="Palatino Linotype" w:hAnsi="Palatino Linotype" w:cs="Palatino Linotype"/>
          <w:i/>
        </w:rPr>
        <w:t xml:space="preserve"> y las demás disposiciones legales aplicables.</w:t>
      </w:r>
    </w:p>
    <w:p w14:paraId="6601C20B" w14:textId="77777777" w:rsidR="00D6615D" w:rsidRPr="001B4CE0" w:rsidRDefault="00D6615D">
      <w:pPr>
        <w:shd w:val="clear" w:color="auto" w:fill="FFFFFF"/>
        <w:spacing w:after="0"/>
        <w:ind w:left="851" w:right="843"/>
        <w:jc w:val="both"/>
        <w:rPr>
          <w:rFonts w:ascii="Palatino Linotype" w:eastAsia="Palatino Linotype" w:hAnsi="Palatino Linotype" w:cs="Palatino Linotype"/>
          <w:i/>
        </w:rPr>
      </w:pPr>
    </w:p>
    <w:p w14:paraId="6C7E0A51" w14:textId="77777777" w:rsidR="00D6615D" w:rsidRPr="001B4CE0" w:rsidRDefault="000D168C">
      <w:pPr>
        <w:shd w:val="clear" w:color="auto" w:fill="FFFFFF"/>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b/>
          <w:i/>
        </w:rPr>
        <w:t>Artículo 25</w:t>
      </w:r>
      <w:r w:rsidRPr="001B4CE0">
        <w:rPr>
          <w:rFonts w:ascii="Palatino Linotype" w:eastAsia="Palatino Linotype" w:hAnsi="Palatino Linotype" w:cs="Palatino Linotype"/>
          <w:i/>
        </w:rPr>
        <w:t xml:space="preserve">.- </w:t>
      </w:r>
      <w:r w:rsidRPr="001B4CE0">
        <w:rPr>
          <w:rFonts w:ascii="Palatino Linotype" w:eastAsia="Palatino Linotype" w:hAnsi="Palatino Linotype" w:cs="Palatino Linotype"/>
          <w:b/>
          <w:i/>
        </w:rPr>
        <w:t>Las licencias</w:t>
      </w:r>
      <w:r w:rsidRPr="001B4CE0">
        <w:rPr>
          <w:rFonts w:ascii="Palatino Linotype" w:eastAsia="Palatino Linotype" w:hAnsi="Palatino Linotype" w:cs="Palatino Linotype"/>
          <w:i/>
        </w:rPr>
        <w:t xml:space="preserve"> para la portación de armas </w:t>
      </w:r>
      <w:r w:rsidRPr="001B4CE0">
        <w:rPr>
          <w:rFonts w:ascii="Palatino Linotype" w:eastAsia="Palatino Linotype" w:hAnsi="Palatino Linotype" w:cs="Palatino Linotype"/>
          <w:b/>
          <w:i/>
        </w:rPr>
        <w:t>serán de dos clases</w:t>
      </w:r>
      <w:r w:rsidRPr="001B4CE0">
        <w:rPr>
          <w:rFonts w:ascii="Palatino Linotype" w:eastAsia="Palatino Linotype" w:hAnsi="Palatino Linotype" w:cs="Palatino Linotype"/>
          <w:i/>
        </w:rPr>
        <w:t>:</w:t>
      </w:r>
    </w:p>
    <w:p w14:paraId="3A5EBBF7" w14:textId="77777777" w:rsidR="00D6615D" w:rsidRPr="001B4CE0" w:rsidRDefault="000D168C">
      <w:pPr>
        <w:shd w:val="clear" w:color="auto" w:fill="FFFFFF"/>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I.- Particulares; que deberán revalidarse cada dos años, y</w:t>
      </w:r>
    </w:p>
    <w:p w14:paraId="5F5DB3FE" w14:textId="77777777" w:rsidR="00D6615D" w:rsidRPr="001B4CE0" w:rsidRDefault="000D168C">
      <w:pPr>
        <w:shd w:val="clear" w:color="auto" w:fill="FFFFFF"/>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lastRenderedPageBreak/>
        <w:t xml:space="preserve">II.- </w:t>
      </w:r>
      <w:r w:rsidRPr="001B4CE0">
        <w:rPr>
          <w:rFonts w:ascii="Palatino Linotype" w:eastAsia="Palatino Linotype" w:hAnsi="Palatino Linotype" w:cs="Palatino Linotype"/>
          <w:b/>
          <w:i/>
        </w:rPr>
        <w:t>Oficiales</w:t>
      </w:r>
      <w:r w:rsidRPr="001B4CE0">
        <w:rPr>
          <w:rFonts w:ascii="Palatino Linotype" w:eastAsia="Palatino Linotype" w:hAnsi="Palatino Linotype" w:cs="Palatino Linotype"/>
          <w:i/>
        </w:rPr>
        <w:t xml:space="preserve">, que </w:t>
      </w:r>
      <w:r w:rsidRPr="001B4CE0">
        <w:rPr>
          <w:rFonts w:ascii="Palatino Linotype" w:eastAsia="Palatino Linotype" w:hAnsi="Palatino Linotype" w:cs="Palatino Linotype"/>
          <w:b/>
          <w:i/>
        </w:rPr>
        <w:t>tendrán validez mientras se desempeñe el cargo</w:t>
      </w:r>
      <w:r w:rsidRPr="001B4CE0">
        <w:rPr>
          <w:rFonts w:ascii="Palatino Linotype" w:eastAsia="Palatino Linotype" w:hAnsi="Palatino Linotype" w:cs="Palatino Linotype"/>
          <w:i/>
        </w:rPr>
        <w:t xml:space="preserve"> o empleo que las motivó.</w:t>
      </w:r>
    </w:p>
    <w:p w14:paraId="28CEF922" w14:textId="77777777" w:rsidR="00D6615D" w:rsidRPr="001B4CE0" w:rsidRDefault="00D6615D">
      <w:pPr>
        <w:shd w:val="clear" w:color="auto" w:fill="FFFFFF"/>
        <w:spacing w:after="0"/>
        <w:ind w:left="851" w:right="843"/>
        <w:jc w:val="both"/>
        <w:rPr>
          <w:rFonts w:ascii="Palatino Linotype" w:eastAsia="Palatino Linotype" w:hAnsi="Palatino Linotype" w:cs="Palatino Linotype"/>
          <w:i/>
        </w:rPr>
      </w:pPr>
    </w:p>
    <w:p w14:paraId="2738495F" w14:textId="77777777" w:rsidR="00D6615D" w:rsidRPr="001B4CE0" w:rsidRDefault="000D168C">
      <w:pPr>
        <w:shd w:val="clear" w:color="auto" w:fill="FFFFFF"/>
        <w:spacing w:after="0"/>
        <w:ind w:left="851" w:right="843"/>
        <w:jc w:val="both"/>
        <w:rPr>
          <w:rFonts w:ascii="Palatino Linotype" w:eastAsia="Palatino Linotype" w:hAnsi="Palatino Linotype" w:cs="Palatino Linotype"/>
          <w:b/>
          <w:i/>
          <w:u w:val="single"/>
        </w:rPr>
      </w:pPr>
      <w:r w:rsidRPr="001B4CE0">
        <w:rPr>
          <w:rFonts w:ascii="Palatino Linotype" w:eastAsia="Palatino Linotype" w:hAnsi="Palatino Linotype" w:cs="Palatino Linotype"/>
          <w:b/>
          <w:i/>
          <w:u w:val="single"/>
        </w:rPr>
        <w:t>Artículo 29.- Las licencias oficiales para la portación de armas pueden ser colectivas o individuales.</w:t>
      </w:r>
    </w:p>
    <w:p w14:paraId="356387F2" w14:textId="77777777" w:rsidR="00D6615D" w:rsidRPr="001B4CE0" w:rsidRDefault="000D168C">
      <w:pPr>
        <w:shd w:val="clear" w:color="auto" w:fill="FFFFFF"/>
        <w:spacing w:after="0"/>
        <w:ind w:left="851" w:right="843"/>
        <w:jc w:val="both"/>
        <w:rPr>
          <w:rFonts w:ascii="Palatino Linotype" w:eastAsia="Palatino Linotype" w:hAnsi="Palatino Linotype" w:cs="Palatino Linotype"/>
          <w:b/>
          <w:i/>
        </w:rPr>
      </w:pPr>
      <w:r w:rsidRPr="001B4CE0">
        <w:rPr>
          <w:rFonts w:ascii="Palatino Linotype" w:eastAsia="Palatino Linotype" w:hAnsi="Palatino Linotype" w:cs="Palatino Linotype"/>
          <w:b/>
          <w:i/>
        </w:rPr>
        <w:t>I. Las licencias colectivas podrán expedirse a:</w:t>
      </w:r>
    </w:p>
    <w:p w14:paraId="46631EDD" w14:textId="77777777" w:rsidR="00D6615D" w:rsidRPr="001B4CE0" w:rsidRDefault="000D168C">
      <w:pPr>
        <w:shd w:val="clear" w:color="auto" w:fill="FFFFFF"/>
        <w:spacing w:after="0"/>
        <w:ind w:left="851" w:right="843"/>
        <w:jc w:val="both"/>
        <w:rPr>
          <w:rFonts w:ascii="Palatino Linotype" w:eastAsia="Palatino Linotype" w:hAnsi="Palatino Linotype" w:cs="Palatino Linotype"/>
          <w:b/>
          <w:i/>
        </w:rPr>
      </w:pPr>
      <w:r w:rsidRPr="001B4CE0">
        <w:rPr>
          <w:rFonts w:ascii="Palatino Linotype" w:eastAsia="Palatino Linotype" w:hAnsi="Palatino Linotype" w:cs="Palatino Linotype"/>
          <w:b/>
          <w:i/>
        </w:rPr>
        <w:t>A. Las dependencias oficiales y organismos públicos federales a cuyo cargo se encuentran las instalaciones estratégicas del país.</w:t>
      </w:r>
    </w:p>
    <w:p w14:paraId="63A3D6DB" w14:textId="77777777" w:rsidR="00D6615D" w:rsidRPr="001B4CE0" w:rsidRDefault="000D168C">
      <w:pPr>
        <w:shd w:val="clear" w:color="auto" w:fill="FFFFFF"/>
        <w:spacing w:after="0"/>
        <w:ind w:left="851" w:right="843"/>
        <w:jc w:val="both"/>
        <w:rPr>
          <w:rFonts w:ascii="Palatino Linotype" w:eastAsia="Palatino Linotype" w:hAnsi="Palatino Linotype" w:cs="Palatino Linotype"/>
          <w:b/>
          <w:i/>
        </w:rPr>
      </w:pPr>
      <w:r w:rsidRPr="001B4CE0">
        <w:rPr>
          <w:rFonts w:ascii="Palatino Linotype" w:eastAsia="Palatino Linotype" w:hAnsi="Palatino Linotype" w:cs="Palatino Linotype"/>
          <w:b/>
          <w:i/>
        </w:rPr>
        <w:t>…</w:t>
      </w:r>
    </w:p>
    <w:p w14:paraId="1F766FD8" w14:textId="77777777" w:rsidR="00D6615D" w:rsidRPr="001B4CE0" w:rsidRDefault="000D168C">
      <w:pPr>
        <w:shd w:val="clear" w:color="auto" w:fill="FFFFFF"/>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b/>
          <w:i/>
        </w:rPr>
        <w:t>B. Las instituciones policiales</w:t>
      </w:r>
      <w:r w:rsidRPr="001B4CE0">
        <w:rPr>
          <w:rFonts w:ascii="Palatino Linotype" w:eastAsia="Palatino Linotype" w:hAnsi="Palatino Linotype" w:cs="Palatino Linotype"/>
          <w:i/>
        </w:rPr>
        <w:t>. Estas licencias se sujetarán a los lineamientos siguientes:</w:t>
      </w:r>
    </w:p>
    <w:p w14:paraId="1DAD749B" w14:textId="77777777" w:rsidR="00D6615D" w:rsidRPr="001B4CE0" w:rsidRDefault="000D168C">
      <w:pPr>
        <w:shd w:val="clear" w:color="auto" w:fill="FFFFFF"/>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a) Dichas instituciones deberán cumplir con las disposiciones legales de orden federal o local que resulten aplicables.</w:t>
      </w:r>
    </w:p>
    <w:p w14:paraId="225F2E8F" w14:textId="77777777" w:rsidR="00D6615D" w:rsidRPr="001B4CE0" w:rsidRDefault="00D6615D">
      <w:pPr>
        <w:shd w:val="clear" w:color="auto" w:fill="FFFFFF"/>
        <w:spacing w:after="0"/>
        <w:ind w:left="851" w:right="843"/>
        <w:jc w:val="both"/>
        <w:rPr>
          <w:rFonts w:ascii="Palatino Linotype" w:eastAsia="Palatino Linotype" w:hAnsi="Palatino Linotype" w:cs="Palatino Linotype"/>
          <w:i/>
        </w:rPr>
      </w:pPr>
    </w:p>
    <w:p w14:paraId="3889EC08" w14:textId="77777777" w:rsidR="00D6615D" w:rsidRPr="001B4CE0" w:rsidRDefault="000D168C">
      <w:pPr>
        <w:shd w:val="clear" w:color="auto" w:fill="FFFFFF"/>
        <w:spacing w:after="0"/>
        <w:ind w:left="851" w:right="843"/>
        <w:jc w:val="center"/>
        <w:rPr>
          <w:rFonts w:ascii="Palatino Linotype" w:eastAsia="Palatino Linotype" w:hAnsi="Palatino Linotype" w:cs="Palatino Linotype"/>
          <w:b/>
        </w:rPr>
      </w:pPr>
      <w:r w:rsidRPr="001B4CE0">
        <w:rPr>
          <w:rFonts w:ascii="Palatino Linotype" w:eastAsia="Palatino Linotype" w:hAnsi="Palatino Linotype" w:cs="Palatino Linotype"/>
          <w:b/>
        </w:rPr>
        <w:t>Reglamento de la Ley Federal de Armas de Fuego y Explosivos</w:t>
      </w:r>
    </w:p>
    <w:p w14:paraId="1E30BEB5" w14:textId="77777777" w:rsidR="00D6615D" w:rsidRPr="001B4CE0" w:rsidRDefault="000D168C">
      <w:pPr>
        <w:shd w:val="clear" w:color="auto" w:fill="FFFFFF"/>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b/>
          <w:i/>
        </w:rPr>
        <w:t>“ARTICULO 7o.- La portación de armas</w:t>
      </w:r>
      <w:r w:rsidRPr="001B4CE0">
        <w:rPr>
          <w:rFonts w:ascii="Palatino Linotype" w:eastAsia="Palatino Linotype" w:hAnsi="Palatino Linotype" w:cs="Palatino Linotype"/>
          <w:i/>
        </w:rPr>
        <w:t xml:space="preserve"> se ajustará estrictamente a lo dispuesto en las </w:t>
      </w:r>
      <w:r w:rsidRPr="001B4CE0">
        <w:rPr>
          <w:rFonts w:ascii="Palatino Linotype" w:eastAsia="Palatino Linotype" w:hAnsi="Palatino Linotype" w:cs="Palatino Linotype"/>
          <w:b/>
          <w:i/>
        </w:rPr>
        <w:t>licencias respectivas.</w:t>
      </w:r>
      <w:r w:rsidRPr="001B4CE0">
        <w:rPr>
          <w:rFonts w:ascii="Palatino Linotype" w:eastAsia="Palatino Linotype" w:hAnsi="Palatino Linotype" w:cs="Palatino Linotype"/>
          <w:i/>
        </w:rPr>
        <w:t xml:space="preserve"> </w:t>
      </w:r>
    </w:p>
    <w:p w14:paraId="4F10EA63" w14:textId="77777777" w:rsidR="00D6615D" w:rsidRPr="001B4CE0" w:rsidRDefault="00D6615D">
      <w:pPr>
        <w:shd w:val="clear" w:color="auto" w:fill="FFFFFF"/>
        <w:spacing w:after="0"/>
        <w:ind w:left="851" w:right="843"/>
        <w:jc w:val="both"/>
        <w:rPr>
          <w:rFonts w:ascii="Palatino Linotype" w:eastAsia="Palatino Linotype" w:hAnsi="Palatino Linotype" w:cs="Palatino Linotype"/>
          <w:i/>
        </w:rPr>
      </w:pPr>
    </w:p>
    <w:p w14:paraId="56FCC07D" w14:textId="77777777" w:rsidR="00D6615D" w:rsidRPr="001B4CE0" w:rsidRDefault="000D168C">
      <w:pPr>
        <w:shd w:val="clear" w:color="auto" w:fill="FFFFFF"/>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b/>
          <w:i/>
        </w:rPr>
        <w:t>ARTÍCULO 22.- Las licencias</w:t>
      </w:r>
      <w:r w:rsidRPr="001B4CE0">
        <w:rPr>
          <w:rFonts w:ascii="Palatino Linotype" w:eastAsia="Palatino Linotype" w:hAnsi="Palatino Linotype" w:cs="Palatino Linotype"/>
          <w:i/>
        </w:rPr>
        <w:t xml:space="preserve"> particulares y las </w:t>
      </w:r>
      <w:r w:rsidRPr="001B4CE0">
        <w:rPr>
          <w:rFonts w:ascii="Palatino Linotype" w:eastAsia="Palatino Linotype" w:hAnsi="Palatino Linotype" w:cs="Palatino Linotype"/>
          <w:b/>
          <w:i/>
        </w:rPr>
        <w:t>oficiales colectivas</w:t>
      </w:r>
      <w:r w:rsidRPr="001B4CE0">
        <w:rPr>
          <w:rFonts w:ascii="Palatino Linotype" w:eastAsia="Palatino Linotype" w:hAnsi="Palatino Linotype" w:cs="Palatino Linotype"/>
          <w:i/>
        </w:rPr>
        <w:t xml:space="preserve"> para la portación de armas, </w:t>
      </w:r>
      <w:r w:rsidRPr="001B4CE0">
        <w:rPr>
          <w:rFonts w:ascii="Palatino Linotype" w:eastAsia="Palatino Linotype" w:hAnsi="Palatino Linotype" w:cs="Palatino Linotype"/>
          <w:b/>
          <w:i/>
        </w:rPr>
        <w:t>serán expedidas exclusivamente por la Secretaría</w:t>
      </w:r>
      <w:r w:rsidRPr="001B4CE0">
        <w:rPr>
          <w:rFonts w:ascii="Palatino Linotype" w:eastAsia="Palatino Linotype" w:hAnsi="Palatino Linotype" w:cs="Palatino Linotype"/>
          <w:i/>
        </w:rPr>
        <w:t>.</w:t>
      </w:r>
    </w:p>
    <w:p w14:paraId="39716429" w14:textId="77777777" w:rsidR="00D6615D" w:rsidRPr="001B4CE0" w:rsidRDefault="000D168C">
      <w:pPr>
        <w:shd w:val="clear" w:color="auto" w:fill="FFFFFF"/>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Para las licencias particulares se cubrirán anticipadamente los derechos que procedan.</w:t>
      </w:r>
    </w:p>
    <w:p w14:paraId="4E1C502F" w14:textId="77777777" w:rsidR="00D6615D" w:rsidRPr="001B4CE0" w:rsidRDefault="000D168C">
      <w:pPr>
        <w:shd w:val="clear" w:color="auto" w:fill="FFFFFF"/>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Los Generales, Jefes y Oficiales del Ejército, Fuerza Aérea y Armada de México, que vestidos de civil porten armas, deberán identificarse con su credencial, cuantas veces sean requeridos para ello por autoridad competente.</w:t>
      </w:r>
    </w:p>
    <w:p w14:paraId="2F3D0C5E" w14:textId="77777777" w:rsidR="00D6615D" w:rsidRPr="001B4CE0" w:rsidRDefault="000D168C">
      <w:pPr>
        <w:shd w:val="clear" w:color="auto" w:fill="FFFFFF"/>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Los individuos de tropa en actos fuera del servicio, sólo podrán portar armas cuando tengan autorización escrita de la Secretaría de la Defensa Nacional o de Marina, en su caso.</w:t>
      </w:r>
    </w:p>
    <w:p w14:paraId="54103E33" w14:textId="77777777" w:rsidR="00D6615D" w:rsidRPr="001B4CE0" w:rsidRDefault="000D168C">
      <w:pPr>
        <w:shd w:val="clear" w:color="auto" w:fill="FFFFFF"/>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b/>
          <w:i/>
        </w:rPr>
        <w:t>ARTICULO 28</w:t>
      </w:r>
      <w:r w:rsidRPr="001B4CE0">
        <w:rPr>
          <w:rFonts w:ascii="Palatino Linotype" w:eastAsia="Palatino Linotype" w:hAnsi="Palatino Linotype" w:cs="Palatino Linotype"/>
          <w:i/>
        </w:rPr>
        <w:t xml:space="preserve">.- Las </w:t>
      </w:r>
      <w:r w:rsidRPr="001B4CE0">
        <w:rPr>
          <w:rFonts w:ascii="Palatino Linotype" w:eastAsia="Palatino Linotype" w:hAnsi="Palatino Linotype" w:cs="Palatino Linotype"/>
          <w:b/>
          <w:i/>
        </w:rPr>
        <w:t>licencias oficiales</w:t>
      </w:r>
      <w:r w:rsidRPr="001B4CE0">
        <w:rPr>
          <w:rFonts w:ascii="Palatino Linotype" w:eastAsia="Palatino Linotype" w:hAnsi="Palatino Linotype" w:cs="Palatino Linotype"/>
          <w:i/>
        </w:rPr>
        <w:t xml:space="preserve"> y las que se gestionen para empleos o cargos de los Estados o </w:t>
      </w:r>
      <w:r w:rsidRPr="001B4CE0">
        <w:rPr>
          <w:rFonts w:ascii="Palatino Linotype" w:eastAsia="Palatino Linotype" w:hAnsi="Palatino Linotype" w:cs="Palatino Linotype"/>
          <w:b/>
          <w:i/>
        </w:rPr>
        <w:t>de los Municipios</w:t>
      </w:r>
      <w:r w:rsidRPr="001B4CE0">
        <w:rPr>
          <w:rFonts w:ascii="Palatino Linotype" w:eastAsia="Palatino Linotype" w:hAnsi="Palatino Linotype" w:cs="Palatino Linotype"/>
          <w:i/>
        </w:rPr>
        <w:t xml:space="preserve">, se expedirán </w:t>
      </w:r>
      <w:r w:rsidRPr="001B4CE0">
        <w:rPr>
          <w:rFonts w:ascii="Palatino Linotype" w:eastAsia="Palatino Linotype" w:hAnsi="Palatino Linotype" w:cs="Palatino Linotype"/>
          <w:b/>
          <w:i/>
        </w:rPr>
        <w:t>previa petición de la autoridad de quien dependa el interesado</w:t>
      </w:r>
      <w:r w:rsidRPr="001B4CE0">
        <w:rPr>
          <w:rFonts w:ascii="Palatino Linotype" w:eastAsia="Palatino Linotype" w:hAnsi="Palatino Linotype" w:cs="Palatino Linotype"/>
          <w:i/>
        </w:rPr>
        <w:t>; en las colectivas, se acompañará, además, constancia o certificado de que el personal para el que se pretende la licencia, figura en nóminas de pago.”</w:t>
      </w:r>
    </w:p>
    <w:p w14:paraId="0E2F1262" w14:textId="77777777" w:rsidR="00D6615D" w:rsidRPr="001B4CE0" w:rsidRDefault="000D168C">
      <w:pPr>
        <w:shd w:val="clear" w:color="auto" w:fill="FFFFFF"/>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(Énfasis añadido)</w:t>
      </w:r>
    </w:p>
    <w:p w14:paraId="3EE0E3A3" w14:textId="77777777" w:rsidR="00D6615D" w:rsidRPr="001B4CE0" w:rsidRDefault="00D6615D">
      <w:pPr>
        <w:shd w:val="clear" w:color="auto" w:fill="FFFFFF"/>
        <w:spacing w:after="0" w:line="360" w:lineRule="auto"/>
        <w:jc w:val="both"/>
        <w:rPr>
          <w:rFonts w:ascii="Palatino Linotype" w:eastAsia="Palatino Linotype" w:hAnsi="Palatino Linotype" w:cs="Palatino Linotype"/>
        </w:rPr>
      </w:pPr>
    </w:p>
    <w:p w14:paraId="5489BA3B" w14:textId="77777777" w:rsidR="00D6615D" w:rsidRPr="001B4CE0" w:rsidRDefault="000D168C">
      <w:pPr>
        <w:shd w:val="clear" w:color="auto" w:fill="FFFFFF"/>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Del precepto anterior, tenemos que la Secretaría de la Defensa Nacional (SEDENA) es la autoridad competente para emitir las licencias para portación de armas de fuego, y estas serán, para los efectos que nos ocupan, las correspondientes a las Licencias Oficiales Colectivas, cuyo trámite es a cargo del Titular del Ejecutivo de cada entidad como lo señalan los procedimientos descritos en su portal de internet oficial de la SEDENA, que puede ser consultada a través de la siguiente liga electrónica </w:t>
      </w:r>
      <w:hyperlink r:id="rId14">
        <w:r w:rsidRPr="001B4CE0">
          <w:rPr>
            <w:rFonts w:ascii="Palatino Linotype" w:eastAsia="Palatino Linotype" w:hAnsi="Palatino Linotype" w:cs="Palatino Linotype"/>
            <w:u w:val="single"/>
          </w:rPr>
          <w:t>https://www.gob.mx/sedena/documentos/expedicion-de-una-licencia-oficial-colectiva</w:t>
        </w:r>
      </w:hyperlink>
      <w:r w:rsidRPr="001B4CE0">
        <w:rPr>
          <w:rFonts w:ascii="Palatino Linotype" w:eastAsia="Palatino Linotype" w:hAnsi="Palatino Linotype" w:cs="Palatino Linotype"/>
        </w:rPr>
        <w:t>:</w:t>
      </w:r>
    </w:p>
    <w:p w14:paraId="42BA575B" w14:textId="77777777" w:rsidR="00D6615D" w:rsidRPr="001B4CE0" w:rsidRDefault="00D6615D">
      <w:pPr>
        <w:shd w:val="clear" w:color="auto" w:fill="FFFFFF"/>
        <w:spacing w:after="0" w:line="240" w:lineRule="auto"/>
        <w:ind w:left="709" w:right="474"/>
        <w:jc w:val="center"/>
        <w:rPr>
          <w:rFonts w:ascii="Palatino Linotype" w:eastAsia="Palatino Linotype" w:hAnsi="Palatino Linotype" w:cs="Palatino Linotype"/>
          <w:b/>
          <w:i/>
        </w:rPr>
      </w:pPr>
    </w:p>
    <w:p w14:paraId="01B60372" w14:textId="77777777" w:rsidR="00D6615D" w:rsidRPr="001B4CE0" w:rsidRDefault="000D168C">
      <w:pPr>
        <w:shd w:val="clear" w:color="auto" w:fill="FFFFFF"/>
        <w:spacing w:line="360" w:lineRule="auto"/>
        <w:jc w:val="center"/>
        <w:rPr>
          <w:rFonts w:ascii="Palatino Linotype" w:eastAsia="Palatino Linotype" w:hAnsi="Palatino Linotype" w:cs="Palatino Linotype"/>
        </w:rPr>
      </w:pPr>
      <w:r w:rsidRPr="001B4CE0">
        <w:rPr>
          <w:rFonts w:ascii="Palatino Linotype" w:eastAsia="Palatino Linotype" w:hAnsi="Palatino Linotype" w:cs="Palatino Linotype"/>
          <w:noProof/>
          <w:lang w:eastAsia="es-MX"/>
        </w:rPr>
        <w:drawing>
          <wp:inline distT="0" distB="0" distL="0" distR="0" wp14:anchorId="6E610129" wp14:editId="1A766939">
            <wp:extent cx="5034665" cy="2276649"/>
            <wp:effectExtent l="0" t="0" r="0" b="0"/>
            <wp:docPr id="9395554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034665" cy="2276649"/>
                    </a:xfrm>
                    <a:prstGeom prst="rect">
                      <a:avLst/>
                    </a:prstGeom>
                    <a:ln/>
                  </pic:spPr>
                </pic:pic>
              </a:graphicData>
            </a:graphic>
          </wp:inline>
        </w:drawing>
      </w:r>
    </w:p>
    <w:p w14:paraId="3EAEE788" w14:textId="77777777" w:rsidR="00D6615D" w:rsidRPr="001B4CE0" w:rsidRDefault="00D6615D">
      <w:pPr>
        <w:shd w:val="clear" w:color="auto" w:fill="FFFFFF"/>
        <w:spacing w:line="360" w:lineRule="auto"/>
        <w:ind w:left="567" w:right="900"/>
        <w:jc w:val="both"/>
        <w:rPr>
          <w:rFonts w:ascii="Palatino Linotype" w:eastAsia="Palatino Linotype" w:hAnsi="Palatino Linotype" w:cs="Palatino Linotype"/>
        </w:rPr>
      </w:pPr>
    </w:p>
    <w:p w14:paraId="56F5324F" w14:textId="77777777" w:rsidR="00D6615D" w:rsidRPr="001B4CE0" w:rsidRDefault="000D168C">
      <w:pPr>
        <w:shd w:val="clear" w:color="auto" w:fill="FFFFFF"/>
        <w:ind w:left="567" w:right="900"/>
        <w:jc w:val="both"/>
        <w:rPr>
          <w:rFonts w:ascii="Palatino Linotype" w:eastAsia="Palatino Linotype" w:hAnsi="Palatino Linotype" w:cs="Palatino Linotype"/>
          <w:b/>
        </w:rPr>
      </w:pPr>
      <w:r w:rsidRPr="001B4CE0">
        <w:rPr>
          <w:rFonts w:ascii="Palatino Linotype" w:eastAsia="Palatino Linotype" w:hAnsi="Palatino Linotype" w:cs="Palatino Linotype"/>
          <w:b/>
          <w:i/>
        </w:rPr>
        <w:t xml:space="preserve">¿Cómo puedo tramitar la expedición de una Licencia Oficial Colectiva? </w:t>
      </w:r>
    </w:p>
    <w:p w14:paraId="1797F2BE" w14:textId="77777777" w:rsidR="00D6615D" w:rsidRPr="001B4CE0" w:rsidRDefault="000D168C">
      <w:pPr>
        <w:shd w:val="clear" w:color="auto" w:fill="FFFFFF"/>
        <w:ind w:left="567" w:right="900"/>
        <w:jc w:val="both"/>
        <w:rPr>
          <w:rFonts w:ascii="Palatino Linotype" w:eastAsia="Palatino Linotype" w:hAnsi="Palatino Linotype" w:cs="Palatino Linotype"/>
          <w:i/>
        </w:rPr>
      </w:pPr>
      <w:r w:rsidRPr="001B4CE0">
        <w:rPr>
          <w:rFonts w:ascii="Palatino Linotype" w:eastAsia="Palatino Linotype" w:hAnsi="Palatino Linotype" w:cs="Palatino Linotype"/>
          <w:i/>
        </w:rPr>
        <w:t>PASO 1.  Reúne todos los requisitos.</w:t>
      </w:r>
    </w:p>
    <w:p w14:paraId="3B482808" w14:textId="77777777" w:rsidR="00D6615D" w:rsidRPr="001B4CE0" w:rsidRDefault="000D168C">
      <w:pPr>
        <w:shd w:val="clear" w:color="auto" w:fill="FFFFFF"/>
        <w:ind w:left="567" w:right="900"/>
        <w:jc w:val="both"/>
        <w:rPr>
          <w:rFonts w:ascii="Palatino Linotype" w:eastAsia="Palatino Linotype" w:hAnsi="Palatino Linotype" w:cs="Palatino Linotype"/>
          <w:i/>
        </w:rPr>
      </w:pPr>
      <w:r w:rsidRPr="001B4CE0">
        <w:rPr>
          <w:rFonts w:ascii="Palatino Linotype" w:eastAsia="Palatino Linotype" w:hAnsi="Palatino Linotype" w:cs="Palatino Linotype"/>
          <w:i/>
        </w:rPr>
        <w:t>PASO 2. Ingrésalos en la Zona Militar que te corresponda o en el Módulo de Atención al Público del Registro Federal de Armas de Fuego y Control de Explosivos.</w:t>
      </w:r>
    </w:p>
    <w:p w14:paraId="5A349FE9" w14:textId="77777777" w:rsidR="00D6615D" w:rsidRPr="001B4CE0" w:rsidRDefault="000D168C">
      <w:pPr>
        <w:shd w:val="clear" w:color="auto" w:fill="FFFFFF"/>
        <w:ind w:left="567" w:right="900"/>
        <w:jc w:val="both"/>
        <w:rPr>
          <w:rFonts w:ascii="Palatino Linotype" w:eastAsia="Palatino Linotype" w:hAnsi="Palatino Linotype" w:cs="Palatino Linotype"/>
          <w:i/>
        </w:rPr>
      </w:pPr>
      <w:r w:rsidRPr="001B4CE0">
        <w:rPr>
          <w:rFonts w:ascii="Palatino Linotype" w:eastAsia="Palatino Linotype" w:hAnsi="Palatino Linotype" w:cs="Palatino Linotype"/>
          <w:i/>
        </w:rPr>
        <w:t>¿Qué documentos necesito y cuáles deben ser sus características?</w:t>
      </w:r>
    </w:p>
    <w:p w14:paraId="2FE781CA" w14:textId="77777777" w:rsidR="00D6615D" w:rsidRPr="001B4CE0" w:rsidRDefault="000D168C" w:rsidP="003F1DCC">
      <w:pPr>
        <w:numPr>
          <w:ilvl w:val="3"/>
          <w:numId w:val="3"/>
        </w:numPr>
        <w:shd w:val="clear" w:color="auto" w:fill="FFFFFF"/>
        <w:spacing w:after="0"/>
        <w:ind w:left="851" w:right="900" w:hanging="284"/>
        <w:jc w:val="both"/>
        <w:rPr>
          <w:rFonts w:ascii="Palatino Linotype" w:eastAsia="Palatino Linotype" w:hAnsi="Palatino Linotype" w:cs="Palatino Linotype"/>
          <w:i/>
        </w:rPr>
      </w:pPr>
      <w:r w:rsidRPr="001B4CE0">
        <w:rPr>
          <w:rFonts w:ascii="Palatino Linotype" w:eastAsia="Palatino Linotype" w:hAnsi="Palatino Linotype" w:cs="Palatino Linotype"/>
          <w:b/>
          <w:i/>
        </w:rPr>
        <w:lastRenderedPageBreak/>
        <w:t>Solicitud de quien sea titular de la gubernatura de la entidad federativa, anexando el acuerdo presidencial en donde se autoriza la creación de una nueva Corporación</w:t>
      </w:r>
      <w:r w:rsidRPr="001B4CE0">
        <w:rPr>
          <w:rFonts w:ascii="Palatino Linotype" w:eastAsia="Palatino Linotype" w:hAnsi="Palatino Linotype" w:cs="Palatino Linotype"/>
          <w:i/>
        </w:rPr>
        <w:t>.</w:t>
      </w:r>
    </w:p>
    <w:p w14:paraId="5F6AFB8C" w14:textId="77777777" w:rsidR="00D6615D" w:rsidRPr="001B4CE0" w:rsidRDefault="000D168C" w:rsidP="003F1DCC">
      <w:pPr>
        <w:numPr>
          <w:ilvl w:val="3"/>
          <w:numId w:val="3"/>
        </w:numPr>
        <w:shd w:val="clear" w:color="auto" w:fill="FFFFFF"/>
        <w:spacing w:after="0"/>
        <w:ind w:left="851" w:right="900" w:hanging="284"/>
        <w:jc w:val="both"/>
        <w:rPr>
          <w:rFonts w:ascii="Palatino Linotype" w:eastAsia="Palatino Linotype" w:hAnsi="Palatino Linotype" w:cs="Palatino Linotype"/>
          <w:i/>
        </w:rPr>
      </w:pPr>
      <w:r w:rsidRPr="001B4CE0">
        <w:rPr>
          <w:rFonts w:ascii="Palatino Linotype" w:eastAsia="Palatino Linotype" w:hAnsi="Palatino Linotype" w:cs="Palatino Linotype"/>
          <w:i/>
          <w:u w:val="single"/>
        </w:rPr>
        <w:t>Relación del personal y armamento que estará amparado en la Licencia Oficial Colectiva</w:t>
      </w:r>
      <w:r w:rsidRPr="001B4CE0">
        <w:rPr>
          <w:rFonts w:ascii="Palatino Linotype" w:eastAsia="Palatino Linotype" w:hAnsi="Palatino Linotype" w:cs="Palatino Linotype"/>
          <w:i/>
        </w:rPr>
        <w:t xml:space="preserve"> conforme al modelo 1, 2 y 3, en original y cuatro copias (se anexan formatos), en caso de no contar con armamento deberá requisitar los espacios correspondientes con el número cero.</w:t>
      </w:r>
    </w:p>
    <w:p w14:paraId="2641098B" w14:textId="77777777" w:rsidR="00D6615D" w:rsidRPr="001B4CE0" w:rsidRDefault="000D168C" w:rsidP="003F1DCC">
      <w:pPr>
        <w:numPr>
          <w:ilvl w:val="3"/>
          <w:numId w:val="3"/>
        </w:numPr>
        <w:shd w:val="clear" w:color="auto" w:fill="FFFFFF"/>
        <w:spacing w:after="0"/>
        <w:ind w:left="851" w:right="900" w:hanging="283"/>
        <w:jc w:val="both"/>
        <w:rPr>
          <w:rFonts w:ascii="Palatino Linotype" w:eastAsia="Palatino Linotype" w:hAnsi="Palatino Linotype" w:cs="Palatino Linotype"/>
          <w:i/>
        </w:rPr>
      </w:pPr>
      <w:r w:rsidRPr="001B4CE0">
        <w:rPr>
          <w:rFonts w:ascii="Palatino Linotype" w:eastAsia="Palatino Linotype" w:hAnsi="Palatino Linotype" w:cs="Palatino Linotype"/>
          <w:i/>
        </w:rPr>
        <w:t>Archivo electrónico de los modelos citados en programa Excel, sin ningún tipo de protección en celdas, campos, Etc., con el fin de hacer las consultas necesarias.</w:t>
      </w:r>
    </w:p>
    <w:p w14:paraId="2817F19D" w14:textId="77777777" w:rsidR="00D6615D" w:rsidRPr="001B4CE0" w:rsidRDefault="000D168C" w:rsidP="003F1DCC">
      <w:pPr>
        <w:numPr>
          <w:ilvl w:val="3"/>
          <w:numId w:val="3"/>
        </w:numPr>
        <w:shd w:val="clear" w:color="auto" w:fill="FFFFFF"/>
        <w:spacing w:after="0"/>
        <w:ind w:left="851" w:right="900" w:hanging="283"/>
        <w:jc w:val="both"/>
        <w:rPr>
          <w:rFonts w:ascii="Palatino Linotype" w:eastAsia="Palatino Linotype" w:hAnsi="Palatino Linotype" w:cs="Palatino Linotype"/>
          <w:i/>
        </w:rPr>
      </w:pPr>
      <w:r w:rsidRPr="001B4CE0">
        <w:rPr>
          <w:rFonts w:ascii="Palatino Linotype" w:eastAsia="Palatino Linotype" w:hAnsi="Palatino Linotype" w:cs="Palatino Linotype"/>
          <w:i/>
        </w:rPr>
        <w:t>El personal operativo a considerar en la Licencia Oficial Colectiva, deberá cumplir en todo momento con la totalidad de los primeros 5 requisitos establecidos en el Art. 26 Fracc. I de la Ley Federal de Armas de Fuego y Explosivos, mismos que a continuación se describen:</w:t>
      </w:r>
    </w:p>
    <w:p w14:paraId="399CDEE4" w14:textId="77777777" w:rsidR="00D6615D" w:rsidRPr="001B4CE0" w:rsidRDefault="000D168C" w:rsidP="003F1DCC">
      <w:pPr>
        <w:numPr>
          <w:ilvl w:val="4"/>
          <w:numId w:val="3"/>
        </w:numPr>
        <w:shd w:val="clear" w:color="auto" w:fill="FFFFFF"/>
        <w:spacing w:after="0"/>
        <w:ind w:left="851" w:right="900" w:hanging="283"/>
        <w:jc w:val="both"/>
        <w:rPr>
          <w:rFonts w:ascii="Palatino Linotype" w:eastAsia="Palatino Linotype" w:hAnsi="Palatino Linotype" w:cs="Palatino Linotype"/>
          <w:i/>
        </w:rPr>
      </w:pPr>
      <w:r w:rsidRPr="001B4CE0">
        <w:rPr>
          <w:rFonts w:ascii="Palatino Linotype" w:eastAsia="Palatino Linotype" w:hAnsi="Palatino Linotype" w:cs="Palatino Linotype"/>
          <w:i/>
        </w:rPr>
        <w:t>Tener un modo honesto de vivir.</w:t>
      </w:r>
    </w:p>
    <w:p w14:paraId="521F95E9" w14:textId="77777777" w:rsidR="00D6615D" w:rsidRPr="001B4CE0" w:rsidRDefault="000D168C" w:rsidP="003F1DCC">
      <w:pPr>
        <w:numPr>
          <w:ilvl w:val="4"/>
          <w:numId w:val="3"/>
        </w:numPr>
        <w:shd w:val="clear" w:color="auto" w:fill="FFFFFF"/>
        <w:spacing w:after="0"/>
        <w:ind w:left="851" w:right="900" w:hanging="283"/>
        <w:jc w:val="both"/>
        <w:rPr>
          <w:rFonts w:ascii="Palatino Linotype" w:eastAsia="Palatino Linotype" w:hAnsi="Palatino Linotype" w:cs="Palatino Linotype"/>
          <w:i/>
        </w:rPr>
      </w:pPr>
      <w:r w:rsidRPr="001B4CE0">
        <w:rPr>
          <w:rFonts w:ascii="Palatino Linotype" w:eastAsia="Palatino Linotype" w:hAnsi="Palatino Linotype" w:cs="Palatino Linotype"/>
          <w:i/>
        </w:rPr>
        <w:t>Haber cumplido los obligados con el Servicio Militar Nacional.</w:t>
      </w:r>
    </w:p>
    <w:p w14:paraId="20C6F79E" w14:textId="77777777" w:rsidR="00D6615D" w:rsidRPr="001B4CE0" w:rsidRDefault="000D168C" w:rsidP="003F1DCC">
      <w:pPr>
        <w:numPr>
          <w:ilvl w:val="4"/>
          <w:numId w:val="3"/>
        </w:numPr>
        <w:shd w:val="clear" w:color="auto" w:fill="FFFFFF"/>
        <w:spacing w:after="0"/>
        <w:ind w:left="851" w:right="900" w:hanging="283"/>
        <w:jc w:val="both"/>
        <w:rPr>
          <w:rFonts w:ascii="Palatino Linotype" w:eastAsia="Palatino Linotype" w:hAnsi="Palatino Linotype" w:cs="Palatino Linotype"/>
          <w:i/>
        </w:rPr>
      </w:pPr>
      <w:r w:rsidRPr="001B4CE0">
        <w:rPr>
          <w:rFonts w:ascii="Palatino Linotype" w:eastAsia="Palatino Linotype" w:hAnsi="Palatino Linotype" w:cs="Palatino Linotype"/>
          <w:i/>
        </w:rPr>
        <w:t>No tener impedimento físico y mental para el manejo de las armas.</w:t>
      </w:r>
    </w:p>
    <w:p w14:paraId="0C16386D" w14:textId="77777777" w:rsidR="00D6615D" w:rsidRPr="001B4CE0" w:rsidRDefault="000D168C" w:rsidP="003F1DCC">
      <w:pPr>
        <w:numPr>
          <w:ilvl w:val="4"/>
          <w:numId w:val="3"/>
        </w:numPr>
        <w:shd w:val="clear" w:color="auto" w:fill="FFFFFF"/>
        <w:spacing w:after="0"/>
        <w:ind w:left="851" w:right="900" w:hanging="283"/>
        <w:jc w:val="both"/>
        <w:rPr>
          <w:rFonts w:ascii="Palatino Linotype" w:eastAsia="Palatino Linotype" w:hAnsi="Palatino Linotype" w:cs="Palatino Linotype"/>
          <w:i/>
        </w:rPr>
      </w:pPr>
      <w:r w:rsidRPr="001B4CE0">
        <w:rPr>
          <w:rFonts w:ascii="Palatino Linotype" w:eastAsia="Palatino Linotype" w:hAnsi="Palatino Linotype" w:cs="Palatino Linotype"/>
          <w:i/>
        </w:rPr>
        <w:t>No haber sido condenado por delito cometido con el empleo de armas de fuego.</w:t>
      </w:r>
    </w:p>
    <w:p w14:paraId="4B7F60C6" w14:textId="77777777" w:rsidR="00D6615D" w:rsidRPr="001B4CE0" w:rsidRDefault="000D168C" w:rsidP="003F1DCC">
      <w:pPr>
        <w:numPr>
          <w:ilvl w:val="4"/>
          <w:numId w:val="3"/>
        </w:numPr>
        <w:shd w:val="clear" w:color="auto" w:fill="FFFFFF"/>
        <w:spacing w:after="0"/>
        <w:ind w:left="851" w:right="900" w:hanging="283"/>
        <w:jc w:val="both"/>
        <w:rPr>
          <w:rFonts w:ascii="Palatino Linotype" w:eastAsia="Palatino Linotype" w:hAnsi="Palatino Linotype" w:cs="Palatino Linotype"/>
          <w:i/>
        </w:rPr>
      </w:pPr>
      <w:r w:rsidRPr="001B4CE0">
        <w:rPr>
          <w:rFonts w:ascii="Palatino Linotype" w:eastAsia="Palatino Linotype" w:hAnsi="Palatino Linotype" w:cs="Palatino Linotype"/>
          <w:i/>
        </w:rPr>
        <w:t>No consumir drogas enervantes o psicotrópicos.</w:t>
      </w:r>
    </w:p>
    <w:p w14:paraId="70B06817" w14:textId="77777777" w:rsidR="00D6615D" w:rsidRPr="001B4CE0" w:rsidRDefault="000D168C" w:rsidP="003F1DCC">
      <w:pPr>
        <w:numPr>
          <w:ilvl w:val="4"/>
          <w:numId w:val="3"/>
        </w:numPr>
        <w:shd w:val="clear" w:color="auto" w:fill="FFFFFF"/>
        <w:spacing w:after="0"/>
        <w:ind w:left="851" w:right="900" w:hanging="283"/>
        <w:jc w:val="both"/>
        <w:rPr>
          <w:rFonts w:ascii="Palatino Linotype" w:eastAsia="Palatino Linotype" w:hAnsi="Palatino Linotype" w:cs="Palatino Linotype"/>
          <w:i/>
        </w:rPr>
      </w:pPr>
      <w:r w:rsidRPr="001B4CE0">
        <w:rPr>
          <w:rFonts w:ascii="Palatino Linotype" w:eastAsia="Palatino Linotype" w:hAnsi="Palatino Linotype" w:cs="Palatino Linotype"/>
          <w:i/>
        </w:rPr>
        <w:t>En caso de contar con armamento deberá remitir copia de los folios de manifestación “C” y “D” del armamento registrado a nombre de la corporación de que se trate.</w:t>
      </w:r>
    </w:p>
    <w:p w14:paraId="3A96243B" w14:textId="77777777" w:rsidR="00D6615D" w:rsidRPr="001B4CE0" w:rsidRDefault="000D168C" w:rsidP="003F1DCC">
      <w:pPr>
        <w:numPr>
          <w:ilvl w:val="4"/>
          <w:numId w:val="3"/>
        </w:numPr>
        <w:shd w:val="clear" w:color="auto" w:fill="FFFFFF"/>
        <w:spacing w:after="0"/>
        <w:ind w:left="851" w:right="900" w:hanging="283"/>
        <w:jc w:val="both"/>
        <w:rPr>
          <w:rFonts w:ascii="Palatino Linotype" w:eastAsia="Palatino Linotype" w:hAnsi="Palatino Linotype" w:cs="Palatino Linotype"/>
          <w:i/>
        </w:rPr>
      </w:pPr>
      <w:r w:rsidRPr="001B4CE0">
        <w:rPr>
          <w:rFonts w:ascii="Palatino Linotype" w:eastAsia="Palatino Linotype" w:hAnsi="Palatino Linotype" w:cs="Palatino Linotype"/>
          <w:i/>
        </w:rPr>
        <w:t>Los certificados médico, físico, psicológico y toxicológico, deberán ser elaborados de conformidad con los formatos publicados en el Diario Oficial de la Federación el 12 de enero de 2004.</w:t>
      </w:r>
    </w:p>
    <w:p w14:paraId="2CF8B83D" w14:textId="77777777" w:rsidR="00D6615D" w:rsidRPr="001B4CE0" w:rsidRDefault="000D168C" w:rsidP="003F1DCC">
      <w:pPr>
        <w:numPr>
          <w:ilvl w:val="4"/>
          <w:numId w:val="3"/>
        </w:numPr>
        <w:shd w:val="clear" w:color="auto" w:fill="FFFFFF"/>
        <w:spacing w:after="0"/>
        <w:ind w:left="851" w:right="900" w:hanging="283"/>
        <w:jc w:val="both"/>
        <w:rPr>
          <w:rFonts w:ascii="Palatino Linotype" w:eastAsia="Palatino Linotype" w:hAnsi="Palatino Linotype" w:cs="Palatino Linotype"/>
          <w:i/>
        </w:rPr>
      </w:pPr>
      <w:r w:rsidRPr="001B4CE0">
        <w:rPr>
          <w:rFonts w:ascii="Palatino Linotype" w:eastAsia="Palatino Linotype" w:hAnsi="Palatino Linotype" w:cs="Palatino Linotype"/>
          <w:i/>
        </w:rPr>
        <w:t>Formato de la credencial que se expedirá al personal operativo.</w:t>
      </w:r>
    </w:p>
    <w:p w14:paraId="5CC0B69A" w14:textId="77777777" w:rsidR="00D6615D" w:rsidRPr="001B4CE0" w:rsidRDefault="000D168C" w:rsidP="003F1DCC">
      <w:pPr>
        <w:numPr>
          <w:ilvl w:val="4"/>
          <w:numId w:val="3"/>
        </w:numPr>
        <w:shd w:val="clear" w:color="auto" w:fill="FFFFFF"/>
        <w:spacing w:after="0"/>
        <w:ind w:left="851" w:right="900" w:hanging="283"/>
        <w:jc w:val="both"/>
        <w:rPr>
          <w:rFonts w:ascii="Palatino Linotype" w:eastAsia="Palatino Linotype" w:hAnsi="Palatino Linotype" w:cs="Palatino Linotype"/>
          <w:i/>
        </w:rPr>
      </w:pPr>
      <w:r w:rsidRPr="001B4CE0">
        <w:rPr>
          <w:rFonts w:ascii="Palatino Linotype" w:eastAsia="Palatino Linotype" w:hAnsi="Palatino Linotype" w:cs="Palatino Linotype"/>
          <w:i/>
        </w:rPr>
        <w:t>Aprobar la visita de inspección que realice el personal militar a las instalaciones en donde se resguarda o resguardara el armamento, a fin de determinar si cumplen con las medidas de seguridad y control necesarias para tal fin.</w:t>
      </w:r>
    </w:p>
    <w:p w14:paraId="682A25DB" w14:textId="77777777" w:rsidR="00D6615D" w:rsidRPr="001B4CE0" w:rsidRDefault="000D168C" w:rsidP="003F1DCC">
      <w:pPr>
        <w:shd w:val="clear" w:color="auto" w:fill="FFFFFF"/>
        <w:ind w:left="851" w:right="900"/>
        <w:jc w:val="both"/>
        <w:rPr>
          <w:rFonts w:ascii="Palatino Linotype" w:eastAsia="Palatino Linotype" w:hAnsi="Palatino Linotype" w:cs="Palatino Linotype"/>
          <w:i/>
        </w:rPr>
      </w:pPr>
      <w:r w:rsidRPr="001B4CE0">
        <w:rPr>
          <w:rFonts w:ascii="Palatino Linotype" w:eastAsia="Palatino Linotype" w:hAnsi="Palatino Linotype" w:cs="Palatino Linotype"/>
          <w:i/>
        </w:rPr>
        <w:t>¿Qué procedimiento deberás seguir?</w:t>
      </w:r>
    </w:p>
    <w:p w14:paraId="33FB42B0" w14:textId="77777777" w:rsidR="00D6615D" w:rsidRPr="001B4CE0" w:rsidRDefault="000D168C" w:rsidP="003F1DCC">
      <w:pPr>
        <w:numPr>
          <w:ilvl w:val="6"/>
          <w:numId w:val="3"/>
        </w:numPr>
        <w:shd w:val="clear" w:color="auto" w:fill="FFFFFF"/>
        <w:spacing w:after="0"/>
        <w:ind w:left="851" w:right="900" w:hanging="283"/>
        <w:jc w:val="both"/>
        <w:rPr>
          <w:rFonts w:ascii="Palatino Linotype" w:eastAsia="Palatino Linotype" w:hAnsi="Palatino Linotype" w:cs="Palatino Linotype"/>
          <w:i/>
        </w:rPr>
      </w:pPr>
      <w:r w:rsidRPr="001B4CE0">
        <w:rPr>
          <w:rFonts w:ascii="Palatino Linotype" w:eastAsia="Palatino Linotype" w:hAnsi="Palatino Linotype" w:cs="Palatino Linotype"/>
          <w:i/>
        </w:rPr>
        <w:t>Ingresa la solicitud de expedición de una Licencia Oficial Colectiva por conducto de la Comandancia de la Zona Militar que te corresponda o en el Módulo de Atención al Público del Registro Federal de Armas de Fuego y Control de Explosivos, anexando los documentos anteriormente indicados.</w:t>
      </w:r>
    </w:p>
    <w:p w14:paraId="493A24A4" w14:textId="77777777" w:rsidR="00D6615D" w:rsidRPr="001B4CE0" w:rsidRDefault="000D168C" w:rsidP="003F1DCC">
      <w:pPr>
        <w:numPr>
          <w:ilvl w:val="6"/>
          <w:numId w:val="3"/>
        </w:numPr>
        <w:shd w:val="clear" w:color="auto" w:fill="FFFFFF"/>
        <w:spacing w:after="0"/>
        <w:ind w:left="851" w:right="900" w:hanging="283"/>
        <w:jc w:val="both"/>
        <w:rPr>
          <w:rFonts w:ascii="Palatino Linotype" w:eastAsia="Palatino Linotype" w:hAnsi="Palatino Linotype" w:cs="Palatino Linotype"/>
          <w:i/>
        </w:rPr>
      </w:pPr>
      <w:r w:rsidRPr="001B4CE0">
        <w:rPr>
          <w:rFonts w:ascii="Palatino Linotype" w:eastAsia="Palatino Linotype" w:hAnsi="Palatino Linotype" w:cs="Palatino Linotype"/>
          <w:i/>
        </w:rPr>
        <w:lastRenderedPageBreak/>
        <w:t>En la Zona Militar o en el Módulo de Atención al Público recaba el acuse de recibo de tu trámite, mediante el sello correspondiente.</w:t>
      </w:r>
    </w:p>
    <w:p w14:paraId="569C8516" w14:textId="77777777" w:rsidR="00D6615D" w:rsidRPr="001B4CE0" w:rsidRDefault="000D168C" w:rsidP="003F1DCC">
      <w:pPr>
        <w:numPr>
          <w:ilvl w:val="6"/>
          <w:numId w:val="3"/>
        </w:numPr>
        <w:shd w:val="clear" w:color="auto" w:fill="FFFFFF"/>
        <w:spacing w:after="0"/>
        <w:ind w:left="851" w:right="900" w:hanging="283"/>
        <w:jc w:val="both"/>
        <w:rPr>
          <w:rFonts w:ascii="Palatino Linotype" w:eastAsia="Palatino Linotype" w:hAnsi="Palatino Linotype" w:cs="Palatino Linotype"/>
          <w:i/>
        </w:rPr>
      </w:pPr>
      <w:r w:rsidRPr="001B4CE0">
        <w:rPr>
          <w:rFonts w:ascii="Palatino Linotype" w:eastAsia="Palatino Linotype" w:hAnsi="Palatino Linotype" w:cs="Palatino Linotype"/>
          <w:i/>
        </w:rPr>
        <w:t>Consulta directamente en el Módulo de Atención al Público o a través de los medios electrónicos, sobre el curso de tu trámite.</w:t>
      </w:r>
    </w:p>
    <w:p w14:paraId="4DAA9135" w14:textId="77777777" w:rsidR="00D6615D" w:rsidRPr="001B4CE0" w:rsidRDefault="000D168C" w:rsidP="003F1DCC">
      <w:pPr>
        <w:numPr>
          <w:ilvl w:val="6"/>
          <w:numId w:val="3"/>
        </w:numPr>
        <w:shd w:val="clear" w:color="auto" w:fill="FFFFFF"/>
        <w:spacing w:after="0"/>
        <w:ind w:left="851" w:right="900" w:hanging="141"/>
        <w:jc w:val="both"/>
        <w:rPr>
          <w:rFonts w:ascii="Palatino Linotype" w:eastAsia="Palatino Linotype" w:hAnsi="Palatino Linotype" w:cs="Palatino Linotype"/>
          <w:i/>
        </w:rPr>
      </w:pPr>
      <w:r w:rsidRPr="001B4CE0">
        <w:rPr>
          <w:rFonts w:ascii="Palatino Linotype" w:eastAsia="Palatino Linotype" w:hAnsi="Palatino Linotype" w:cs="Palatino Linotype"/>
          <w:i/>
        </w:rPr>
        <w:t>En caso de que se te comunique que el trámite resultó autorizado, asiste al Módulo de Atención al Público del Registro Federal de Armas de Fuego y Control de Explosivos con identificación oficial vigente para recoger el oficio de autorización de la Licencia.</w:t>
      </w:r>
    </w:p>
    <w:p w14:paraId="23916D88" w14:textId="77777777" w:rsidR="00D6615D" w:rsidRPr="001B4CE0" w:rsidRDefault="00D6615D">
      <w:pPr>
        <w:spacing w:line="360" w:lineRule="auto"/>
        <w:jc w:val="both"/>
        <w:rPr>
          <w:rFonts w:ascii="Palatino Linotype" w:eastAsia="Palatino Linotype" w:hAnsi="Palatino Linotype" w:cs="Palatino Linotype"/>
        </w:rPr>
      </w:pPr>
    </w:p>
    <w:p w14:paraId="1D23B4A1" w14:textId="77777777" w:rsidR="00D6615D" w:rsidRPr="001B4CE0" w:rsidRDefault="000D168C">
      <w:pPr>
        <w:spacing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De esta forma podemos relacionar lo descrito con anterioridad, con el </w:t>
      </w:r>
      <w:r w:rsidRPr="001B4CE0">
        <w:rPr>
          <w:rFonts w:ascii="Palatino Linotype" w:eastAsia="Palatino Linotype" w:hAnsi="Palatino Linotype" w:cs="Palatino Linotype"/>
          <w:i/>
        </w:rPr>
        <w:t>Acuerdo por el que se establecen los lineamientos para la Adquisición, Asignación, Uso y Custodia, Portación y Baja de armamento incluido en la Licencia Oficial Colectiva número 139</w:t>
      </w:r>
      <w:r w:rsidRPr="001B4CE0">
        <w:rPr>
          <w:rFonts w:ascii="Palatino Linotype" w:eastAsia="Palatino Linotype" w:hAnsi="Palatino Linotype" w:cs="Palatino Linotype"/>
        </w:rPr>
        <w:t xml:space="preserve"> particularmente con lo señalado en el considerando tercero y cuarto, mismos que disponen:</w:t>
      </w:r>
    </w:p>
    <w:p w14:paraId="7DD53D21" w14:textId="77777777" w:rsidR="00D6615D" w:rsidRPr="001B4CE0" w:rsidRDefault="000D168C">
      <w:pPr>
        <w:ind w:left="709" w:right="474"/>
        <w:jc w:val="both"/>
        <w:rPr>
          <w:rFonts w:ascii="Palatino Linotype" w:eastAsia="Palatino Linotype" w:hAnsi="Palatino Linotype" w:cs="Palatino Linotype"/>
          <w:i/>
        </w:rPr>
      </w:pPr>
      <w:r w:rsidRPr="001B4CE0">
        <w:rPr>
          <w:rFonts w:ascii="Palatino Linotype" w:eastAsia="Palatino Linotype" w:hAnsi="Palatino Linotype" w:cs="Palatino Linotype"/>
          <w:i/>
        </w:rPr>
        <w:t xml:space="preserve">“Que en términos de lo dispuesto por la </w:t>
      </w:r>
      <w:r w:rsidRPr="001B4CE0">
        <w:rPr>
          <w:rFonts w:ascii="Palatino Linotype" w:eastAsia="Palatino Linotype" w:hAnsi="Palatino Linotype" w:cs="Palatino Linotype"/>
          <w:b/>
          <w:i/>
        </w:rPr>
        <w:t>Ley de Seguridad Pública Preventiva del Estado de México, la Dirección General de Segundad Pública y Tránsito del Estado de México, es una autoridad estatal en materia de seguridad pública preventiva</w:t>
      </w:r>
      <w:r w:rsidRPr="001B4CE0">
        <w:rPr>
          <w:rFonts w:ascii="Palatino Linotype" w:eastAsia="Palatino Linotype" w:hAnsi="Palatino Linotype" w:cs="Palatino Linotype"/>
          <w:i/>
        </w:rPr>
        <w:t xml:space="preserve">, a la cual le corresponde, entre otras atribuciones, vigilar el cumplimiento de las leyes, reglamentos, acuerdos, convenios y demás disposiciones referentes a la Seguridad Pública Preventiva </w:t>
      </w:r>
    </w:p>
    <w:p w14:paraId="7897277A" w14:textId="77777777" w:rsidR="00D6615D" w:rsidRPr="001B4CE0" w:rsidRDefault="000D168C">
      <w:pPr>
        <w:ind w:left="709" w:right="474"/>
        <w:jc w:val="both"/>
        <w:rPr>
          <w:rFonts w:ascii="Palatino Linotype" w:eastAsia="Palatino Linotype" w:hAnsi="Palatino Linotype" w:cs="Palatino Linotype"/>
          <w:i/>
        </w:rPr>
      </w:pPr>
      <w:r w:rsidRPr="001B4CE0">
        <w:rPr>
          <w:rFonts w:ascii="Palatino Linotype" w:eastAsia="Palatino Linotype" w:hAnsi="Palatino Linotype" w:cs="Palatino Linotype"/>
          <w:i/>
        </w:rPr>
        <w:t xml:space="preserve">Que en el marco de la Ley Federal de Armas de Fuego y Explosivos, </w:t>
      </w:r>
      <w:r w:rsidRPr="001B4CE0">
        <w:rPr>
          <w:rFonts w:ascii="Palatino Linotype" w:eastAsia="Palatino Linotype" w:hAnsi="Palatino Linotype" w:cs="Palatino Linotype"/>
          <w:b/>
          <w:i/>
        </w:rPr>
        <w:t>la Secretaría de la Defensa Nacional otorgó al Gobierno del Estado de México, a través de la Dirección General de Seguridad Pública y Tránsito, la Licencia Oficial Colectiva No. 139</w:t>
      </w:r>
      <w:r w:rsidRPr="001B4CE0">
        <w:rPr>
          <w:rFonts w:ascii="Palatino Linotype" w:eastAsia="Palatino Linotype" w:hAnsi="Palatino Linotype" w:cs="Palatino Linotype"/>
          <w:i/>
        </w:rPr>
        <w:t xml:space="preserve"> mediante la cual se concede el permiso para la portación de armas de fuego a los Cuerpos de Seguridad Pública Preventiva.”</w:t>
      </w:r>
    </w:p>
    <w:p w14:paraId="59D26356" w14:textId="77777777" w:rsidR="00D6615D" w:rsidRPr="001B4CE0" w:rsidRDefault="00D6615D">
      <w:pPr>
        <w:spacing w:after="0" w:line="360" w:lineRule="auto"/>
        <w:jc w:val="both"/>
        <w:rPr>
          <w:rFonts w:ascii="Palatino Linotype" w:eastAsia="Palatino Linotype" w:hAnsi="Palatino Linotype" w:cs="Palatino Linotype"/>
        </w:rPr>
      </w:pPr>
    </w:p>
    <w:p w14:paraId="7739C95C"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Así, se advierte que el Gobierno del Estado de México cuenta con una Licencia Oficial Colectiva para la portación y uso de armas de fuego; no obstante, atendiendo a que en el caso se requiere el tipo de armas de fuego con que cuenta el Ayuntamiento de Mexicaltzingo es </w:t>
      </w:r>
      <w:r w:rsidRPr="001B4CE0">
        <w:rPr>
          <w:rFonts w:ascii="Palatino Linotype" w:eastAsia="Palatino Linotype" w:hAnsi="Palatino Linotype" w:cs="Palatino Linotype"/>
        </w:rPr>
        <w:lastRenderedPageBreak/>
        <w:t>necesario determinar cuál es el documento que se asimila o que da cuenta de que lo requerido, debemos atender lo que disponen los diversos cuerpos normativos que regulan la portación de armas en el Estado de México y sus Municipios.</w:t>
      </w:r>
    </w:p>
    <w:p w14:paraId="7EEEB692" w14:textId="77777777" w:rsidR="00D6615D" w:rsidRPr="001B4CE0" w:rsidRDefault="00D6615D">
      <w:pPr>
        <w:spacing w:after="0" w:line="360" w:lineRule="auto"/>
        <w:jc w:val="both"/>
        <w:rPr>
          <w:rFonts w:ascii="Palatino Linotype" w:eastAsia="Palatino Linotype" w:hAnsi="Palatino Linotype" w:cs="Palatino Linotype"/>
        </w:rPr>
      </w:pPr>
    </w:p>
    <w:p w14:paraId="26DEEB76"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Dicho lo anterior, la Ley de Seguridad del Estado de México en su artículo 21, fracción XXVII, establece que los Presidentes Municipales, tendrán dentro de sus atribuciones, la de </w:t>
      </w:r>
      <w:r w:rsidRPr="001B4CE0">
        <w:rPr>
          <w:rFonts w:ascii="Palatino Linotype" w:eastAsia="Palatino Linotype" w:hAnsi="Palatino Linotype" w:cs="Palatino Linotype"/>
          <w:b/>
          <w:u w:val="single"/>
        </w:rPr>
        <w:t>satisfacer oportunamente los requerimientos que le sean solicitados por la Secretaría, para el registro y actualización de la licencia colectiva para la portación de armas de fuego de los integrantes de las instituciones policiales a su cargo</w:t>
      </w:r>
      <w:r w:rsidRPr="001B4CE0">
        <w:rPr>
          <w:rFonts w:ascii="Palatino Linotype" w:eastAsia="Palatino Linotype" w:hAnsi="Palatino Linotype" w:cs="Palatino Linotype"/>
        </w:rPr>
        <w:t>.</w:t>
      </w:r>
    </w:p>
    <w:p w14:paraId="50FBE169" w14:textId="77777777" w:rsidR="00D6615D" w:rsidRPr="001B4CE0" w:rsidRDefault="000D168C">
      <w:pPr>
        <w:pBdr>
          <w:top w:val="nil"/>
          <w:left w:val="nil"/>
          <w:bottom w:val="nil"/>
          <w:right w:val="nil"/>
          <w:between w:val="nil"/>
        </w:pBdr>
        <w:spacing w:before="240"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Con relación a lo anterior, el Acuerdo por el que se Establecen los Lineamientos para la Adquisición, Asignación, Uso y Custodia, Portación y Baja de Armamento incluido en la Licencia Oficial Colectiva número 139, dispone lo siguiente: </w:t>
      </w:r>
    </w:p>
    <w:p w14:paraId="6A036749" w14:textId="77777777" w:rsidR="00D6615D" w:rsidRPr="001B4CE0" w:rsidRDefault="003F1DCC">
      <w:pPr>
        <w:pBdr>
          <w:top w:val="nil"/>
          <w:left w:val="nil"/>
          <w:bottom w:val="nil"/>
          <w:right w:val="nil"/>
          <w:between w:val="nil"/>
        </w:pBdr>
        <w:spacing w:before="240" w:after="0" w:line="360" w:lineRule="auto"/>
        <w:jc w:val="both"/>
        <w:rPr>
          <w:rFonts w:ascii="Palatino Linotype" w:eastAsia="Palatino Linotype" w:hAnsi="Palatino Linotype" w:cs="Palatino Linotype"/>
        </w:rPr>
      </w:pPr>
      <w:r w:rsidRPr="001B4CE0">
        <w:rPr>
          <w:noProof/>
          <w:lang w:eastAsia="es-MX"/>
        </w:rPr>
        <w:lastRenderedPageBreak/>
        <mc:AlternateContent>
          <mc:Choice Requires="wps">
            <w:drawing>
              <wp:anchor distT="0" distB="0" distL="114300" distR="114300" simplePos="0" relativeHeight="251658240" behindDoc="0" locked="0" layoutInCell="1" hidden="0" allowOverlap="1" wp14:anchorId="4BAF75C4" wp14:editId="2545B3AD">
                <wp:simplePos x="0" y="0"/>
                <wp:positionH relativeFrom="page">
                  <wp:align>center</wp:align>
                </wp:positionH>
                <wp:positionV relativeFrom="paragraph">
                  <wp:posOffset>3251200</wp:posOffset>
                </wp:positionV>
                <wp:extent cx="5695231" cy="631525"/>
                <wp:effectExtent l="0" t="0" r="20320" b="16510"/>
                <wp:wrapNone/>
                <wp:docPr id="93955532" name="Rectángulo 93955532"/>
                <wp:cNvGraphicFramePr/>
                <a:graphic xmlns:a="http://schemas.openxmlformats.org/drawingml/2006/main">
                  <a:graphicData uri="http://schemas.microsoft.com/office/word/2010/wordprocessingShape">
                    <wps:wsp>
                      <wps:cNvSpPr/>
                      <wps:spPr>
                        <a:xfrm>
                          <a:off x="0" y="0"/>
                          <a:ext cx="5695231" cy="631525"/>
                        </a:xfrm>
                        <a:prstGeom prst="rect">
                          <a:avLst/>
                        </a:prstGeom>
                        <a:noFill/>
                        <a:ln w="19050" cap="flat" cmpd="sng">
                          <a:solidFill>
                            <a:srgbClr val="FF0000"/>
                          </a:solidFill>
                          <a:prstDash val="solid"/>
                          <a:miter lim="800000"/>
                          <a:headEnd type="none" w="sm" len="sm"/>
                          <a:tailEnd type="none" w="sm" len="sm"/>
                        </a:ln>
                      </wps:spPr>
                      <wps:txbx>
                        <w:txbxContent>
                          <w:p w14:paraId="05FC49BB" w14:textId="77777777" w:rsidR="00D6615D" w:rsidRDefault="00D6615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xmlns:oel="http://schemas.microsoft.com/office/2019/extlst">
            <w:pict>
              <v:rect id="Rectángulo 93955532" o:spid="_x0000_s1026" style="position:absolute;left:0;text-align:left;margin-left:0;margin-top:256pt;width:448.45pt;height:49.75pt;z-index:251658240;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" filled="f" strokecolor="red" strokeweight="1.5pt">
                <v:stroke startarrowwidth="narrow" startarrowlength="short" endarrowwidth="narrow" endarrowlength="short"/>
                <v:textbox inset="2.53958mm,2.53958mm,2.53958mm,2.53958mm">
                  <w:txbxContent>
                    <w:p w:rsidR="00D6615D" w:rsidRDefault="00D6615D">
                      <w:pPr>
                        <w:spacing w:after="0" w:line="240" w:lineRule="auto"/>
                        <w:textDirection w:val="btLr"/>
                      </w:pPr>
                    </w:p>
                  </w:txbxContent>
                </v:textbox>
                <w10:wrap anchorx="page"/>
              </v:rect>
            </w:pict>
          </mc:Fallback>
        </mc:AlternateContent>
      </w:r>
      <w:r w:rsidR="000D168C" w:rsidRPr="001B4CE0">
        <w:rPr>
          <w:rFonts w:ascii="Palatino Linotype" w:eastAsia="Palatino Linotype" w:hAnsi="Palatino Linotype" w:cs="Palatino Linotype"/>
          <w:noProof/>
          <w:lang w:eastAsia="es-MX"/>
        </w:rPr>
        <w:drawing>
          <wp:inline distT="0" distB="0" distL="0" distR="0" wp14:anchorId="7E0AB4A8" wp14:editId="7BC195CD">
            <wp:extent cx="5756275" cy="3837940"/>
            <wp:effectExtent l="0" t="0" r="0" b="0"/>
            <wp:docPr id="939555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756275" cy="3837940"/>
                    </a:xfrm>
                    <a:prstGeom prst="rect">
                      <a:avLst/>
                    </a:prstGeom>
                    <a:ln/>
                  </pic:spPr>
                </pic:pic>
              </a:graphicData>
            </a:graphic>
          </wp:inline>
        </w:drawing>
      </w:r>
    </w:p>
    <w:p w14:paraId="1F9E5C2C" w14:textId="77777777" w:rsidR="00D6615D" w:rsidRPr="001B4CE0" w:rsidRDefault="000D168C">
      <w:pPr>
        <w:pBdr>
          <w:top w:val="nil"/>
          <w:left w:val="nil"/>
          <w:bottom w:val="nil"/>
          <w:right w:val="nil"/>
          <w:between w:val="nil"/>
        </w:pBdr>
        <w:spacing w:before="240"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noProof/>
          <w:lang w:eastAsia="es-MX"/>
        </w:rPr>
        <w:drawing>
          <wp:inline distT="0" distB="0" distL="0" distR="0" wp14:anchorId="4C9CD494" wp14:editId="37941C64">
            <wp:extent cx="5572125" cy="3038475"/>
            <wp:effectExtent l="0" t="0" r="9525" b="9525"/>
            <wp:docPr id="939555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572125" cy="3038475"/>
                    </a:xfrm>
                    <a:prstGeom prst="rect">
                      <a:avLst/>
                    </a:prstGeom>
                    <a:ln/>
                  </pic:spPr>
                </pic:pic>
              </a:graphicData>
            </a:graphic>
          </wp:inline>
        </w:drawing>
      </w:r>
      <w:r w:rsidRPr="001B4CE0">
        <w:rPr>
          <w:noProof/>
          <w:lang w:eastAsia="es-MX"/>
        </w:rPr>
        <mc:AlternateContent>
          <mc:Choice Requires="wpg">
            <w:drawing>
              <wp:anchor distT="0" distB="0" distL="114300" distR="114300" simplePos="0" relativeHeight="251659264" behindDoc="0" locked="0" layoutInCell="1" hidden="0" allowOverlap="1" wp14:anchorId="4811EE03" wp14:editId="72E4C014">
                <wp:simplePos x="0" y="0"/>
                <wp:positionH relativeFrom="column">
                  <wp:posOffset>-38099</wp:posOffset>
                </wp:positionH>
                <wp:positionV relativeFrom="paragraph">
                  <wp:posOffset>571500</wp:posOffset>
                </wp:positionV>
                <wp:extent cx="5738363" cy="804053"/>
                <wp:effectExtent l="0" t="0" r="0" b="0"/>
                <wp:wrapNone/>
                <wp:docPr id="93955533" name="Rectángulo 93955533"/>
                <wp:cNvGraphicFramePr/>
                <a:graphic xmlns:a="http://schemas.openxmlformats.org/drawingml/2006/main">
                  <a:graphicData uri="http://schemas.microsoft.com/office/word/2010/wordprocessingShape">
                    <wps:wsp>
                      <wps:cNvSpPr/>
                      <wps:spPr>
                        <a:xfrm>
                          <a:off x="2486344" y="3387499"/>
                          <a:ext cx="5719313" cy="785003"/>
                        </a:xfrm>
                        <a:prstGeom prst="rect">
                          <a:avLst/>
                        </a:prstGeom>
                        <a:noFill/>
                        <a:ln w="19050" cap="flat" cmpd="sng">
                          <a:solidFill>
                            <a:srgbClr val="FF0000"/>
                          </a:solidFill>
                          <a:prstDash val="solid"/>
                          <a:miter lim="800000"/>
                          <a:headEnd type="none" w="sm" len="sm"/>
                          <a:tailEnd type="none" w="sm" len="sm"/>
                        </a:ln>
                      </wps:spPr>
                      <wps:txbx>
                        <w:txbxContent>
                          <w:p w14:paraId="6FB9FAED" w14:textId="77777777" w:rsidR="00D6615D" w:rsidRDefault="00D6615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-38099</wp:posOffset>
                </wp:positionH>
                <wp:positionV relativeFrom="paragraph">
                  <wp:posOffset>571500</wp:posOffset>
                </wp:positionV>
                <wp:extent cx="5738363" cy="804053"/>
                <wp:effectExtent b="0" l="0" r="0" t="0"/>
                <wp:wrapNone/>
                <wp:docPr id="93955533" name="image17.png"/>
                <a:graphic>
                  <a:graphicData uri="http://schemas.openxmlformats.org/drawingml/2006/picture">
                    <pic:pic>
                      <pic:nvPicPr>
                        <pic:cNvPr id="0" name="image17.png"/>
                        <pic:cNvPicPr preferRelativeResize="0"/>
                      </pic:nvPicPr>
                      <pic:blipFill>
                        <a:blip r:embed="rId18"/>
                        <a:srcRect/>
                        <a:stretch>
                          <a:fillRect/>
                        </a:stretch>
                      </pic:blipFill>
                      <pic:spPr>
                        <a:xfrm>
                          <a:off x="0" y="0"/>
                          <a:ext cx="5738363" cy="804053"/>
                        </a:xfrm>
                        <a:prstGeom prst="rect"/>
                        <a:ln/>
                      </pic:spPr>
                    </pic:pic>
                  </a:graphicData>
                </a:graphic>
              </wp:anchor>
            </w:drawing>
          </mc:Fallback>
        </mc:AlternateContent>
      </w:r>
    </w:p>
    <w:p w14:paraId="1942D91B" w14:textId="77777777" w:rsidR="00D6615D" w:rsidRPr="001B4CE0" w:rsidRDefault="000D168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noProof/>
          <w:lang w:eastAsia="es-MX"/>
        </w:rPr>
        <w:lastRenderedPageBreak/>
        <w:drawing>
          <wp:inline distT="0" distB="0" distL="0" distR="0" wp14:anchorId="4CA9BB0C" wp14:editId="267997E6">
            <wp:extent cx="5592603" cy="1991007"/>
            <wp:effectExtent l="3175" t="3175" r="3175" b="3175"/>
            <wp:docPr id="939555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592603" cy="1991007"/>
                    </a:xfrm>
                    <a:prstGeom prst="rect">
                      <a:avLst/>
                    </a:prstGeom>
                    <a:ln w="3175">
                      <a:solidFill>
                        <a:srgbClr val="000000"/>
                      </a:solidFill>
                      <a:prstDash val="solid"/>
                    </a:ln>
                  </pic:spPr>
                </pic:pic>
              </a:graphicData>
            </a:graphic>
          </wp:inline>
        </w:drawing>
      </w:r>
    </w:p>
    <w:p w14:paraId="348FA179" w14:textId="77777777" w:rsidR="00D6615D" w:rsidRPr="001B4CE0" w:rsidRDefault="000D168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noProof/>
          <w:lang w:eastAsia="es-MX"/>
        </w:rPr>
        <w:drawing>
          <wp:inline distT="0" distB="0" distL="0" distR="0" wp14:anchorId="21C5128C" wp14:editId="20653CFC">
            <wp:extent cx="5483545" cy="3623833"/>
            <wp:effectExtent l="3175" t="3175" r="3175" b="3175"/>
            <wp:docPr id="939555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483545" cy="3623833"/>
                    </a:xfrm>
                    <a:prstGeom prst="rect">
                      <a:avLst/>
                    </a:prstGeom>
                    <a:ln w="3175">
                      <a:solidFill>
                        <a:srgbClr val="000000"/>
                      </a:solidFill>
                      <a:prstDash val="solid"/>
                    </a:ln>
                  </pic:spPr>
                </pic:pic>
              </a:graphicData>
            </a:graphic>
          </wp:inline>
        </w:drawing>
      </w:r>
      <w:r w:rsidRPr="001B4CE0">
        <w:rPr>
          <w:noProof/>
          <w:lang w:eastAsia="es-MX"/>
        </w:rPr>
        <mc:AlternateContent>
          <mc:Choice Requires="wpg">
            <w:drawing>
              <wp:anchor distT="0" distB="0" distL="114300" distR="114300" simplePos="0" relativeHeight="251660288" behindDoc="0" locked="0" layoutInCell="1" hidden="0" allowOverlap="1" wp14:anchorId="66E144E5" wp14:editId="6B1CEB9E">
                <wp:simplePos x="0" y="0"/>
                <wp:positionH relativeFrom="column">
                  <wp:posOffset>76201</wp:posOffset>
                </wp:positionH>
                <wp:positionV relativeFrom="paragraph">
                  <wp:posOffset>3022600</wp:posOffset>
                </wp:positionV>
                <wp:extent cx="5358801" cy="571140"/>
                <wp:effectExtent l="0" t="0" r="0" b="0"/>
                <wp:wrapNone/>
                <wp:docPr id="93955535" name="Rectángulo 93955535"/>
                <wp:cNvGraphicFramePr/>
                <a:graphic xmlns:a="http://schemas.openxmlformats.org/drawingml/2006/main">
                  <a:graphicData uri="http://schemas.microsoft.com/office/word/2010/wordprocessingShape">
                    <wps:wsp>
                      <wps:cNvSpPr/>
                      <wps:spPr>
                        <a:xfrm>
                          <a:off x="2676125" y="3503955"/>
                          <a:ext cx="5339751" cy="552090"/>
                        </a:xfrm>
                        <a:prstGeom prst="rect">
                          <a:avLst/>
                        </a:prstGeom>
                        <a:noFill/>
                        <a:ln w="19050" cap="flat" cmpd="sng">
                          <a:solidFill>
                            <a:srgbClr val="FF0000"/>
                          </a:solidFill>
                          <a:prstDash val="solid"/>
                          <a:miter lim="800000"/>
                          <a:headEnd type="none" w="sm" len="sm"/>
                          <a:tailEnd type="none" w="sm" len="sm"/>
                        </a:ln>
                      </wps:spPr>
                      <wps:txbx>
                        <w:txbxContent>
                          <w:p w14:paraId="3B4F40A6" w14:textId="77777777" w:rsidR="00D6615D" w:rsidRDefault="00D6615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76201</wp:posOffset>
                </wp:positionH>
                <wp:positionV relativeFrom="paragraph">
                  <wp:posOffset>3022600</wp:posOffset>
                </wp:positionV>
                <wp:extent cx="5358801" cy="571140"/>
                <wp:effectExtent b="0" l="0" r="0" t="0"/>
                <wp:wrapNone/>
                <wp:docPr id="93955535" name="image19.png"/>
                <a:graphic>
                  <a:graphicData uri="http://schemas.openxmlformats.org/drawingml/2006/picture">
                    <pic:pic>
                      <pic:nvPicPr>
                        <pic:cNvPr id="0" name="image19.png"/>
                        <pic:cNvPicPr preferRelativeResize="0"/>
                      </pic:nvPicPr>
                      <pic:blipFill>
                        <a:blip r:embed="rId21"/>
                        <a:srcRect/>
                        <a:stretch>
                          <a:fillRect/>
                        </a:stretch>
                      </pic:blipFill>
                      <pic:spPr>
                        <a:xfrm>
                          <a:off x="0" y="0"/>
                          <a:ext cx="5358801" cy="571140"/>
                        </a:xfrm>
                        <a:prstGeom prst="rect"/>
                        <a:ln/>
                      </pic:spPr>
                    </pic:pic>
                  </a:graphicData>
                </a:graphic>
              </wp:anchor>
            </w:drawing>
          </mc:Fallback>
        </mc:AlternateContent>
      </w:r>
    </w:p>
    <w:p w14:paraId="05326F6F" w14:textId="77777777" w:rsidR="00D6615D" w:rsidRPr="001B4CE0" w:rsidRDefault="000D168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De lo anteriormente citado, se abordan a las siguientes conclusiones:</w:t>
      </w:r>
    </w:p>
    <w:p w14:paraId="7AE9ABF2" w14:textId="77777777" w:rsidR="00D6615D" w:rsidRPr="001B4CE0" w:rsidRDefault="000D168C">
      <w:pPr>
        <w:numPr>
          <w:ilvl w:val="0"/>
          <w:numId w:val="4"/>
        </w:numPr>
        <w:pBdr>
          <w:top w:val="nil"/>
          <w:left w:val="nil"/>
          <w:bottom w:val="nil"/>
          <w:right w:val="nil"/>
          <w:between w:val="nil"/>
        </w:pBdr>
        <w:spacing w:before="240" w:after="0" w:line="360" w:lineRule="auto"/>
        <w:ind w:left="360" w:right="134"/>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Los presidentes municipales que requieran armamento para sus cuerpos de seguridad pública, deberán formular su petición al Titular del Poder Ejecutivo del Estado de </w:t>
      </w:r>
      <w:r w:rsidRPr="001B4CE0">
        <w:rPr>
          <w:rFonts w:ascii="Palatino Linotype" w:eastAsia="Palatino Linotype" w:hAnsi="Palatino Linotype" w:cs="Palatino Linotype"/>
        </w:rPr>
        <w:lastRenderedPageBreak/>
        <w:t xml:space="preserve">México, solicitando gestionar ante la SEDENA el otorgamiento para la adquisición de armas y municiones. </w:t>
      </w:r>
    </w:p>
    <w:p w14:paraId="71764CB6" w14:textId="77777777" w:rsidR="00D6615D" w:rsidRPr="001B4CE0" w:rsidRDefault="000D168C">
      <w:pPr>
        <w:numPr>
          <w:ilvl w:val="0"/>
          <w:numId w:val="4"/>
        </w:numPr>
        <w:pBdr>
          <w:top w:val="nil"/>
          <w:left w:val="nil"/>
          <w:bottom w:val="nil"/>
          <w:right w:val="nil"/>
          <w:between w:val="nil"/>
        </w:pBdr>
        <w:spacing w:after="0" w:line="360" w:lineRule="auto"/>
        <w:ind w:left="360" w:right="134"/>
        <w:jc w:val="both"/>
        <w:rPr>
          <w:rFonts w:ascii="Palatino Linotype" w:eastAsia="Palatino Linotype" w:hAnsi="Palatino Linotype" w:cs="Palatino Linotype"/>
        </w:rPr>
      </w:pPr>
      <w:r w:rsidRPr="001B4CE0">
        <w:rPr>
          <w:rFonts w:ascii="Palatino Linotype" w:eastAsia="Palatino Linotype" w:hAnsi="Palatino Linotype" w:cs="Palatino Linotype"/>
        </w:rPr>
        <w:t>La Dirección General de Seguridad Pública emitirá el dictamen respecto de la procedencia o improcedencia de las solicitudes de armamento requerido; cuando se determine procedente, la Dirección General le indicará a los presidentes municipales la cotización de dichos bienes y los términos de pago.</w:t>
      </w:r>
    </w:p>
    <w:p w14:paraId="6269CE3D" w14:textId="77777777" w:rsidR="00D6615D" w:rsidRPr="001B4CE0" w:rsidRDefault="00D6615D">
      <w:pPr>
        <w:pBdr>
          <w:top w:val="nil"/>
          <w:left w:val="nil"/>
          <w:bottom w:val="nil"/>
          <w:right w:val="nil"/>
          <w:between w:val="nil"/>
        </w:pBdr>
        <w:spacing w:line="360" w:lineRule="auto"/>
        <w:ind w:right="134"/>
        <w:jc w:val="both"/>
        <w:rPr>
          <w:rFonts w:ascii="Palatino Linotype" w:eastAsia="Palatino Linotype" w:hAnsi="Palatino Linotype" w:cs="Palatino Linotype"/>
        </w:rPr>
      </w:pPr>
    </w:p>
    <w:p w14:paraId="1019D833" w14:textId="77777777" w:rsidR="00D6615D" w:rsidRPr="001B4CE0" w:rsidRDefault="000D168C">
      <w:pPr>
        <w:numPr>
          <w:ilvl w:val="0"/>
          <w:numId w:val="4"/>
        </w:numPr>
        <w:pBdr>
          <w:top w:val="nil"/>
          <w:left w:val="nil"/>
          <w:bottom w:val="nil"/>
          <w:right w:val="nil"/>
          <w:between w:val="nil"/>
        </w:pBdr>
        <w:spacing w:after="0" w:line="360" w:lineRule="auto"/>
        <w:ind w:left="360" w:right="134"/>
        <w:jc w:val="both"/>
        <w:rPr>
          <w:rFonts w:ascii="Palatino Linotype" w:eastAsia="Palatino Linotype" w:hAnsi="Palatino Linotype" w:cs="Palatino Linotype"/>
        </w:rPr>
      </w:pPr>
      <w:r w:rsidRPr="001B4CE0">
        <w:rPr>
          <w:rFonts w:ascii="Palatino Linotype" w:eastAsia="Palatino Linotype" w:hAnsi="Palatino Linotype" w:cs="Palatino Linotype"/>
        </w:rPr>
        <w:t>El municipio deberá cubrir a la SEDENA, a través de la Dirección General, en un plazo no mayor a 15 días hábiles, a partir de ser notificado por esta, el importe a su cargo por concepto de permiso extraordinario por adquisición de armamento, así como los derechos prestados por el registro de armamento en la Licencia.</w:t>
      </w:r>
    </w:p>
    <w:p w14:paraId="4A87CE6E" w14:textId="77777777" w:rsidR="00D6615D" w:rsidRPr="001B4CE0" w:rsidRDefault="000D168C">
      <w:pPr>
        <w:numPr>
          <w:ilvl w:val="0"/>
          <w:numId w:val="4"/>
        </w:numPr>
        <w:pBdr>
          <w:top w:val="nil"/>
          <w:left w:val="nil"/>
          <w:bottom w:val="nil"/>
          <w:right w:val="nil"/>
          <w:between w:val="nil"/>
        </w:pBdr>
        <w:spacing w:after="0" w:line="360" w:lineRule="auto"/>
        <w:ind w:left="360" w:right="134"/>
        <w:jc w:val="both"/>
        <w:rPr>
          <w:rFonts w:ascii="Palatino Linotype" w:eastAsia="Palatino Linotype" w:hAnsi="Palatino Linotype" w:cs="Palatino Linotype"/>
        </w:rPr>
      </w:pPr>
      <w:r w:rsidRPr="001B4CE0">
        <w:rPr>
          <w:rFonts w:ascii="Palatino Linotype" w:eastAsia="Palatino Linotype" w:hAnsi="Palatino Linotype" w:cs="Palatino Linotype"/>
          <w:b/>
        </w:rPr>
        <w:t>Las autoridades municipales que requieran armamento deberán formular su solicitud al Secretario General de Gobierno del Estado de México</w:t>
      </w:r>
      <w:r w:rsidRPr="001B4CE0">
        <w:rPr>
          <w:rFonts w:ascii="Palatino Linotype" w:eastAsia="Palatino Linotype" w:hAnsi="Palatino Linotype" w:cs="Palatino Linotype"/>
        </w:rPr>
        <w:t xml:space="preserve"> </w:t>
      </w:r>
      <w:r w:rsidRPr="001B4CE0">
        <w:rPr>
          <w:rFonts w:ascii="Palatino Linotype" w:eastAsia="Palatino Linotype" w:hAnsi="Palatino Linotype" w:cs="Palatino Linotype"/>
          <w:b/>
        </w:rPr>
        <w:t xml:space="preserve">indicando la cantidad y </w:t>
      </w:r>
      <w:r w:rsidRPr="001B4CE0">
        <w:rPr>
          <w:rFonts w:ascii="Palatino Linotype" w:eastAsia="Palatino Linotype" w:hAnsi="Palatino Linotype" w:cs="Palatino Linotype"/>
          <w:b/>
          <w:u w:val="single"/>
        </w:rPr>
        <w:t>características de dicho armamento</w:t>
      </w:r>
      <w:r w:rsidRPr="001B4CE0">
        <w:rPr>
          <w:rFonts w:ascii="Palatino Linotype" w:eastAsia="Palatino Linotype" w:hAnsi="Palatino Linotype" w:cs="Palatino Linotype"/>
        </w:rPr>
        <w:t>; la solicitud deberá hacerse del conocimiento de la Dirección General para que con base en la disponibilidad de armamento y el número de integrantes de los cuerpos municipales de seguridad pública registrados en la Licencia, se determine la procedencia e improcedencia de dicha solicitud.</w:t>
      </w:r>
    </w:p>
    <w:p w14:paraId="57072AC0" w14:textId="77777777" w:rsidR="00D6615D" w:rsidRPr="001B4CE0" w:rsidRDefault="000D168C">
      <w:pPr>
        <w:numPr>
          <w:ilvl w:val="0"/>
          <w:numId w:val="4"/>
        </w:numPr>
        <w:pBdr>
          <w:top w:val="nil"/>
          <w:left w:val="nil"/>
          <w:bottom w:val="nil"/>
          <w:right w:val="nil"/>
          <w:between w:val="nil"/>
        </w:pBdr>
        <w:spacing w:after="0" w:line="360" w:lineRule="auto"/>
        <w:ind w:left="360" w:right="134"/>
        <w:jc w:val="both"/>
        <w:rPr>
          <w:rFonts w:ascii="Palatino Linotype" w:eastAsia="Palatino Linotype" w:hAnsi="Palatino Linotype" w:cs="Palatino Linotype"/>
          <w:b/>
        </w:rPr>
      </w:pPr>
      <w:r w:rsidRPr="001B4CE0">
        <w:rPr>
          <w:rFonts w:ascii="Palatino Linotype" w:eastAsia="Palatino Linotype" w:hAnsi="Palatino Linotype" w:cs="Palatino Linotype"/>
          <w:b/>
        </w:rPr>
        <w:t xml:space="preserve">Los municipios se encuentran obligados a la tramitación de la licencia colectiva 139, así como remitir de manera mensual a la Dirección General de Seguridad Pública y Tránsito, las altas y bajas del personal operativo que porta armas de fuego para la actualización de la licencia. </w:t>
      </w:r>
    </w:p>
    <w:p w14:paraId="48FFEAF4" w14:textId="77777777" w:rsidR="00D6615D" w:rsidRPr="001B4CE0" w:rsidRDefault="00D6615D">
      <w:pPr>
        <w:pBdr>
          <w:top w:val="nil"/>
          <w:left w:val="nil"/>
          <w:bottom w:val="nil"/>
          <w:right w:val="nil"/>
          <w:between w:val="nil"/>
        </w:pBdr>
        <w:ind w:left="720"/>
        <w:rPr>
          <w:rFonts w:ascii="Palatino Linotype" w:eastAsia="Palatino Linotype" w:hAnsi="Palatino Linotype" w:cs="Palatino Linotype"/>
          <w:b/>
        </w:rPr>
      </w:pPr>
    </w:p>
    <w:p w14:paraId="1CE57F5D" w14:textId="77777777" w:rsidR="00D6615D" w:rsidRPr="001B4CE0" w:rsidRDefault="000D168C">
      <w:pPr>
        <w:spacing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Adicional a lo anterior, es de indicar que conforme los aludidos Lineamientos para la Adquisición, Asignación, Uso y Custodia, Portación y Baja de Armamento incluido en la Licencia Oficial Colectiva número 139, se advierte la existencia del formato denominado </w:t>
      </w:r>
      <w:r w:rsidRPr="001B4CE0">
        <w:rPr>
          <w:rFonts w:ascii="Palatino Linotype" w:eastAsia="Palatino Linotype" w:hAnsi="Palatino Linotype" w:cs="Palatino Linotype"/>
        </w:rPr>
        <w:lastRenderedPageBreak/>
        <w:t xml:space="preserve">“Relación de Armamento Adquirido”, con el que los Ayuntamientos deben reportar de manera mensual a la Dirección General de Seguridad Pública y Tránsito de la Secretaría General de Gobierno de Gobierno del Estado de México, </w:t>
      </w:r>
      <w:r w:rsidRPr="001B4CE0">
        <w:rPr>
          <w:rFonts w:ascii="Palatino Linotype" w:eastAsia="Palatino Linotype" w:hAnsi="Palatino Linotype" w:cs="Palatino Linotype"/>
          <w:b/>
        </w:rPr>
        <w:t>el armamento y personal activo incluido en la referida licencia para su actualización correspondiente;</w:t>
      </w:r>
      <w:r w:rsidRPr="001B4CE0">
        <w:rPr>
          <w:rFonts w:ascii="Palatino Linotype" w:eastAsia="Palatino Linotype" w:hAnsi="Palatino Linotype" w:cs="Palatino Linotype"/>
        </w:rPr>
        <w:t xml:space="preserve"> formato e instructivo que a continuación inserta:</w:t>
      </w:r>
    </w:p>
    <w:p w14:paraId="2B53DBC4" w14:textId="77777777" w:rsidR="00D6615D" w:rsidRPr="001B4CE0" w:rsidRDefault="000D168C">
      <w:pPr>
        <w:spacing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noProof/>
          <w:lang w:eastAsia="es-MX"/>
        </w:rPr>
        <w:drawing>
          <wp:inline distT="0" distB="0" distL="0" distR="0" wp14:anchorId="4F87F1DA" wp14:editId="2D560FF0">
            <wp:extent cx="5063740" cy="2789106"/>
            <wp:effectExtent l="0" t="0" r="0" b="0"/>
            <wp:docPr id="939555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063740" cy="2789106"/>
                    </a:xfrm>
                    <a:prstGeom prst="rect">
                      <a:avLst/>
                    </a:prstGeom>
                    <a:ln/>
                  </pic:spPr>
                </pic:pic>
              </a:graphicData>
            </a:graphic>
          </wp:inline>
        </w:drawing>
      </w:r>
    </w:p>
    <w:p w14:paraId="4B22C4E5" w14:textId="77777777" w:rsidR="00D6615D" w:rsidRPr="001B4CE0" w:rsidRDefault="000D168C">
      <w:pPr>
        <w:spacing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noProof/>
          <w:lang w:eastAsia="es-MX"/>
        </w:rPr>
        <w:lastRenderedPageBreak/>
        <w:drawing>
          <wp:inline distT="0" distB="0" distL="0" distR="0" wp14:anchorId="59AE3890" wp14:editId="0BBCC601">
            <wp:extent cx="3938594" cy="4348865"/>
            <wp:effectExtent l="0" t="0" r="0" b="0"/>
            <wp:docPr id="939555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3938594" cy="4348865"/>
                    </a:xfrm>
                    <a:prstGeom prst="rect">
                      <a:avLst/>
                    </a:prstGeom>
                    <a:ln/>
                  </pic:spPr>
                </pic:pic>
              </a:graphicData>
            </a:graphic>
          </wp:inline>
        </w:drawing>
      </w:r>
    </w:p>
    <w:p w14:paraId="0FE8651A" w14:textId="77777777" w:rsidR="00D6615D" w:rsidRPr="001B4CE0" w:rsidRDefault="00D6615D">
      <w:pPr>
        <w:spacing w:line="360" w:lineRule="auto"/>
        <w:jc w:val="both"/>
        <w:rPr>
          <w:rFonts w:ascii="Palatino Linotype" w:eastAsia="Palatino Linotype" w:hAnsi="Palatino Linotype" w:cs="Palatino Linotype"/>
        </w:rPr>
      </w:pPr>
    </w:p>
    <w:p w14:paraId="617B5D1A" w14:textId="77777777" w:rsidR="00D6615D" w:rsidRPr="001B4CE0" w:rsidRDefault="000D168C">
      <w:pPr>
        <w:spacing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Como se desprende de lo anterior, el documento donde puede obrar de manera enunciativa más no limitativa la información requerida es la Relación de Armamento Adquirido.</w:t>
      </w:r>
    </w:p>
    <w:p w14:paraId="54AF934C"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Aclarado lo anterior, es conveniente recordar que el </w:t>
      </w:r>
      <w:r w:rsidRPr="001B4CE0">
        <w:rPr>
          <w:rFonts w:ascii="Palatino Linotype" w:eastAsia="Palatino Linotype" w:hAnsi="Palatino Linotype" w:cs="Palatino Linotype"/>
          <w:b/>
        </w:rPr>
        <w:t>Sujeto Obligado</w:t>
      </w:r>
      <w:r w:rsidRPr="001B4CE0">
        <w:rPr>
          <w:rFonts w:ascii="Palatino Linotype" w:eastAsia="Palatino Linotype" w:hAnsi="Palatino Linotype" w:cs="Palatino Linotype"/>
        </w:rPr>
        <w:t xml:space="preserve"> en respuesta informó que el tipo de armamento que utilizan los elementos de seguridad es información reservada, sin que se advierta el Acuerdo del Comité de Transparencia en el que se funden y motiven las razones por las cuales se confirmará la reserva de la información. </w:t>
      </w:r>
    </w:p>
    <w:p w14:paraId="6EB2B72E" w14:textId="77777777" w:rsidR="00D6615D" w:rsidRPr="001B4CE0" w:rsidRDefault="00D6615D">
      <w:pPr>
        <w:spacing w:after="0" w:line="360" w:lineRule="auto"/>
        <w:ind w:right="49"/>
        <w:jc w:val="both"/>
        <w:rPr>
          <w:rFonts w:ascii="Palatino Linotype" w:eastAsia="Palatino Linotype" w:hAnsi="Palatino Linotype" w:cs="Palatino Linotype"/>
        </w:rPr>
      </w:pPr>
    </w:p>
    <w:p w14:paraId="592A411E" w14:textId="77777777" w:rsidR="00D6615D" w:rsidRPr="001B4CE0" w:rsidRDefault="00D661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510FAD5" w14:textId="77777777" w:rsidR="00D6615D" w:rsidRPr="001B4CE0" w:rsidRDefault="00D661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7739C8A" w14:textId="77777777" w:rsidR="00D6615D" w:rsidRPr="001B4CE0" w:rsidRDefault="00D6615D">
      <w:pPr>
        <w:spacing w:after="0" w:line="360" w:lineRule="auto"/>
        <w:jc w:val="both"/>
        <w:rPr>
          <w:rFonts w:ascii="Palatino Linotype" w:eastAsia="Palatino Linotype" w:hAnsi="Palatino Linotype" w:cs="Palatino Linotype"/>
        </w:rPr>
      </w:pPr>
    </w:p>
    <w:p w14:paraId="694927D5" w14:textId="77777777" w:rsidR="00D6615D" w:rsidRPr="001B4CE0" w:rsidRDefault="000D168C">
      <w:pPr>
        <w:numPr>
          <w:ilvl w:val="0"/>
          <w:numId w:val="13"/>
        </w:numPr>
        <w:pBdr>
          <w:top w:val="nil"/>
          <w:left w:val="nil"/>
          <w:bottom w:val="nil"/>
          <w:right w:val="nil"/>
          <w:between w:val="nil"/>
        </w:pBdr>
        <w:tabs>
          <w:tab w:val="left" w:pos="4962"/>
        </w:tabs>
        <w:spacing w:after="0" w:line="360" w:lineRule="auto"/>
        <w:jc w:val="both"/>
        <w:rPr>
          <w:rFonts w:ascii="Palatino Linotype" w:eastAsia="Palatino Linotype" w:hAnsi="Palatino Linotype" w:cs="Palatino Linotype"/>
          <w:b/>
        </w:rPr>
      </w:pPr>
      <w:r w:rsidRPr="001B4CE0">
        <w:rPr>
          <w:rFonts w:ascii="Palatino Linotype" w:eastAsia="Palatino Linotype" w:hAnsi="Palatino Linotype" w:cs="Palatino Linotype"/>
          <w:b/>
        </w:rPr>
        <w:t>Respecto a la obligatoriedad de emitir el acuerdo de clasificación de la información.</w:t>
      </w:r>
    </w:p>
    <w:p w14:paraId="3689FE15" w14:textId="77777777" w:rsidR="00D6615D" w:rsidRPr="001B4CE0" w:rsidRDefault="00D6615D">
      <w:pPr>
        <w:tabs>
          <w:tab w:val="left" w:pos="4962"/>
        </w:tabs>
        <w:spacing w:after="0" w:line="360" w:lineRule="auto"/>
        <w:jc w:val="both"/>
        <w:rPr>
          <w:rFonts w:ascii="Palatino Linotype" w:eastAsia="Palatino Linotype" w:hAnsi="Palatino Linotype" w:cs="Palatino Linotype"/>
        </w:rPr>
      </w:pPr>
    </w:p>
    <w:p w14:paraId="66E52E17" w14:textId="77777777" w:rsidR="00D6615D" w:rsidRPr="001B4CE0" w:rsidRDefault="000D168C">
      <w:pPr>
        <w:spacing w:after="0" w:line="360" w:lineRule="auto"/>
        <w:ind w:right="51"/>
        <w:jc w:val="both"/>
        <w:rPr>
          <w:rFonts w:ascii="Palatino Linotype" w:eastAsia="Palatino Linotype" w:hAnsi="Palatino Linotype" w:cs="Palatino Linotype"/>
        </w:rPr>
      </w:pPr>
      <w:r w:rsidRPr="001B4CE0">
        <w:rPr>
          <w:rFonts w:ascii="Palatino Linotype" w:eastAsia="Palatino Linotype" w:hAnsi="Palatino Linotype" w:cs="Palatino Linotype"/>
        </w:rPr>
        <w:t>En principio,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0126069F" w14:textId="77777777" w:rsidR="00D6615D" w:rsidRPr="001B4CE0" w:rsidRDefault="00D6615D">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2AD8A235" w14:textId="77777777" w:rsidR="00D6615D" w:rsidRPr="001B4CE0" w:rsidRDefault="000D168C">
      <w:pPr>
        <w:pBdr>
          <w:top w:val="nil"/>
          <w:left w:val="nil"/>
          <w:bottom w:val="nil"/>
          <w:right w:val="nil"/>
          <w:between w:val="nil"/>
        </w:pBdr>
        <w:spacing w:after="0"/>
        <w:ind w:left="864" w:right="864"/>
        <w:jc w:val="both"/>
        <w:rPr>
          <w:rFonts w:ascii="Palatino Linotype" w:eastAsia="Palatino Linotype" w:hAnsi="Palatino Linotype" w:cs="Palatino Linotype"/>
          <w:b/>
          <w:i/>
          <w:u w:val="single"/>
        </w:rPr>
      </w:pPr>
      <w:r w:rsidRPr="001B4CE0">
        <w:rPr>
          <w:rFonts w:ascii="Palatino Linotype" w:eastAsia="Palatino Linotype" w:hAnsi="Palatino Linotype" w:cs="Palatino Linotype"/>
          <w:b/>
          <w:i/>
        </w:rPr>
        <w:t xml:space="preserve">Artículo 91. </w:t>
      </w:r>
      <w:r w:rsidRPr="001B4CE0">
        <w:rPr>
          <w:rFonts w:ascii="Palatino Linotype" w:eastAsia="Palatino Linotype" w:hAnsi="Palatino Linotype" w:cs="Palatino Linotype"/>
          <w:i/>
        </w:rPr>
        <w:t xml:space="preserve">El acceso a la información pública será restringido excepcionalmente, cuando ésta sea clasificada como </w:t>
      </w:r>
      <w:r w:rsidRPr="001B4CE0">
        <w:rPr>
          <w:rFonts w:ascii="Palatino Linotype" w:eastAsia="Palatino Linotype" w:hAnsi="Palatino Linotype" w:cs="Palatino Linotype"/>
          <w:b/>
          <w:i/>
          <w:u w:val="single"/>
        </w:rPr>
        <w:t xml:space="preserve">reservada </w:t>
      </w:r>
      <w:r w:rsidRPr="001B4CE0">
        <w:rPr>
          <w:rFonts w:ascii="Palatino Linotype" w:eastAsia="Palatino Linotype" w:hAnsi="Palatino Linotype" w:cs="Palatino Linotype"/>
          <w:i/>
        </w:rPr>
        <w:t>o confidencial.</w:t>
      </w:r>
    </w:p>
    <w:p w14:paraId="53D397AE" w14:textId="77777777" w:rsidR="00D6615D" w:rsidRPr="001B4CE0" w:rsidRDefault="00D6615D">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776EDE0A" w14:textId="77777777" w:rsidR="00D6615D" w:rsidRPr="001B4CE0" w:rsidRDefault="000D168C">
      <w:pPr>
        <w:spacing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Entendiéndose como </w:t>
      </w:r>
      <w:r w:rsidRPr="001B4CE0">
        <w:rPr>
          <w:rFonts w:ascii="Palatino Linotype" w:eastAsia="Palatino Linotype" w:hAnsi="Palatino Linotype" w:cs="Palatino Linotype"/>
          <w:b/>
          <w:u w:val="single"/>
        </w:rPr>
        <w:t xml:space="preserve">información reservada </w:t>
      </w:r>
      <w:r w:rsidRPr="001B4CE0">
        <w:rPr>
          <w:rFonts w:ascii="Palatino Linotype" w:eastAsia="Palatino Linotype" w:hAnsi="Palatino Linotype" w:cs="Palatino Linotype"/>
        </w:rPr>
        <w:t>aquella que se clasifica de manera temporal cuya divulgación pueda causar algún daño; y como información confidencial,</w:t>
      </w:r>
      <w:r w:rsidRPr="001B4CE0">
        <w:rPr>
          <w:rFonts w:ascii="Palatino Linotype" w:eastAsia="Palatino Linotype" w:hAnsi="Palatino Linotype" w:cs="Palatino Linotype"/>
          <w:b/>
        </w:rPr>
        <w:t xml:space="preserve"> </w:t>
      </w:r>
      <w:r w:rsidRPr="001B4CE0">
        <w:rPr>
          <w:rFonts w:ascii="Palatino Linotype" w:eastAsia="Palatino Linotype" w:hAnsi="Palatino Linotype" w:cs="Palatino Linotype"/>
        </w:rPr>
        <w:t>la que se refiera a la información privada y los datos personales concernientes a una persona física o jurídico colectiva identificada o identificable que no son de acceso público, asimismo, haga referencia a los secretos bancario, fiduciario, industrial, comercial, fiscal, bursátil y postal, cuya titularidad corresponde a particulares, sujetos de derecho internacional o a Sujetos Obligados cuando no involucren el ejercicio de recursos públicos.</w:t>
      </w:r>
    </w:p>
    <w:p w14:paraId="73491679" w14:textId="77777777" w:rsidR="00D6615D" w:rsidRPr="001B4CE0" w:rsidRDefault="000D168C">
      <w:pPr>
        <w:spacing w:line="360" w:lineRule="auto"/>
        <w:ind w:right="51"/>
        <w:jc w:val="both"/>
        <w:rPr>
          <w:rFonts w:ascii="Palatino Linotype" w:eastAsia="Palatino Linotype" w:hAnsi="Palatino Linotype" w:cs="Palatino Linotype"/>
        </w:rPr>
      </w:pPr>
      <w:r w:rsidRPr="001B4CE0">
        <w:rPr>
          <w:rFonts w:ascii="Palatino Linotype" w:eastAsia="Palatino Linotype" w:hAnsi="Palatino Linotype" w:cs="Palatino Linotype"/>
        </w:rPr>
        <w:t>En ese sentido, es de precisar que la clasificación de la información no se da por el simple mandato de la ley, sino que es necesario que el</w:t>
      </w:r>
      <w:r w:rsidRPr="001B4CE0">
        <w:rPr>
          <w:rFonts w:ascii="Palatino Linotype" w:eastAsia="Palatino Linotype" w:hAnsi="Palatino Linotype" w:cs="Palatino Linotype"/>
          <w:b/>
        </w:rPr>
        <w:t xml:space="preserve"> Sujeto Obligado,</w:t>
      </w:r>
      <w:r w:rsidRPr="001B4CE0">
        <w:rPr>
          <w:rFonts w:ascii="Palatino Linotype" w:eastAsia="Palatino Linotype" w:hAnsi="Palatino Linotype" w:cs="Palatino Linotype"/>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1B4CE0">
        <w:rPr>
          <w:rFonts w:ascii="Palatino Linotype" w:eastAsia="Palatino Linotype" w:hAnsi="Palatino Linotype" w:cs="Palatino Linotype"/>
          <w:b/>
        </w:rPr>
        <w:t>Sujeto Obligado</w:t>
      </w:r>
      <w:r w:rsidRPr="001B4CE0">
        <w:rPr>
          <w:rFonts w:ascii="Palatino Linotype" w:eastAsia="Palatino Linotype" w:hAnsi="Palatino Linotype" w:cs="Palatino Linotype"/>
        </w:rPr>
        <w:t xml:space="preserve">, teniendo el deber los primeros de ellos de presentar ante la Unidad de </w:t>
      </w:r>
      <w:r w:rsidRPr="001B4CE0">
        <w:rPr>
          <w:rFonts w:ascii="Palatino Linotype" w:eastAsia="Palatino Linotype" w:hAnsi="Palatino Linotype" w:cs="Palatino Linotype"/>
        </w:rPr>
        <w:lastRenderedPageBreak/>
        <w:t>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14:paraId="55F00F13" w14:textId="77777777" w:rsidR="00D6615D" w:rsidRPr="001B4CE0" w:rsidRDefault="00D6615D">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757F3420" w14:textId="77777777" w:rsidR="00D6615D" w:rsidRPr="001B4CE0" w:rsidRDefault="000D168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1B4CE0">
        <w:rPr>
          <w:rFonts w:ascii="Palatino Linotype" w:eastAsia="Palatino Linotype" w:hAnsi="Palatino Linotype" w:cs="Palatino Linotype"/>
          <w:i/>
        </w:rPr>
        <w:t>“</w:t>
      </w:r>
      <w:r w:rsidRPr="001B4CE0">
        <w:rPr>
          <w:rFonts w:ascii="Palatino Linotype" w:eastAsia="Palatino Linotype" w:hAnsi="Palatino Linotype" w:cs="Palatino Linotype"/>
          <w:b/>
          <w:i/>
        </w:rPr>
        <w:t>Artículo 59</w:t>
      </w:r>
      <w:r w:rsidRPr="001B4CE0">
        <w:rPr>
          <w:rFonts w:ascii="Palatino Linotype" w:eastAsia="Palatino Linotype" w:hAnsi="Palatino Linotype" w:cs="Palatino Linotype"/>
          <w:i/>
        </w:rPr>
        <w:t>. Los servidores públicos habilitados tendrán las funciones siguientes:</w:t>
      </w:r>
    </w:p>
    <w:p w14:paraId="2BFFA2DE" w14:textId="77777777" w:rsidR="00D6615D" w:rsidRPr="001B4CE0" w:rsidRDefault="000D168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1B4CE0">
        <w:rPr>
          <w:rFonts w:ascii="Palatino Linotype" w:eastAsia="Palatino Linotype" w:hAnsi="Palatino Linotype" w:cs="Palatino Linotype"/>
          <w:i/>
        </w:rPr>
        <w:t>(…)</w:t>
      </w:r>
    </w:p>
    <w:p w14:paraId="0917E037" w14:textId="77777777" w:rsidR="00D6615D" w:rsidRPr="001B4CE0" w:rsidRDefault="000D168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1B4CE0">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74014EFB" w14:textId="77777777" w:rsidR="00D6615D" w:rsidRPr="001B4CE0" w:rsidRDefault="000D168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1B4CE0">
        <w:rPr>
          <w:rFonts w:ascii="Palatino Linotype" w:eastAsia="Palatino Linotype" w:hAnsi="Palatino Linotype" w:cs="Palatino Linotype"/>
          <w:i/>
        </w:rPr>
        <w:t>(…)</w:t>
      </w:r>
    </w:p>
    <w:p w14:paraId="713FEB71" w14:textId="77777777" w:rsidR="00D6615D" w:rsidRPr="001B4CE0" w:rsidRDefault="000D168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1B4CE0">
        <w:rPr>
          <w:rFonts w:ascii="Palatino Linotype" w:eastAsia="Palatino Linotype" w:hAnsi="Palatino Linotype" w:cs="Palatino Linotype"/>
          <w:i/>
        </w:rPr>
        <w:t>Artículo 53. Las Unidades de Transparencia tendrán las siguientes funciones:</w:t>
      </w:r>
    </w:p>
    <w:p w14:paraId="3C383C6C" w14:textId="77777777" w:rsidR="00D6615D" w:rsidRPr="001B4CE0" w:rsidRDefault="000D168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1B4CE0">
        <w:rPr>
          <w:rFonts w:ascii="Palatino Linotype" w:eastAsia="Palatino Linotype" w:hAnsi="Palatino Linotype" w:cs="Palatino Linotype"/>
          <w:i/>
        </w:rPr>
        <w:t>(…)</w:t>
      </w:r>
    </w:p>
    <w:p w14:paraId="5472C424" w14:textId="77777777" w:rsidR="00D6615D" w:rsidRPr="001B4CE0" w:rsidRDefault="000D168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1B4CE0">
        <w:rPr>
          <w:rFonts w:ascii="Palatino Linotype" w:eastAsia="Palatino Linotype" w:hAnsi="Palatino Linotype" w:cs="Palatino Linotype"/>
          <w:i/>
        </w:rPr>
        <w:t>X. Presentar ante el Comité, el proyecto de clasificación de información;</w:t>
      </w:r>
    </w:p>
    <w:p w14:paraId="51DB68CD" w14:textId="77777777" w:rsidR="00D6615D" w:rsidRPr="001B4CE0" w:rsidRDefault="000D168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1B4CE0">
        <w:rPr>
          <w:rFonts w:ascii="Palatino Linotype" w:eastAsia="Palatino Linotype" w:hAnsi="Palatino Linotype" w:cs="Palatino Linotype"/>
          <w:i/>
        </w:rPr>
        <w:t xml:space="preserve">(…) </w:t>
      </w:r>
    </w:p>
    <w:p w14:paraId="69506480" w14:textId="77777777" w:rsidR="00D6615D" w:rsidRPr="001B4CE0" w:rsidRDefault="000D168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1B4CE0">
        <w:rPr>
          <w:rFonts w:ascii="Palatino Linotype" w:eastAsia="Palatino Linotype" w:hAnsi="Palatino Linotype" w:cs="Palatino Linotype"/>
          <w:b/>
          <w:i/>
        </w:rPr>
        <w:t>Artículo 49.</w:t>
      </w:r>
      <w:r w:rsidRPr="001B4CE0">
        <w:rPr>
          <w:rFonts w:ascii="Palatino Linotype" w:eastAsia="Palatino Linotype" w:hAnsi="Palatino Linotype" w:cs="Palatino Linotype"/>
          <w:i/>
        </w:rPr>
        <w:t xml:space="preserve"> Los Comités de Transparencia tendrán las siguientes atribuciones:</w:t>
      </w:r>
    </w:p>
    <w:p w14:paraId="4C2C6F25" w14:textId="77777777" w:rsidR="00D6615D" w:rsidRPr="001B4CE0" w:rsidRDefault="000D168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1B4CE0">
        <w:rPr>
          <w:rFonts w:ascii="Palatino Linotype" w:eastAsia="Palatino Linotype" w:hAnsi="Palatino Linotype" w:cs="Palatino Linotype"/>
          <w:i/>
        </w:rPr>
        <w:t>(…)</w:t>
      </w:r>
    </w:p>
    <w:p w14:paraId="5FB0C6D1" w14:textId="77777777" w:rsidR="00D6615D" w:rsidRPr="001B4CE0" w:rsidRDefault="000D168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1B4CE0">
        <w:rPr>
          <w:rFonts w:ascii="Palatino Linotype" w:eastAsia="Palatino Linotype" w:hAnsi="Palatino Linotype" w:cs="Palatino Linotype"/>
          <w:i/>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1BC81ABE" w14:textId="77777777" w:rsidR="00D6615D" w:rsidRPr="001B4CE0" w:rsidRDefault="000D168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1B4CE0">
        <w:rPr>
          <w:rFonts w:ascii="Palatino Linotype" w:eastAsia="Palatino Linotype" w:hAnsi="Palatino Linotype" w:cs="Palatino Linotype"/>
          <w:i/>
        </w:rPr>
        <w:t>(…)</w:t>
      </w:r>
    </w:p>
    <w:p w14:paraId="66B6A431" w14:textId="77777777" w:rsidR="00D6615D" w:rsidRPr="001B4CE0" w:rsidRDefault="000D168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1B4CE0">
        <w:rPr>
          <w:rFonts w:ascii="Palatino Linotype" w:eastAsia="Palatino Linotype" w:hAnsi="Palatino Linotype" w:cs="Palatino Linotype"/>
          <w:i/>
        </w:rPr>
        <w:t>VIII. Aprobar, modificar o revocar la clasificación de la información;</w:t>
      </w:r>
    </w:p>
    <w:p w14:paraId="07C5DC59" w14:textId="77777777" w:rsidR="00D6615D" w:rsidRPr="001B4CE0" w:rsidRDefault="000D168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1B4CE0">
        <w:rPr>
          <w:rFonts w:ascii="Palatino Linotype" w:eastAsia="Palatino Linotype" w:hAnsi="Palatino Linotype" w:cs="Palatino Linotype"/>
          <w:i/>
        </w:rPr>
        <w:t>(…)”</w:t>
      </w:r>
    </w:p>
    <w:p w14:paraId="4CA2EF10" w14:textId="77777777" w:rsidR="00D6615D" w:rsidRPr="001B4CE0" w:rsidRDefault="00D6615D">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21BA2383"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Bajo tales consideraciones, este Organismo Garante no omite señalar que, si el </w:t>
      </w:r>
      <w:r w:rsidRPr="001B4CE0">
        <w:rPr>
          <w:rFonts w:ascii="Palatino Linotype" w:eastAsia="Palatino Linotype" w:hAnsi="Palatino Linotype" w:cs="Palatino Linotype"/>
          <w:b/>
        </w:rPr>
        <w:t>Sujeto Obligado</w:t>
      </w:r>
      <w:r w:rsidRPr="001B4CE0">
        <w:rPr>
          <w:rFonts w:ascii="Palatino Linotype" w:eastAsia="Palatino Linotype" w:hAnsi="Palatino Linotype" w:cs="Palatino Linotype"/>
        </w:rPr>
        <w:t xml:space="preserve"> advierte que la información solicitada contiene datos personales que sean susceptibles de ser clasificados como confidenciales,</w:t>
      </w:r>
      <w:r w:rsidRPr="001B4CE0">
        <w:rPr>
          <w:rFonts w:ascii="Palatino Linotype" w:eastAsia="Palatino Linotype" w:hAnsi="Palatino Linotype" w:cs="Palatino Linotype"/>
          <w:b/>
        </w:rPr>
        <w:t xml:space="preserve"> </w:t>
      </w:r>
      <w:r w:rsidRPr="001B4CE0">
        <w:rPr>
          <w:rFonts w:ascii="Palatino Linotype" w:eastAsia="Palatino Linotype" w:hAnsi="Palatino Linotype" w:cs="Palatino Linotype"/>
        </w:rPr>
        <w:t xml:space="preserve">o, si por otro lado, por su propia y especial naturaleza, encuadra en alguno de los supuestos de </w:t>
      </w:r>
      <w:r w:rsidRPr="001B4CE0">
        <w:rPr>
          <w:rFonts w:ascii="Palatino Linotype" w:eastAsia="Palatino Linotype" w:hAnsi="Palatino Linotype" w:cs="Palatino Linotype"/>
          <w:b/>
        </w:rPr>
        <w:t>reserva</w:t>
      </w:r>
      <w:r w:rsidRPr="001B4CE0">
        <w:rPr>
          <w:rFonts w:ascii="Palatino Linotype" w:eastAsia="Palatino Linotype" w:hAnsi="Palatino Linotype" w:cs="Palatino Linotype"/>
        </w:rPr>
        <w:t xml:space="preserve"> o de confidencialidad </w:t>
      </w:r>
      <w:r w:rsidRPr="001B4CE0">
        <w:rPr>
          <w:rFonts w:ascii="Palatino Linotype" w:eastAsia="Palatino Linotype" w:hAnsi="Palatino Linotype" w:cs="Palatino Linotype"/>
          <w:b/>
        </w:rPr>
        <w:t xml:space="preserve">en </w:t>
      </w:r>
      <w:r w:rsidRPr="001B4CE0">
        <w:rPr>
          <w:rFonts w:ascii="Palatino Linotype" w:eastAsia="Palatino Linotype" w:hAnsi="Palatino Linotype" w:cs="Palatino Linotype"/>
          <w:b/>
        </w:rPr>
        <w:lastRenderedPageBreak/>
        <w:t>su totalidad,</w:t>
      </w:r>
      <w:r w:rsidRPr="001B4CE0">
        <w:rPr>
          <w:rFonts w:ascii="Palatino Linotype" w:eastAsia="Palatino Linotype" w:hAnsi="Palatino Linotype" w:cs="Palatino Linotype"/>
        </w:rPr>
        <w:t xml:space="preserve"> deberá emitir un Acuerdo de Clasificación debidamente fundado y motivado </w:t>
      </w:r>
      <w:r w:rsidRPr="001B4CE0">
        <w:rPr>
          <w:rFonts w:ascii="Palatino Linotype" w:eastAsia="Palatino Linotype" w:hAnsi="Palatino Linotype" w:cs="Palatino Linotype"/>
          <w:b/>
        </w:rPr>
        <w:t xml:space="preserve">que sustente </w:t>
      </w:r>
      <w:r w:rsidRPr="001B4CE0">
        <w:rPr>
          <w:rFonts w:ascii="Palatino Linotype" w:eastAsia="Palatino Linotype" w:hAnsi="Palatino Linotype" w:cs="Palatino Linotype"/>
        </w:rPr>
        <w:t xml:space="preserve">la clasificación parcial, a través de la versión pública que emita, o bien, </w:t>
      </w:r>
      <w:r w:rsidRPr="001B4CE0">
        <w:rPr>
          <w:rFonts w:ascii="Palatino Linotype" w:eastAsia="Palatino Linotype" w:hAnsi="Palatino Linotype" w:cs="Palatino Linotype"/>
          <w:b/>
          <w:u w:val="single"/>
        </w:rPr>
        <w:t>la restricción total del derecho de acceso a la información.</w:t>
      </w:r>
    </w:p>
    <w:p w14:paraId="7CF1253D" w14:textId="77777777" w:rsidR="00D6615D" w:rsidRPr="001B4CE0" w:rsidRDefault="00D6615D">
      <w:pPr>
        <w:spacing w:after="0" w:line="360" w:lineRule="auto"/>
        <w:jc w:val="both"/>
        <w:rPr>
          <w:rFonts w:ascii="Palatino Linotype" w:eastAsia="Palatino Linotype" w:hAnsi="Palatino Linotype" w:cs="Palatino Linotype"/>
        </w:rPr>
      </w:pPr>
    </w:p>
    <w:p w14:paraId="4A2E8E65" w14:textId="77777777" w:rsidR="00D6615D" w:rsidRPr="001B4CE0" w:rsidRDefault="000D168C">
      <w:pPr>
        <w:spacing w:line="360" w:lineRule="auto"/>
        <w:ind w:right="51"/>
        <w:jc w:val="both"/>
        <w:rPr>
          <w:rFonts w:ascii="Palatino Linotype" w:eastAsia="Palatino Linotype" w:hAnsi="Palatino Linotype" w:cs="Palatino Linotype"/>
        </w:rPr>
      </w:pPr>
      <w:bookmarkStart w:id="2" w:name="_heading=h.2s8eyo1" w:colFirst="0" w:colLast="0"/>
      <w:bookmarkEnd w:id="2"/>
      <w:r w:rsidRPr="001B4CE0">
        <w:rPr>
          <w:rFonts w:ascii="Palatino Linotype" w:eastAsia="Palatino Linotype" w:hAnsi="Palatino Linotype" w:cs="Palatino Linotype"/>
        </w:rPr>
        <w:t xml:space="preserve">Asimismo, no obsta mencionar que el Acuerdo del Comité de Transparencia mediante el cual se clasifique la información </w:t>
      </w:r>
      <w:r w:rsidRPr="001B4CE0">
        <w:rPr>
          <w:rFonts w:ascii="Palatino Linotype" w:eastAsia="Palatino Linotype" w:hAnsi="Palatino Linotype" w:cs="Palatino Linotype"/>
          <w:b/>
          <w:u w:val="single"/>
        </w:rPr>
        <w:t>como reservada</w:t>
      </w:r>
      <w:r w:rsidRPr="001B4CE0">
        <w:rPr>
          <w:rFonts w:ascii="Palatino Linotype" w:eastAsia="Palatino Linotype" w:hAnsi="Palatino Linotype" w:cs="Palatino Linotype"/>
        </w:rPr>
        <w:t xml:space="preserve"> o confidencial, de manera total o </w:t>
      </w:r>
      <w:r w:rsidRPr="001B4CE0">
        <w:rPr>
          <w:rFonts w:ascii="Palatino Linotype" w:eastAsia="Palatino Linotype" w:hAnsi="Palatino Linotype" w:cs="Palatino Linotype"/>
          <w:b/>
        </w:rPr>
        <w:t xml:space="preserve">parcial </w:t>
      </w:r>
      <w:r w:rsidRPr="001B4CE0">
        <w:rPr>
          <w:rFonts w:ascii="Palatino Linotype" w:eastAsia="Palatino Linotype" w:hAnsi="Palatino Linotype" w:cs="Palatino Linotype"/>
        </w:rPr>
        <w:t xml:space="preserve">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 </w:t>
      </w:r>
      <w:r w:rsidRPr="001B4CE0">
        <w:rPr>
          <w:rFonts w:ascii="Palatino Linotype" w:eastAsia="Palatino Linotype" w:hAnsi="Palatino Linotype" w:cs="Palatino Linotype"/>
          <w:b/>
          <w:u w:val="single"/>
        </w:rPr>
        <w:t>de igual forma en dicho acuerdo se deben exponer de manera clara los fundamentos y razones que llevaron a la autoridad a clasificar la información de acuerdo con lo establecido en el artículo 149 de la Ley de la materia,</w:t>
      </w:r>
      <w:r w:rsidRPr="001B4CE0">
        <w:rPr>
          <w:rFonts w:ascii="Palatino Linotype" w:eastAsia="Palatino Linotype" w:hAnsi="Palatino Linotype" w:cs="Palatino Linotype"/>
        </w:rPr>
        <w:t xml:space="preserve"> de lo contrario, implicaría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77198EA2" w14:textId="77777777" w:rsidR="00D6615D" w:rsidRPr="001B4CE0" w:rsidRDefault="00D6615D">
      <w:pPr>
        <w:spacing w:after="0"/>
        <w:ind w:right="901"/>
        <w:jc w:val="both"/>
        <w:rPr>
          <w:rFonts w:ascii="Palatino Linotype" w:eastAsia="Palatino Linotype" w:hAnsi="Palatino Linotype" w:cs="Palatino Linotype"/>
          <w:i/>
        </w:rPr>
      </w:pPr>
    </w:p>
    <w:p w14:paraId="2A81C3CE" w14:textId="77777777" w:rsidR="00D6615D" w:rsidRPr="001B4CE0" w:rsidRDefault="000D168C">
      <w:pPr>
        <w:spacing w:after="0" w:line="360" w:lineRule="auto"/>
        <w:ind w:right="-7"/>
        <w:jc w:val="both"/>
        <w:rPr>
          <w:rFonts w:ascii="Palatino Linotype" w:eastAsia="Palatino Linotype" w:hAnsi="Palatino Linotype" w:cs="Palatino Linotype"/>
        </w:rPr>
      </w:pPr>
      <w:r w:rsidRPr="001B4CE0">
        <w:rPr>
          <w:rFonts w:ascii="Palatino Linotype" w:eastAsia="Palatino Linotype" w:hAnsi="Palatino Linotype" w:cs="Palatino Linotype"/>
        </w:rPr>
        <w:t>En ese sentido, se considera que en el presente caso opera una clasificación total de la información requerida como reservada, por ubicarse la misma en los supuestos previstos por los artículos 140 fracción I de la Ley de Transparencia y Acceso a la Información Pública del Estado de México y Municipios, que a su vez se vincula con la diversa del artículo 113, fracción I de la Ley General de Transparencia y Acceso a la Información Pública, que indican lo siguiente:</w:t>
      </w:r>
    </w:p>
    <w:p w14:paraId="4F417F7D" w14:textId="77777777" w:rsidR="00D6615D" w:rsidRPr="001B4CE0" w:rsidRDefault="00D6615D">
      <w:pPr>
        <w:spacing w:after="0"/>
        <w:ind w:left="851" w:right="851"/>
        <w:jc w:val="both"/>
        <w:rPr>
          <w:rFonts w:ascii="Palatino Linotype" w:eastAsia="Palatino Linotype" w:hAnsi="Palatino Linotype" w:cs="Palatino Linotype"/>
          <w:b/>
          <w:i/>
        </w:rPr>
      </w:pPr>
    </w:p>
    <w:p w14:paraId="1EC4CD75" w14:textId="77777777" w:rsidR="00D6615D" w:rsidRPr="001B4CE0" w:rsidRDefault="000D168C">
      <w:pPr>
        <w:spacing w:after="0"/>
        <w:ind w:left="851" w:right="851"/>
        <w:jc w:val="both"/>
        <w:rPr>
          <w:rFonts w:ascii="Palatino Linotype" w:eastAsia="Palatino Linotype" w:hAnsi="Palatino Linotype" w:cs="Palatino Linotype"/>
          <w:i/>
        </w:rPr>
      </w:pPr>
      <w:r w:rsidRPr="001B4CE0">
        <w:rPr>
          <w:rFonts w:ascii="Palatino Linotype" w:eastAsia="Palatino Linotype" w:hAnsi="Palatino Linotype" w:cs="Palatino Linotype"/>
          <w:b/>
          <w:i/>
        </w:rPr>
        <w:t>“Artículo 113.</w:t>
      </w:r>
      <w:r w:rsidRPr="001B4CE0">
        <w:rPr>
          <w:rFonts w:ascii="Palatino Linotype" w:eastAsia="Palatino Linotype" w:hAnsi="Palatino Linotype" w:cs="Palatino Linotype"/>
          <w:i/>
        </w:rPr>
        <w:t xml:space="preserve"> Como información reservada podrá clasificarse aquella cuya publicación:</w:t>
      </w:r>
    </w:p>
    <w:p w14:paraId="7F0ABC52" w14:textId="77777777" w:rsidR="00D6615D" w:rsidRPr="001B4CE0" w:rsidRDefault="000D168C">
      <w:pPr>
        <w:spacing w:after="0"/>
        <w:ind w:left="851" w:right="851"/>
        <w:jc w:val="both"/>
        <w:rPr>
          <w:rFonts w:ascii="Palatino Linotype" w:eastAsia="Palatino Linotype" w:hAnsi="Palatino Linotype" w:cs="Palatino Linotype"/>
          <w:i/>
          <w:u w:val="single"/>
        </w:rPr>
      </w:pPr>
      <w:r w:rsidRPr="001B4CE0">
        <w:rPr>
          <w:rFonts w:ascii="Palatino Linotype" w:eastAsia="Palatino Linotype" w:hAnsi="Palatino Linotype" w:cs="Palatino Linotype"/>
          <w:i/>
          <w:u w:val="single"/>
        </w:rPr>
        <w:t xml:space="preserve"> I. Comprometa la seguridad nacional, la seguridad pública o la defensa nacional y cuente con un propósito genuino y un efecto demostrable; </w:t>
      </w:r>
    </w:p>
    <w:p w14:paraId="59E7862E" w14:textId="77777777" w:rsidR="00D6615D" w:rsidRPr="001B4CE0" w:rsidRDefault="000D168C">
      <w:pPr>
        <w:spacing w:after="0"/>
        <w:ind w:left="851" w:right="851"/>
        <w:jc w:val="both"/>
        <w:rPr>
          <w:rFonts w:ascii="Palatino Linotype" w:eastAsia="Palatino Linotype" w:hAnsi="Palatino Linotype" w:cs="Palatino Linotype"/>
          <w:i/>
        </w:rPr>
      </w:pPr>
      <w:r w:rsidRPr="001B4CE0">
        <w:rPr>
          <w:rFonts w:ascii="Palatino Linotype" w:eastAsia="Palatino Linotype" w:hAnsi="Palatino Linotype" w:cs="Palatino Linotype"/>
          <w:b/>
          <w:i/>
        </w:rPr>
        <w:lastRenderedPageBreak/>
        <w:t>[…]</w:t>
      </w:r>
    </w:p>
    <w:p w14:paraId="22137E3C" w14:textId="77777777" w:rsidR="00D6615D" w:rsidRPr="001B4CE0" w:rsidRDefault="000D168C">
      <w:pPr>
        <w:spacing w:after="0"/>
        <w:ind w:left="851" w:right="851"/>
        <w:jc w:val="both"/>
        <w:rPr>
          <w:rFonts w:ascii="Palatino Linotype" w:eastAsia="Palatino Linotype" w:hAnsi="Palatino Linotype" w:cs="Palatino Linotype"/>
          <w:i/>
        </w:rPr>
      </w:pPr>
      <w:r w:rsidRPr="001B4CE0">
        <w:rPr>
          <w:rFonts w:ascii="Palatino Linotype" w:eastAsia="Palatino Linotype" w:hAnsi="Palatino Linotype" w:cs="Palatino Linotype"/>
          <w:b/>
          <w:i/>
        </w:rPr>
        <w:t>V.</w:t>
      </w:r>
      <w:r w:rsidRPr="001B4CE0">
        <w:rPr>
          <w:rFonts w:ascii="Palatino Linotype" w:eastAsia="Palatino Linotype" w:hAnsi="Palatino Linotype" w:cs="Palatino Linotype"/>
          <w:i/>
        </w:rPr>
        <w:t xml:space="preserve"> Pueda poner en riesgo la vida, seguridad o salud de una persona física; […]”</w:t>
      </w:r>
    </w:p>
    <w:p w14:paraId="60DE905F" w14:textId="77777777" w:rsidR="00D6615D" w:rsidRPr="001B4CE0" w:rsidRDefault="00D6615D">
      <w:pPr>
        <w:spacing w:after="0"/>
        <w:ind w:left="851" w:right="851"/>
        <w:jc w:val="both"/>
        <w:rPr>
          <w:rFonts w:ascii="Palatino Linotype" w:eastAsia="Palatino Linotype" w:hAnsi="Palatino Linotype" w:cs="Palatino Linotype"/>
          <w:b/>
          <w:i/>
        </w:rPr>
      </w:pPr>
    </w:p>
    <w:p w14:paraId="55557EC7" w14:textId="77777777" w:rsidR="00D6615D" w:rsidRPr="001B4CE0" w:rsidRDefault="000D168C">
      <w:pPr>
        <w:spacing w:after="0"/>
        <w:ind w:left="851" w:right="851"/>
        <w:jc w:val="both"/>
        <w:rPr>
          <w:rFonts w:ascii="Palatino Linotype" w:eastAsia="Palatino Linotype" w:hAnsi="Palatino Linotype" w:cs="Palatino Linotype"/>
          <w:i/>
        </w:rPr>
      </w:pPr>
      <w:r w:rsidRPr="001B4CE0">
        <w:rPr>
          <w:rFonts w:ascii="Palatino Linotype" w:eastAsia="Palatino Linotype" w:hAnsi="Palatino Linotype" w:cs="Palatino Linotype"/>
          <w:b/>
          <w:i/>
        </w:rPr>
        <w:t>Artículo 140</w:t>
      </w:r>
      <w:r w:rsidRPr="001B4CE0">
        <w:rPr>
          <w:rFonts w:ascii="Palatino Linotype" w:eastAsia="Palatino Linotype" w:hAnsi="Palatino Linotype" w:cs="Palatino Linotype"/>
          <w:i/>
        </w:rPr>
        <w:t xml:space="preserve">. El acceso a la información pública será restringido excepcionalmente, cuando por razones de interés público, ésta sea clasificada como reservada, conforme a los criterios siguientes: </w:t>
      </w:r>
    </w:p>
    <w:p w14:paraId="4BED7235" w14:textId="77777777" w:rsidR="00D6615D" w:rsidRPr="001B4CE0" w:rsidRDefault="000D168C">
      <w:pPr>
        <w:spacing w:after="0"/>
        <w:ind w:left="851" w:right="851"/>
        <w:jc w:val="both"/>
        <w:rPr>
          <w:rFonts w:ascii="Palatino Linotype" w:eastAsia="Palatino Linotype" w:hAnsi="Palatino Linotype" w:cs="Palatino Linotype"/>
          <w:i/>
          <w:u w:val="single"/>
        </w:rPr>
      </w:pPr>
      <w:r w:rsidRPr="001B4CE0">
        <w:rPr>
          <w:rFonts w:ascii="Palatino Linotype" w:eastAsia="Palatino Linotype" w:hAnsi="Palatino Linotype" w:cs="Palatino Linotype"/>
          <w:b/>
          <w:i/>
          <w:u w:val="single"/>
        </w:rPr>
        <w:t>I</w:t>
      </w:r>
      <w:r w:rsidRPr="001B4CE0">
        <w:rPr>
          <w:rFonts w:ascii="Palatino Linotype" w:eastAsia="Palatino Linotype" w:hAnsi="Palatino Linotype" w:cs="Palatino Linotype"/>
          <w:i/>
          <w:u w:val="single"/>
        </w:rPr>
        <w:t xml:space="preserve">. Comprometa la seguridad pública y cuente con un propósito genuino y un efecto demostrable; </w:t>
      </w:r>
    </w:p>
    <w:p w14:paraId="6F4333E4" w14:textId="77777777" w:rsidR="00D6615D" w:rsidRPr="001B4CE0" w:rsidRDefault="000D168C">
      <w:pPr>
        <w:spacing w:after="0"/>
        <w:ind w:left="851" w:right="851"/>
        <w:jc w:val="both"/>
        <w:rPr>
          <w:rFonts w:ascii="Palatino Linotype" w:eastAsia="Palatino Linotype" w:hAnsi="Palatino Linotype" w:cs="Palatino Linotype"/>
          <w:i/>
        </w:rPr>
      </w:pPr>
      <w:r w:rsidRPr="001B4CE0">
        <w:rPr>
          <w:rFonts w:ascii="Palatino Linotype" w:eastAsia="Palatino Linotype" w:hAnsi="Palatino Linotype" w:cs="Palatino Linotype"/>
          <w:b/>
          <w:i/>
        </w:rPr>
        <w:t>[…]</w:t>
      </w:r>
    </w:p>
    <w:p w14:paraId="002AAD77" w14:textId="77777777" w:rsidR="00D6615D" w:rsidRPr="001B4CE0" w:rsidRDefault="000D168C">
      <w:pPr>
        <w:spacing w:after="0"/>
        <w:ind w:left="851" w:right="851"/>
        <w:jc w:val="both"/>
        <w:rPr>
          <w:rFonts w:ascii="Palatino Linotype" w:eastAsia="Palatino Linotype" w:hAnsi="Palatino Linotype" w:cs="Palatino Linotype"/>
          <w:i/>
        </w:rPr>
      </w:pPr>
      <w:r w:rsidRPr="001B4CE0">
        <w:rPr>
          <w:rFonts w:ascii="Palatino Linotype" w:eastAsia="Palatino Linotype" w:hAnsi="Palatino Linotype" w:cs="Palatino Linotype"/>
          <w:b/>
          <w:i/>
        </w:rPr>
        <w:t>IV.</w:t>
      </w:r>
      <w:r w:rsidRPr="001B4CE0">
        <w:rPr>
          <w:rFonts w:ascii="Palatino Linotype" w:eastAsia="Palatino Linotype" w:hAnsi="Palatino Linotype" w:cs="Palatino Linotype"/>
          <w:i/>
        </w:rPr>
        <w:t xml:space="preserve"> Ponga en riesgo la vida, la seguridad o la salud de una persona física; […]”</w:t>
      </w:r>
    </w:p>
    <w:p w14:paraId="004D569F" w14:textId="77777777" w:rsidR="00D6615D" w:rsidRPr="001B4CE0" w:rsidRDefault="000D168C">
      <w:pPr>
        <w:spacing w:after="0"/>
        <w:ind w:left="851" w:right="851"/>
        <w:jc w:val="both"/>
        <w:rPr>
          <w:rFonts w:ascii="Palatino Linotype" w:eastAsia="Palatino Linotype" w:hAnsi="Palatino Linotype" w:cs="Palatino Linotype"/>
          <w:i/>
        </w:rPr>
      </w:pPr>
      <w:r w:rsidRPr="001B4CE0">
        <w:rPr>
          <w:rFonts w:ascii="Palatino Linotype" w:eastAsia="Palatino Linotype" w:hAnsi="Palatino Linotype" w:cs="Palatino Linotype"/>
          <w:i/>
        </w:rPr>
        <w:t>(Énfasis añadido)</w:t>
      </w:r>
    </w:p>
    <w:p w14:paraId="3200C192" w14:textId="77777777" w:rsidR="00D6615D" w:rsidRPr="001B4CE0" w:rsidRDefault="00D6615D">
      <w:pPr>
        <w:spacing w:after="0"/>
        <w:ind w:left="851" w:right="851"/>
        <w:jc w:val="both"/>
        <w:rPr>
          <w:rFonts w:ascii="Palatino Linotype" w:eastAsia="Palatino Linotype" w:hAnsi="Palatino Linotype" w:cs="Palatino Linotype"/>
          <w:i/>
        </w:rPr>
      </w:pPr>
    </w:p>
    <w:p w14:paraId="620EBB8B" w14:textId="77777777" w:rsidR="00D6615D" w:rsidRPr="001B4CE0" w:rsidRDefault="000D168C">
      <w:pPr>
        <w:pBdr>
          <w:top w:val="nil"/>
          <w:left w:val="nil"/>
          <w:bottom w:val="nil"/>
          <w:right w:val="nil"/>
          <w:between w:val="nil"/>
        </w:pBd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Se afirma lo anterior, pues la información que revela el tipo de armamento que maneja el personal operativo (policías) adscrito a la Dirección de Seguridad Pública, podría ocasionar que los entes delincuenciales busquen allegarse de instrumentos para disminuir o destruir estos, con el fin de aumentar la inseguridad del Sujeto Obligado, pues podría ser utilizada dicha información para buscar las debilidades de las mismas y poderse aprovechar de dichas situaciones para realizar diversos delitos, lo cual va en detrimento de la paz y orden social.</w:t>
      </w:r>
    </w:p>
    <w:p w14:paraId="6A3D9C8C" w14:textId="77777777" w:rsidR="00D6615D" w:rsidRPr="001B4CE0" w:rsidRDefault="00D6615D">
      <w:pPr>
        <w:spacing w:after="0" w:line="360" w:lineRule="auto"/>
        <w:rPr>
          <w:rFonts w:ascii="Palatino Linotype" w:eastAsia="Palatino Linotype" w:hAnsi="Palatino Linotype" w:cs="Palatino Linotype"/>
        </w:rPr>
      </w:pPr>
    </w:p>
    <w:p w14:paraId="58AB8F4F" w14:textId="77777777" w:rsidR="00D6615D" w:rsidRPr="001B4CE0" w:rsidRDefault="000D168C">
      <w:pPr>
        <w:spacing w:line="360" w:lineRule="auto"/>
        <w:jc w:val="both"/>
        <w:rPr>
          <w:rFonts w:ascii="Palatino Linotype" w:eastAsia="Palatino Linotype" w:hAnsi="Palatino Linotype" w:cs="Palatino Linotype"/>
          <w:b/>
        </w:rPr>
      </w:pPr>
      <w:r w:rsidRPr="001B4CE0">
        <w:rPr>
          <w:rFonts w:ascii="Palatino Linotype" w:eastAsia="Palatino Linotype" w:hAnsi="Palatino Linotype" w:cs="Palatino Linotype"/>
        </w:rPr>
        <w:t xml:space="preserve">Conforme a lo anterior, se puede colegir que proporcionar la información en análisis podría comprometer la seguridad pública, al poner en peligro las funciones a cargo del Sujeto Obligado, </w:t>
      </w:r>
      <w:r w:rsidRPr="001B4CE0">
        <w:t xml:space="preserve"> </w:t>
      </w:r>
      <w:r w:rsidRPr="001B4CE0">
        <w:rPr>
          <w:rFonts w:ascii="Palatino Linotype" w:eastAsia="Palatino Linotype" w:hAnsi="Palatino Linotype" w:cs="Palatino Linotype"/>
        </w:rPr>
        <w:t xml:space="preserve">tendientes a preservar y resguardar la vida, la salud, la integridad y el ejercicio de los derechos de las personas, así como para el mantenimiento del orden público, toda vez </w:t>
      </w:r>
      <w:r w:rsidRPr="001B4CE0">
        <w:rPr>
          <w:rFonts w:ascii="Palatino Linotype" w:eastAsia="Palatino Linotype" w:hAnsi="Palatino Linotype" w:cs="Palatino Linotype"/>
          <w:b/>
        </w:rPr>
        <w:t xml:space="preserve">que da cuenta del armamento utilizado por la Dirección General de Seguridad Pública </w:t>
      </w:r>
      <w:r w:rsidRPr="001B4CE0">
        <w:rPr>
          <w:rFonts w:ascii="Palatino Linotype" w:eastAsia="Palatino Linotype" w:hAnsi="Palatino Linotype" w:cs="Palatino Linotype"/>
        </w:rPr>
        <w:t>y por lo tanto, acredita la causal de clasificación prevista en el artículo 140, fracción I de la Ley de Transparencia y Acceso a la Información Pública del Estado de México</w:t>
      </w:r>
      <w:r w:rsidRPr="001B4CE0">
        <w:rPr>
          <w:rFonts w:ascii="Palatino Linotype" w:eastAsia="Palatino Linotype" w:hAnsi="Palatino Linotype" w:cs="Palatino Linotype"/>
          <w:b/>
        </w:rPr>
        <w:t>.</w:t>
      </w:r>
    </w:p>
    <w:p w14:paraId="48A5AB7B" w14:textId="77777777" w:rsidR="00D6615D" w:rsidRPr="001B4CE0" w:rsidRDefault="000D168C">
      <w:pPr>
        <w:tabs>
          <w:tab w:val="left" w:pos="4962"/>
        </w:tabs>
        <w:spacing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Sobre el particular, cabe traer a colación el artículo 141 de la Ley de Transparencia y Acceso a la Información Pública del Estado de México y Municipios, que establece que las causales de </w:t>
      </w:r>
      <w:r w:rsidRPr="001B4CE0">
        <w:rPr>
          <w:rFonts w:ascii="Palatino Linotype" w:eastAsia="Palatino Linotype" w:hAnsi="Palatino Linotype" w:cs="Palatino Linotype"/>
        </w:rPr>
        <w:lastRenderedPageBreak/>
        <w:t>reserva se deberán fundar y motivar, a través de la aplicación de la prueba de daño establecida en el artículo 129 de dicho ordenamiento, que se debe justificar de la siguiente manera:</w:t>
      </w:r>
    </w:p>
    <w:p w14:paraId="16B06919" w14:textId="77777777" w:rsidR="00D6615D" w:rsidRPr="001B4CE0" w:rsidRDefault="000D168C">
      <w:pPr>
        <w:numPr>
          <w:ilvl w:val="0"/>
          <w:numId w:val="14"/>
        </w:numPr>
        <w:tabs>
          <w:tab w:val="left" w:pos="4962"/>
        </w:tabs>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La divulgación de la información representa un riesgo real, demostrable e identificable de perjuicio significativo al interés público o a la seguridad nacional.</w:t>
      </w:r>
    </w:p>
    <w:p w14:paraId="08BCAEA4" w14:textId="77777777" w:rsidR="00D6615D" w:rsidRPr="001B4CE0" w:rsidRDefault="000D168C">
      <w:pPr>
        <w:numPr>
          <w:ilvl w:val="0"/>
          <w:numId w:val="14"/>
        </w:numPr>
        <w:tabs>
          <w:tab w:val="left" w:pos="4962"/>
        </w:tabs>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El riesgo de perjuicio supera el interés público general de que se difunda.</w:t>
      </w:r>
    </w:p>
    <w:p w14:paraId="498472CA" w14:textId="77777777" w:rsidR="00D6615D" w:rsidRPr="001B4CE0" w:rsidRDefault="000D168C">
      <w:pPr>
        <w:numPr>
          <w:ilvl w:val="0"/>
          <w:numId w:val="14"/>
        </w:numPr>
        <w:tabs>
          <w:tab w:val="left" w:pos="4962"/>
        </w:tabs>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Que la limitación se adecua al principio de proporcionalidad y representa el medio menos restrictivo disponible para evitar el perjuicio.</w:t>
      </w:r>
    </w:p>
    <w:p w14:paraId="79348579" w14:textId="77777777" w:rsidR="00D6615D" w:rsidRPr="001B4CE0" w:rsidRDefault="00D6615D">
      <w:pPr>
        <w:spacing w:line="360" w:lineRule="auto"/>
        <w:jc w:val="both"/>
        <w:rPr>
          <w:rFonts w:ascii="Palatino Linotype" w:eastAsia="Palatino Linotype" w:hAnsi="Palatino Linotype" w:cs="Palatino Linotype"/>
        </w:rPr>
      </w:pPr>
    </w:p>
    <w:p w14:paraId="6EF167D8" w14:textId="77777777" w:rsidR="00D6615D" w:rsidRPr="001B4CE0" w:rsidRDefault="000D168C">
      <w:pPr>
        <w:spacing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Al respecto, este Instituto advierte que dar a conocer información sobre el tipo de armamento ocupado por el personal operativo de la Dirección General de Seguridad Pública, para inhibir la inseguridad y evitar la comisión de actos ilícitos, podría dar a conocer las debilidades del armamento utilizado por el personal de seguridad pública, con el fin de dar una ventaja a los entes delincuenciales y facilitar la comisión de delitos. </w:t>
      </w:r>
    </w:p>
    <w:p w14:paraId="3E29B118" w14:textId="77777777" w:rsidR="00D6615D" w:rsidRPr="001B4CE0" w:rsidRDefault="00D6615D">
      <w:pPr>
        <w:spacing w:line="360" w:lineRule="auto"/>
        <w:jc w:val="both"/>
        <w:rPr>
          <w:rFonts w:ascii="Palatino Linotype" w:eastAsia="Palatino Linotype" w:hAnsi="Palatino Linotype" w:cs="Palatino Linotype"/>
        </w:rPr>
      </w:pPr>
    </w:p>
    <w:p w14:paraId="607BC7A6" w14:textId="77777777" w:rsidR="00D6615D" w:rsidRPr="001B4CE0" w:rsidRDefault="000D168C">
      <w:pPr>
        <w:spacing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Asimismo, ocasiona que los individuos con pretensiones delictivas conozcan de manera detallada el armamento ocupado por los policías, lo cual permitiría que se prepararan y buscaran la forma de inhibir las armas o los medios de protección de estos, en detrimento de los policías y la sociedad, lo cual se traduciría en un detrimento al combate a la delincuencia y un perjuicio a la seguridad pública, vulnerando así, el interés general.</w:t>
      </w:r>
    </w:p>
    <w:p w14:paraId="07A714A8" w14:textId="77777777" w:rsidR="00D6615D" w:rsidRPr="001B4CE0" w:rsidRDefault="00D6615D">
      <w:pPr>
        <w:spacing w:after="0" w:line="360" w:lineRule="auto"/>
        <w:ind w:left="720"/>
        <w:jc w:val="both"/>
        <w:rPr>
          <w:rFonts w:ascii="Palatino Linotype" w:eastAsia="Palatino Linotype" w:hAnsi="Palatino Linotype" w:cs="Palatino Linotype"/>
        </w:rPr>
      </w:pPr>
    </w:p>
    <w:p w14:paraId="2FD03358"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En el caso particular prevalece  proteger alguno de los derechos más importantes, como lo son la vida, la salud y la seguridad de los habitantes del ayuntamiento, además, que con la protección de la información ayuda a mantener el orden y paz social, pues no se estarían menoscabando las estrategias contra la capacidad de disuadir, prevenir disturbios sociales, o </w:t>
      </w:r>
      <w:r w:rsidRPr="001B4CE0">
        <w:rPr>
          <w:rFonts w:ascii="Palatino Linotype" w:eastAsia="Palatino Linotype" w:hAnsi="Palatino Linotype" w:cs="Palatino Linotype"/>
        </w:rPr>
        <w:lastRenderedPageBreak/>
        <w:t>bien, la capacidad de reacción, planes, estrategias, tecnologías, información o sistemas de comunicaciones de la Dirección General de Seguridad Publica.</w:t>
      </w:r>
    </w:p>
    <w:p w14:paraId="614E874A" w14:textId="77777777" w:rsidR="00D6615D" w:rsidRPr="001B4CE0" w:rsidRDefault="00D6615D">
      <w:pPr>
        <w:spacing w:after="0" w:line="360" w:lineRule="auto"/>
        <w:jc w:val="both"/>
        <w:rPr>
          <w:rFonts w:ascii="Palatino Linotype" w:eastAsia="Palatino Linotype" w:hAnsi="Palatino Linotype" w:cs="Palatino Linotype"/>
        </w:rPr>
      </w:pPr>
    </w:p>
    <w:p w14:paraId="1CA9174C" w14:textId="77777777" w:rsidR="00D6615D" w:rsidRPr="001B4CE0" w:rsidRDefault="000D168C">
      <w:pP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De esta manera, después de analizar la naturaleza de la información solicitada, este Instituto arriba a la conclusión de que la divulgación de la información requerida por la persona solicitante, generaría un daño que sería mayor al interés público, puesto que darla a conocer, revelaría el tipo, modelo, calibre, marca de las armas con las que cuenta la Dirección General de Seguridad Pública, para el combate a la delincuencia en el Municipio, pues al proporcionar información sobre el armamento con los que cuentan dicha área, se estaría dando cuenta del equipo y armamento especial, con el que cuentan el personal, y que es utilizado para mantener la seguridad dentro del territorio del Municipio, actualizando las hipótesis de reserva previstas en el artículo 140, fracción I de la Ley de Transparencia, Acceso a la Información Pública del Estado de México y Municipios.</w:t>
      </w:r>
    </w:p>
    <w:p w14:paraId="1DEF8A4A" w14:textId="77777777" w:rsidR="00D6615D" w:rsidRPr="001B4CE0" w:rsidRDefault="00D6615D">
      <w:pPr>
        <w:spacing w:after="0" w:line="360" w:lineRule="auto"/>
        <w:ind w:left="720"/>
        <w:jc w:val="both"/>
        <w:rPr>
          <w:rFonts w:ascii="Palatino Linotype" w:eastAsia="Palatino Linotype" w:hAnsi="Palatino Linotype" w:cs="Palatino Linotype"/>
        </w:rPr>
      </w:pPr>
    </w:p>
    <w:p w14:paraId="0998FDE5"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Derivado de lo expuesto, se estima procedente ordenar la entrega del Acuerdo de clasificación emitido por el Comité de Transparencia, en donde de manera debidamente fundada y motivada, a través de una prueba de daño, confirme la clasificación como reservada, en términos del artículo 140 fracción I de la Ley de Transparencia y Acceso a la Información Pública del Estado de México y Municipios, de los datos requeridos consistentes en el tipo de armamento que utiliza el personal de seguridad pública al veinte de marzo de dos mil veinticuatro.</w:t>
      </w:r>
    </w:p>
    <w:p w14:paraId="4D50F8D5" w14:textId="77777777" w:rsidR="00D6615D" w:rsidRPr="001B4CE0" w:rsidRDefault="00D6615D">
      <w:pPr>
        <w:spacing w:after="0" w:line="360" w:lineRule="auto"/>
        <w:jc w:val="both"/>
        <w:rPr>
          <w:rFonts w:ascii="Palatino Linotype" w:eastAsia="Palatino Linotype" w:hAnsi="Palatino Linotype" w:cs="Palatino Linotype"/>
        </w:rPr>
      </w:pPr>
    </w:p>
    <w:p w14:paraId="3666D786" w14:textId="77777777" w:rsidR="00D6615D" w:rsidRPr="001B4CE0" w:rsidRDefault="000D168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1B4CE0">
        <w:rPr>
          <w:rFonts w:ascii="Palatino Linotype" w:eastAsia="Palatino Linotype" w:hAnsi="Palatino Linotype" w:cs="Palatino Linotype"/>
          <w:b/>
        </w:rPr>
        <w:t>Cuál es la antigüedad de las patrullas del municipio.</w:t>
      </w:r>
    </w:p>
    <w:p w14:paraId="226708D9" w14:textId="77777777" w:rsidR="00D6615D" w:rsidRPr="001B4CE0" w:rsidRDefault="00D6615D">
      <w:pPr>
        <w:pBdr>
          <w:top w:val="nil"/>
          <w:left w:val="nil"/>
          <w:bottom w:val="nil"/>
          <w:right w:val="nil"/>
          <w:between w:val="nil"/>
        </w:pBdr>
        <w:spacing w:after="0" w:line="360" w:lineRule="auto"/>
        <w:ind w:left="720"/>
        <w:jc w:val="both"/>
        <w:rPr>
          <w:rFonts w:ascii="Palatino Linotype" w:eastAsia="Palatino Linotype" w:hAnsi="Palatino Linotype" w:cs="Palatino Linotype"/>
          <w:b/>
        </w:rPr>
      </w:pPr>
    </w:p>
    <w:p w14:paraId="65CB2626"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lastRenderedPageBreak/>
        <w:t xml:space="preserve">En respuesta el </w:t>
      </w:r>
      <w:r w:rsidRPr="001B4CE0">
        <w:rPr>
          <w:rFonts w:ascii="Palatino Linotype" w:eastAsia="Palatino Linotype" w:hAnsi="Palatino Linotype" w:cs="Palatino Linotype"/>
          <w:b/>
        </w:rPr>
        <w:t>Sujeto Obligado</w:t>
      </w:r>
      <w:r w:rsidRPr="001B4CE0">
        <w:rPr>
          <w:rFonts w:ascii="Palatino Linotype" w:eastAsia="Palatino Linotype" w:hAnsi="Palatino Linotype" w:cs="Palatino Linotype"/>
        </w:rPr>
        <w:t xml:space="preserve"> informó que el municipio cuenta con cuatro unidades útiles del modelo 2019 al 2023; sin embargo, no precisó el año de cada una de las unidades, toda vez que lo refiere de manera general. </w:t>
      </w:r>
    </w:p>
    <w:p w14:paraId="3D837E49" w14:textId="77777777" w:rsidR="00D6615D" w:rsidRPr="001B4CE0" w:rsidRDefault="00D6615D">
      <w:pPr>
        <w:spacing w:after="0" w:line="360" w:lineRule="auto"/>
        <w:jc w:val="both"/>
        <w:rPr>
          <w:rFonts w:ascii="Palatino Linotype" w:eastAsia="Palatino Linotype" w:hAnsi="Palatino Linotype" w:cs="Palatino Linotype"/>
        </w:rPr>
      </w:pPr>
    </w:p>
    <w:p w14:paraId="7890815F"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Con relación a lo anterior, este Instituto advierte que el documento que de manera enunciativa más no limitativa puede colmar el punto de análisis es el Inventario de Bienes Muebles, como se observa a continuación:</w:t>
      </w:r>
    </w:p>
    <w:p w14:paraId="5AC004F5" w14:textId="77777777" w:rsidR="00D6615D" w:rsidRPr="001B4CE0" w:rsidRDefault="00D6615D">
      <w:pPr>
        <w:spacing w:after="0" w:line="360" w:lineRule="auto"/>
        <w:jc w:val="both"/>
        <w:rPr>
          <w:rFonts w:ascii="Palatino Linotype" w:eastAsia="Palatino Linotype" w:hAnsi="Palatino Linotype" w:cs="Palatino Linotype"/>
        </w:rPr>
      </w:pPr>
    </w:p>
    <w:p w14:paraId="138B1721" w14:textId="77777777" w:rsidR="00D6615D" w:rsidRPr="001B4CE0" w:rsidRDefault="000D168C">
      <w:pPr>
        <w:ind w:right="899"/>
        <w:jc w:val="both"/>
        <w:rPr>
          <w:rFonts w:ascii="Palatino Linotype" w:eastAsia="Palatino Linotype" w:hAnsi="Palatino Linotype" w:cs="Palatino Linotype"/>
          <w:i/>
        </w:rPr>
      </w:pPr>
      <w:r w:rsidRPr="001B4CE0">
        <w:rPr>
          <w:rFonts w:ascii="Palatino Linotype" w:eastAsia="Palatino Linotype" w:hAnsi="Palatino Linotype" w:cs="Palatino Linotype"/>
          <w:i/>
          <w:noProof/>
          <w:lang w:eastAsia="es-MX"/>
        </w:rPr>
        <w:drawing>
          <wp:inline distT="0" distB="0" distL="0" distR="0" wp14:anchorId="6404D819" wp14:editId="28E318B7">
            <wp:extent cx="5612130" cy="3656965"/>
            <wp:effectExtent l="0" t="0" r="0" b="0"/>
            <wp:docPr id="939555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612130" cy="3656965"/>
                    </a:xfrm>
                    <a:prstGeom prst="rect">
                      <a:avLst/>
                    </a:prstGeom>
                    <a:ln/>
                  </pic:spPr>
                </pic:pic>
              </a:graphicData>
            </a:graphic>
          </wp:inline>
        </w:drawing>
      </w:r>
    </w:p>
    <w:p w14:paraId="5A030495" w14:textId="77777777" w:rsidR="00D6615D" w:rsidRPr="001B4CE0" w:rsidRDefault="000D168C">
      <w:pPr>
        <w:ind w:right="899"/>
        <w:jc w:val="both"/>
        <w:rPr>
          <w:rFonts w:ascii="Palatino Linotype" w:eastAsia="Palatino Linotype" w:hAnsi="Palatino Linotype" w:cs="Palatino Linotype"/>
          <w:i/>
        </w:rPr>
      </w:pPr>
      <w:r w:rsidRPr="001B4CE0">
        <w:rPr>
          <w:rFonts w:ascii="Palatino Linotype" w:eastAsia="Palatino Linotype" w:hAnsi="Palatino Linotype" w:cs="Palatino Linotype"/>
          <w:i/>
          <w:noProof/>
          <w:lang w:eastAsia="es-MX"/>
        </w:rPr>
        <w:lastRenderedPageBreak/>
        <w:drawing>
          <wp:inline distT="0" distB="0" distL="0" distR="0" wp14:anchorId="2B37F1F5" wp14:editId="1C4A16CD">
            <wp:extent cx="5612130" cy="2649220"/>
            <wp:effectExtent l="0" t="0" r="0" b="0"/>
            <wp:docPr id="939555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5612130" cy="2649220"/>
                    </a:xfrm>
                    <a:prstGeom prst="rect">
                      <a:avLst/>
                    </a:prstGeom>
                    <a:ln/>
                  </pic:spPr>
                </pic:pic>
              </a:graphicData>
            </a:graphic>
          </wp:inline>
        </w:drawing>
      </w:r>
    </w:p>
    <w:p w14:paraId="40D3BFCA" w14:textId="77777777" w:rsidR="00D6615D" w:rsidRPr="001B4CE0" w:rsidRDefault="000D168C">
      <w:pPr>
        <w:ind w:right="899"/>
        <w:jc w:val="both"/>
        <w:rPr>
          <w:rFonts w:ascii="Palatino Linotype" w:eastAsia="Palatino Linotype" w:hAnsi="Palatino Linotype" w:cs="Palatino Linotype"/>
          <w:i/>
        </w:rPr>
      </w:pPr>
      <w:r w:rsidRPr="001B4CE0">
        <w:rPr>
          <w:rFonts w:ascii="Palatino Linotype" w:eastAsia="Palatino Linotype" w:hAnsi="Palatino Linotype" w:cs="Palatino Linotype"/>
          <w:i/>
          <w:noProof/>
          <w:lang w:eastAsia="es-MX"/>
        </w:rPr>
        <w:drawing>
          <wp:inline distT="0" distB="0" distL="0" distR="0" wp14:anchorId="6159854C" wp14:editId="425B91BF">
            <wp:extent cx="5386742" cy="3496203"/>
            <wp:effectExtent l="0" t="0" r="0" b="0"/>
            <wp:docPr id="939555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5386742" cy="3496203"/>
                    </a:xfrm>
                    <a:prstGeom prst="rect">
                      <a:avLst/>
                    </a:prstGeom>
                    <a:ln/>
                  </pic:spPr>
                </pic:pic>
              </a:graphicData>
            </a:graphic>
          </wp:inline>
        </w:drawing>
      </w:r>
      <w:r w:rsidRPr="001B4CE0">
        <w:rPr>
          <w:noProof/>
          <w:lang w:eastAsia="es-MX"/>
        </w:rPr>
        <mc:AlternateContent>
          <mc:Choice Requires="wpg">
            <w:drawing>
              <wp:anchor distT="0" distB="0" distL="114300" distR="114300" simplePos="0" relativeHeight="251661312" behindDoc="0" locked="0" layoutInCell="1" hidden="0" allowOverlap="1" wp14:anchorId="4DF31DC2" wp14:editId="02C97F5C">
                <wp:simplePos x="0" y="0"/>
                <wp:positionH relativeFrom="column">
                  <wp:posOffset>38101</wp:posOffset>
                </wp:positionH>
                <wp:positionV relativeFrom="paragraph">
                  <wp:posOffset>279400</wp:posOffset>
                </wp:positionV>
                <wp:extent cx="4360646" cy="1247600"/>
                <wp:effectExtent l="0" t="0" r="0" b="0"/>
                <wp:wrapNone/>
                <wp:docPr id="93955534" name="Rectángulo 93955534"/>
                <wp:cNvGraphicFramePr/>
                <a:graphic xmlns:a="http://schemas.openxmlformats.org/drawingml/2006/main">
                  <a:graphicData uri="http://schemas.microsoft.com/office/word/2010/wordprocessingShape">
                    <wps:wsp>
                      <wps:cNvSpPr/>
                      <wps:spPr>
                        <a:xfrm>
                          <a:off x="3175202" y="3165725"/>
                          <a:ext cx="4341596" cy="1228550"/>
                        </a:xfrm>
                        <a:prstGeom prst="rect">
                          <a:avLst/>
                        </a:prstGeom>
                        <a:noFill/>
                        <a:ln w="19050" cap="flat" cmpd="sng">
                          <a:solidFill>
                            <a:srgbClr val="FF0000"/>
                          </a:solidFill>
                          <a:prstDash val="solid"/>
                          <a:miter lim="800000"/>
                          <a:headEnd type="none" w="sm" len="sm"/>
                          <a:tailEnd type="none" w="sm" len="sm"/>
                        </a:ln>
                      </wps:spPr>
                      <wps:txbx>
                        <w:txbxContent>
                          <w:p w14:paraId="651E4C23" w14:textId="77777777" w:rsidR="00D6615D" w:rsidRDefault="00D6615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38101</wp:posOffset>
                </wp:positionH>
                <wp:positionV relativeFrom="paragraph">
                  <wp:posOffset>279400</wp:posOffset>
                </wp:positionV>
                <wp:extent cx="4360646" cy="1247600"/>
                <wp:effectExtent b="0" l="0" r="0" t="0"/>
                <wp:wrapNone/>
                <wp:docPr id="93955534" name="image18.png"/>
                <a:graphic>
                  <a:graphicData uri="http://schemas.openxmlformats.org/drawingml/2006/picture">
                    <pic:pic>
                      <pic:nvPicPr>
                        <pic:cNvPr id="0" name="image18.png"/>
                        <pic:cNvPicPr preferRelativeResize="0"/>
                      </pic:nvPicPr>
                      <pic:blipFill>
                        <a:blip r:embed="rId27"/>
                        <a:srcRect/>
                        <a:stretch>
                          <a:fillRect/>
                        </a:stretch>
                      </pic:blipFill>
                      <pic:spPr>
                        <a:xfrm>
                          <a:off x="0" y="0"/>
                          <a:ext cx="4360646" cy="1247600"/>
                        </a:xfrm>
                        <a:prstGeom prst="rect"/>
                        <a:ln/>
                      </pic:spPr>
                    </pic:pic>
                  </a:graphicData>
                </a:graphic>
              </wp:anchor>
            </w:drawing>
          </mc:Fallback>
        </mc:AlternateContent>
      </w:r>
    </w:p>
    <w:p w14:paraId="1671854C"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Al respecto, el inventario de bienes muebles, cuenta con el modelo de los bienes, información que puede dar por colmado el derecho de acceso a la información del particular, toda vez que de dicho documento se puede advertir la antigüedad con la que cuenta cada una de las </w:t>
      </w:r>
      <w:r w:rsidRPr="001B4CE0">
        <w:rPr>
          <w:rFonts w:ascii="Palatino Linotype" w:eastAsia="Palatino Linotype" w:hAnsi="Palatino Linotype" w:cs="Palatino Linotype"/>
        </w:rPr>
        <w:lastRenderedPageBreak/>
        <w:t xml:space="preserve">unidades referidas por el </w:t>
      </w:r>
      <w:r w:rsidRPr="001B4CE0">
        <w:rPr>
          <w:rFonts w:ascii="Palatino Linotype" w:eastAsia="Palatino Linotype" w:hAnsi="Palatino Linotype" w:cs="Palatino Linotype"/>
          <w:b/>
        </w:rPr>
        <w:t>Sujeto Obligado</w:t>
      </w:r>
      <w:r w:rsidRPr="001B4CE0">
        <w:rPr>
          <w:rFonts w:ascii="Palatino Linotype" w:eastAsia="Palatino Linotype" w:hAnsi="Palatino Linotype" w:cs="Palatino Linotype"/>
        </w:rPr>
        <w:t xml:space="preserve">, motivo por el que se ordena el documento en el que conste el modelo de cada uno de las unidades referidas en respuesta, en versión pública. </w:t>
      </w:r>
    </w:p>
    <w:p w14:paraId="1C137114" w14:textId="77777777" w:rsidR="00D6615D" w:rsidRPr="001B4CE0" w:rsidRDefault="00D6615D">
      <w:pPr>
        <w:spacing w:after="0" w:line="360" w:lineRule="auto"/>
        <w:jc w:val="both"/>
        <w:rPr>
          <w:rFonts w:ascii="Palatino Linotype" w:eastAsia="Palatino Linotype" w:hAnsi="Palatino Linotype" w:cs="Palatino Linotype"/>
        </w:rPr>
      </w:pPr>
    </w:p>
    <w:p w14:paraId="30E5D625" w14:textId="77777777" w:rsidR="00D6615D" w:rsidRPr="001B4CE0" w:rsidRDefault="000D168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1B4CE0">
        <w:rPr>
          <w:rFonts w:ascii="Palatino Linotype" w:eastAsia="Palatino Linotype" w:hAnsi="Palatino Linotype" w:cs="Palatino Linotype"/>
          <w:b/>
        </w:rPr>
        <w:t>Cuál es el presupuesto asignado a seguridad pública municipal.</w:t>
      </w:r>
    </w:p>
    <w:p w14:paraId="7C552706" w14:textId="77777777" w:rsidR="00D6615D" w:rsidRPr="001B4CE0" w:rsidRDefault="000D168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1B4CE0">
        <w:rPr>
          <w:rFonts w:ascii="Palatino Linotype" w:eastAsia="Palatino Linotype" w:hAnsi="Palatino Linotype" w:cs="Palatino Linotype"/>
          <w:b/>
        </w:rPr>
        <w:t>Conocer si el ayuntamiento ha obtenido recursos estatales o federales para atender este rubro, "</w:t>
      </w:r>
      <w:r w:rsidRPr="001B4CE0">
        <w:rPr>
          <w:rFonts w:ascii="Palatino Linotype" w:eastAsia="Palatino Linotype" w:hAnsi="Palatino Linotype" w:cs="Palatino Linotype"/>
          <w:b/>
          <w:i/>
        </w:rPr>
        <w:t>adjunte documentos probatorios</w:t>
      </w:r>
      <w:r w:rsidRPr="001B4CE0">
        <w:rPr>
          <w:rFonts w:ascii="Palatino Linotype" w:eastAsia="Palatino Linotype" w:hAnsi="Palatino Linotype" w:cs="Palatino Linotype"/>
          <w:b/>
        </w:rPr>
        <w:t>".</w:t>
      </w:r>
    </w:p>
    <w:p w14:paraId="69C70C5C" w14:textId="77777777" w:rsidR="00D6615D" w:rsidRPr="001B4CE0" w:rsidRDefault="00D6615D">
      <w:pPr>
        <w:pBdr>
          <w:top w:val="nil"/>
          <w:left w:val="nil"/>
          <w:bottom w:val="nil"/>
          <w:right w:val="nil"/>
          <w:between w:val="nil"/>
        </w:pBdr>
        <w:spacing w:after="0" w:line="360" w:lineRule="auto"/>
        <w:ind w:left="720"/>
        <w:jc w:val="both"/>
        <w:rPr>
          <w:rFonts w:ascii="Palatino Linotype" w:eastAsia="Palatino Linotype" w:hAnsi="Palatino Linotype" w:cs="Palatino Linotype"/>
          <w:b/>
        </w:rPr>
      </w:pPr>
    </w:p>
    <w:p w14:paraId="143216F1"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Respecto a estos puntos la Dirección de Seguridad Pública informó que el presupuesto asignado a seguridad pública consiste en lo recibido por FASP y FOFISP; aunado a que el Ayuntamiento ha sido beneficiado con recursos federales, mismos que consisten en el Fondo de Aportaciones para la Seguridad Pública (FASP) y Fondo para el Fortalecimiento de las Instituciones de Seguridad Pública (FOFISP); no obstante, si bien asume contar con la información, lo cierto es que, únicamente emitió un pronunciamiento en el que asume contar con un presupuesto; sin embargo, no hace del conocimiento el documento que dé cuenta del monto que le fue asignado. </w:t>
      </w:r>
    </w:p>
    <w:p w14:paraId="60A6D625" w14:textId="77777777" w:rsidR="00D6615D" w:rsidRPr="001B4CE0" w:rsidRDefault="00D6615D">
      <w:pPr>
        <w:spacing w:after="0" w:line="360" w:lineRule="auto"/>
        <w:jc w:val="both"/>
        <w:rPr>
          <w:rFonts w:ascii="Palatino Linotype" w:eastAsia="Palatino Linotype" w:hAnsi="Palatino Linotype" w:cs="Palatino Linotype"/>
        </w:rPr>
      </w:pPr>
    </w:p>
    <w:p w14:paraId="7B7224ED" w14:textId="77777777" w:rsidR="00D6615D" w:rsidRPr="001B4CE0" w:rsidRDefault="000D168C">
      <w:pPr>
        <w:pBdr>
          <w:top w:val="nil"/>
          <w:left w:val="nil"/>
          <w:bottom w:val="nil"/>
          <w:right w:val="nil"/>
          <w:between w:val="nil"/>
        </w:pBd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Por lo que, resulta oportuno citar la siguiente normatividad:</w:t>
      </w:r>
    </w:p>
    <w:p w14:paraId="64FF8FFB" w14:textId="77777777" w:rsidR="00D6615D" w:rsidRPr="001B4CE0" w:rsidRDefault="00D6615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3B438200" w14:textId="77777777" w:rsidR="00D6615D" w:rsidRPr="001B4CE0" w:rsidRDefault="000D168C">
      <w:pPr>
        <w:pBdr>
          <w:top w:val="nil"/>
          <w:left w:val="nil"/>
          <w:bottom w:val="nil"/>
          <w:right w:val="nil"/>
          <w:between w:val="nil"/>
        </w:pBdr>
        <w:spacing w:after="0"/>
        <w:ind w:left="851" w:right="843"/>
        <w:jc w:val="center"/>
        <w:rPr>
          <w:rFonts w:ascii="Palatino Linotype" w:eastAsia="Palatino Linotype" w:hAnsi="Palatino Linotype" w:cs="Palatino Linotype"/>
          <w:b/>
          <w:i/>
        </w:rPr>
      </w:pPr>
      <w:r w:rsidRPr="001B4CE0">
        <w:rPr>
          <w:rFonts w:ascii="Palatino Linotype" w:eastAsia="Palatino Linotype" w:hAnsi="Palatino Linotype" w:cs="Palatino Linotype"/>
          <w:b/>
          <w:i/>
        </w:rPr>
        <w:t>LEY DE COORDINACIÓN FISCAL.</w:t>
      </w:r>
    </w:p>
    <w:p w14:paraId="27DF1078" w14:textId="77777777" w:rsidR="00D6615D" w:rsidRPr="001B4CE0" w:rsidRDefault="000D168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 xml:space="preserve">Artículo 25.- Con independencia de lo establecido en los capítulos I a IV de esta Ley, respecto de la participación de los Estados, Municipios y el Distrito Federal en la recaudación federal participable, </w:t>
      </w:r>
      <w:r w:rsidRPr="001B4CE0">
        <w:rPr>
          <w:rFonts w:ascii="Palatino Linotype" w:eastAsia="Palatino Linotype" w:hAnsi="Palatino Linotype" w:cs="Palatino Linotype"/>
          <w:b/>
          <w:i/>
          <w:u w:val="single"/>
        </w:rPr>
        <w:t>se establecen las aportaciones federales, como recursos que la Federación transfiere a las haciendas públicas de los Estados, Distrito Federal, y en su caso, de los Municipios</w:t>
      </w:r>
      <w:r w:rsidRPr="001B4CE0">
        <w:rPr>
          <w:rFonts w:ascii="Palatino Linotype" w:eastAsia="Palatino Linotype" w:hAnsi="Palatino Linotype" w:cs="Palatino Linotype"/>
          <w:i/>
        </w:rPr>
        <w:t xml:space="preserve">, condicionando su gasto a la consecución y cumplimiento de los objetivos que para cada tipo de aportación establece esta Ley, para los Fondos siguientes: </w:t>
      </w:r>
    </w:p>
    <w:p w14:paraId="33879699" w14:textId="77777777" w:rsidR="00D6615D" w:rsidRPr="001B4CE0" w:rsidRDefault="00D6615D">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73A93E9A" w14:textId="77777777" w:rsidR="00D6615D" w:rsidRPr="001B4CE0" w:rsidRDefault="000D168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 xml:space="preserve">I. Fondo de Aportaciones para la Nómina Educativa y Gasto Operativo; </w:t>
      </w:r>
    </w:p>
    <w:p w14:paraId="3ED37DAD" w14:textId="77777777" w:rsidR="00D6615D" w:rsidRPr="001B4CE0" w:rsidRDefault="000D168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lastRenderedPageBreak/>
        <w:t>II. Fondo de Aportaciones para los Servicios de Salud;</w:t>
      </w:r>
    </w:p>
    <w:p w14:paraId="528926B2" w14:textId="77777777" w:rsidR="00D6615D" w:rsidRPr="001B4CE0" w:rsidRDefault="000D168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III. Fondo de Aportaciones para la Infraestructura Social;</w:t>
      </w:r>
    </w:p>
    <w:p w14:paraId="729E5420" w14:textId="77777777" w:rsidR="00D6615D" w:rsidRPr="001B4CE0" w:rsidRDefault="000D168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IV. Fondo de Aportaciones para el Fortalecimiento de los Municipios y de las Demarcaciones Territoriales del Distrito Federal;</w:t>
      </w:r>
    </w:p>
    <w:p w14:paraId="3F0E4B2F" w14:textId="77777777" w:rsidR="00D6615D" w:rsidRPr="001B4CE0" w:rsidRDefault="000D168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V. Fondo de Aportaciones Múltiples.</w:t>
      </w:r>
    </w:p>
    <w:p w14:paraId="226711C8" w14:textId="77777777" w:rsidR="00D6615D" w:rsidRPr="001B4CE0" w:rsidRDefault="000D168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 xml:space="preserve">VI.- Fondo de Aportaciones para la Educación Tecnológica y de Adultos, y </w:t>
      </w:r>
    </w:p>
    <w:p w14:paraId="6721F8F9" w14:textId="77777777" w:rsidR="00D6615D" w:rsidRPr="001B4CE0" w:rsidRDefault="000D168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 xml:space="preserve">VII.- </w:t>
      </w:r>
      <w:r w:rsidRPr="001B4CE0">
        <w:rPr>
          <w:rFonts w:ascii="Palatino Linotype" w:eastAsia="Palatino Linotype" w:hAnsi="Palatino Linotype" w:cs="Palatino Linotype"/>
          <w:b/>
          <w:i/>
        </w:rPr>
        <w:t>Fondo de Aportaciones para la Seguridad Pública de los Estados y del Distrito Federal</w:t>
      </w:r>
      <w:r w:rsidRPr="001B4CE0">
        <w:rPr>
          <w:rFonts w:ascii="Palatino Linotype" w:eastAsia="Palatino Linotype" w:hAnsi="Palatino Linotype" w:cs="Palatino Linotype"/>
          <w:i/>
        </w:rPr>
        <w:t>.</w:t>
      </w:r>
    </w:p>
    <w:p w14:paraId="1D596810" w14:textId="77777777" w:rsidR="00D6615D" w:rsidRPr="001B4CE0" w:rsidRDefault="000D168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VIII.- Fondo de Aportaciones para el Fortalecimiento de las Entidades Federativas.</w:t>
      </w:r>
    </w:p>
    <w:p w14:paraId="09F9EE1B" w14:textId="77777777" w:rsidR="00D6615D" w:rsidRPr="001B4CE0" w:rsidRDefault="00D6615D">
      <w:pPr>
        <w:pBdr>
          <w:top w:val="nil"/>
          <w:left w:val="nil"/>
          <w:bottom w:val="nil"/>
          <w:right w:val="nil"/>
          <w:between w:val="nil"/>
        </w:pBdr>
        <w:spacing w:after="0" w:line="360" w:lineRule="auto"/>
        <w:ind w:right="900"/>
        <w:jc w:val="both"/>
        <w:rPr>
          <w:rFonts w:ascii="Palatino Linotype" w:eastAsia="Palatino Linotype" w:hAnsi="Palatino Linotype" w:cs="Palatino Linotype"/>
        </w:rPr>
      </w:pPr>
    </w:p>
    <w:p w14:paraId="54302F70" w14:textId="77777777" w:rsidR="00D6615D" w:rsidRPr="001B4CE0" w:rsidRDefault="000D168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Siendo de nuestro interés el Fondo de Aportaciones para la Seguridad Pública de los Estados y del Distrito Federal es un fondo presupuestal previsto en la Ley de Coordinación Fiscal a través del cual se transfieren recursos a las entidades federativas para dar cumplimiento a estrategias nacionales en materia de seguridad pública.</w:t>
      </w:r>
    </w:p>
    <w:p w14:paraId="5798CD47" w14:textId="77777777" w:rsidR="00D6615D" w:rsidRPr="001B4CE0" w:rsidRDefault="00D661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C0804B9" w14:textId="77777777" w:rsidR="00D6615D" w:rsidRPr="001B4CE0" w:rsidRDefault="000D168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El FASP atiende a los cinco Ejes Estratégicos del Sistema Nacional de Seguridad Pública y se orienta a los diez Programas con Prioridad Nacional, siendo estos los siguientes:</w:t>
      </w:r>
    </w:p>
    <w:p w14:paraId="7AA9DE35" w14:textId="77777777" w:rsidR="00D6615D" w:rsidRPr="001B4CE0" w:rsidRDefault="00D661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1BE8F83" w14:textId="77777777" w:rsidR="00D6615D" w:rsidRPr="001B4CE0" w:rsidRDefault="000D168C">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Desarrollo de capacidades en las instituciones locales para el diseño de políticas públicas destinadas a la prevención social de la violencia y la delincuencia con participación ciudadana en temas de seguridad pública.</w:t>
      </w:r>
    </w:p>
    <w:p w14:paraId="669482F5" w14:textId="77777777" w:rsidR="00D6615D" w:rsidRPr="001B4CE0" w:rsidRDefault="000D168C">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Desarrollo, profesionalización y certificación policial.</w:t>
      </w:r>
    </w:p>
    <w:p w14:paraId="6A70E032" w14:textId="77777777" w:rsidR="00D6615D" w:rsidRPr="001B4CE0" w:rsidRDefault="000D168C">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Tecnologías, infraestructura y equipamiento de apoyo a la operación policial.</w:t>
      </w:r>
    </w:p>
    <w:p w14:paraId="0755CD49" w14:textId="77777777" w:rsidR="00D6615D" w:rsidRPr="001B4CE0" w:rsidRDefault="000D168C">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Implementación y desarrollo del sistema de justicia penal y sistemas complementarios.</w:t>
      </w:r>
    </w:p>
    <w:p w14:paraId="01B12B50" w14:textId="77777777" w:rsidR="00D6615D" w:rsidRPr="001B4CE0" w:rsidRDefault="000D168C">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Fortalecimiento al sistema penitenciario nacional y de ejecución de medidas para adolescentes.</w:t>
      </w:r>
    </w:p>
    <w:p w14:paraId="04D73B9C" w14:textId="77777777" w:rsidR="00D6615D" w:rsidRPr="001B4CE0" w:rsidRDefault="000D168C">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Desarrollo de las ciencias forenses en la investigación de hechos delictivos.</w:t>
      </w:r>
    </w:p>
    <w:p w14:paraId="50169535" w14:textId="77777777" w:rsidR="00D6615D" w:rsidRPr="001B4CE0" w:rsidRDefault="000D168C">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lastRenderedPageBreak/>
        <w:t>Sistema nacional de información para la seguridad pública.</w:t>
      </w:r>
    </w:p>
    <w:p w14:paraId="0D66F24E" w14:textId="77777777" w:rsidR="00D6615D" w:rsidRPr="001B4CE0" w:rsidRDefault="000D168C">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Sistema nacional de atención de llamadas de emergencia y denuncias ciudadanas.</w:t>
      </w:r>
    </w:p>
    <w:p w14:paraId="416A5FA5" w14:textId="77777777" w:rsidR="00D6615D" w:rsidRPr="001B4CE0" w:rsidRDefault="000D168C">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Fortalecimiento de capacidades para la prevención y combate a delitos de alto impacto.</w:t>
      </w:r>
    </w:p>
    <w:p w14:paraId="28E41775" w14:textId="77777777" w:rsidR="00D6615D" w:rsidRPr="001B4CE0" w:rsidRDefault="000D168C">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Especialización de las instancias responsables de la búsqueda de personas.</w:t>
      </w:r>
    </w:p>
    <w:p w14:paraId="5164A72A" w14:textId="77777777" w:rsidR="00D6615D" w:rsidRPr="001B4CE0" w:rsidRDefault="00D6615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D6DD0EC" w14:textId="77777777" w:rsidR="00D6615D" w:rsidRPr="001B4CE0" w:rsidRDefault="000D168C">
      <w:pPr>
        <w:pBdr>
          <w:top w:val="nil"/>
          <w:left w:val="nil"/>
          <w:bottom w:val="nil"/>
          <w:right w:val="nil"/>
          <w:between w:val="nil"/>
        </w:pBd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Aunado a ello, el Fondo para el Fortalecimiento de las Instituciones de Seguridad Pública (FOFISP) es un fondo considerado en el Presupuesto de Egresos de la Federación, a través del cual la Federación transfiere recursos al Secretariado Ejecutivo del Sistema Nacional de Seguridad Pública para beneficiar a las entidades federativas en el fortalecimiento de las Instituciones de Seguridad Pública estatales y municipales.</w:t>
      </w:r>
    </w:p>
    <w:p w14:paraId="18F4BF56" w14:textId="77777777" w:rsidR="00D6615D" w:rsidRPr="001B4CE0" w:rsidRDefault="000D168C">
      <w:pPr>
        <w:spacing w:before="240" w:after="240" w:line="360" w:lineRule="auto"/>
        <w:ind w:right="51"/>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De lo anterior, se advierte que en efecto el Gobierno Estatal y Federal transfiere recursos para beneficiar a las entidades municipales. Lo anterior toma sentido, toda vez que el </w:t>
      </w:r>
      <w:r w:rsidRPr="001B4CE0">
        <w:rPr>
          <w:rFonts w:ascii="Palatino Linotype" w:eastAsia="Palatino Linotype" w:hAnsi="Palatino Linotype" w:cs="Palatino Linotype"/>
          <w:b/>
        </w:rPr>
        <w:t>Sujeto Obligado</w:t>
      </w:r>
      <w:r w:rsidRPr="001B4CE0">
        <w:rPr>
          <w:rFonts w:ascii="Palatino Linotype" w:eastAsia="Palatino Linotype" w:hAnsi="Palatino Linotype" w:cs="Palatino Linotype"/>
        </w:rPr>
        <w:t xml:space="preserve"> asumió que cuenta con un presupuesto asignado a seguridad pública consistente en lo recibido por el Fondo de Aportaciones para la Seguridad Pública y Fondo para el Fortalecimiento de las Instituciones de Seguridad Pública; sin embargo, de las constancias que obran en el expediente electrónico, no se advierte que el Tesorero Municipal que es el encargo de administrar la hacienda pública municipal, emitiera un pronunciamiento, así como tampoco se advierte el documento que dé cuenta del monto presupuestado; por lo que, la respuesta del </w:t>
      </w:r>
      <w:r w:rsidRPr="001B4CE0">
        <w:rPr>
          <w:rFonts w:ascii="Palatino Linotype" w:eastAsia="Palatino Linotype" w:hAnsi="Palatino Linotype" w:cs="Palatino Linotype"/>
          <w:b/>
        </w:rPr>
        <w:t>SUJETO OBLIGADO</w:t>
      </w:r>
      <w:r w:rsidRPr="001B4CE0">
        <w:rPr>
          <w:rFonts w:ascii="Palatino Linotype" w:eastAsia="Palatino Linotype" w:hAnsi="Palatino Linotype" w:cs="Palatino Linotype"/>
        </w:rPr>
        <w:t>,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14:paraId="005CF24E" w14:textId="77777777" w:rsidR="00D6615D" w:rsidRPr="001B4CE0" w:rsidRDefault="000D168C">
      <w:pPr>
        <w:spacing w:before="80" w:after="240"/>
        <w:ind w:left="567" w:right="900"/>
        <w:jc w:val="both"/>
        <w:rPr>
          <w:rFonts w:ascii="Palatino Linotype" w:eastAsia="Palatino Linotype" w:hAnsi="Palatino Linotype" w:cs="Palatino Linotype"/>
          <w:i/>
        </w:rPr>
      </w:pPr>
      <w:r w:rsidRPr="001B4CE0">
        <w:rPr>
          <w:rFonts w:ascii="Palatino Linotype" w:eastAsia="Palatino Linotype" w:hAnsi="Palatino Linotype" w:cs="Palatino Linotype"/>
          <w:b/>
          <w:i/>
        </w:rPr>
        <w:t xml:space="preserve">“Congruencia y exhaustividad. Sus alcances para garantizar el derecho de acceso a la información. </w:t>
      </w:r>
      <w:r w:rsidRPr="001B4CE0">
        <w:rPr>
          <w:rFonts w:ascii="Palatino Linotype" w:eastAsia="Palatino Linotype" w:hAnsi="Palatino Linotype" w:cs="Palatino Linotype"/>
          <w:i/>
        </w:rPr>
        <w:t xml:space="preserve">De conformidad con el artículo 3 de la Ley Federal de </w:t>
      </w:r>
      <w:r w:rsidRPr="001B4CE0">
        <w:rPr>
          <w:rFonts w:ascii="Palatino Linotype" w:eastAsia="Palatino Linotype" w:hAnsi="Palatino Linotype" w:cs="Palatino Linotype"/>
          <w:i/>
        </w:rPr>
        <w:lastRenderedPageBreak/>
        <w:t xml:space="preserve">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1B4CE0">
        <w:rPr>
          <w:rFonts w:ascii="Palatino Linotype" w:eastAsia="Palatino Linotype" w:hAnsi="Palatino Linotype" w:cs="Palatino Linotype"/>
          <w:b/>
          <w:i/>
        </w:rPr>
        <w:t>la congruencia implica que exista concordancia entre el requerimiento formulado por el particular y la respuesta proporcionada por el sujeto obligado</w:t>
      </w:r>
      <w:r w:rsidRPr="001B4CE0">
        <w:rPr>
          <w:rFonts w:ascii="Palatino Linotype" w:eastAsia="Palatino Linotype" w:hAnsi="Palatino Linotype" w:cs="Palatino Linotype"/>
          <w:i/>
        </w:rPr>
        <w:t xml:space="preserve">; mientras que </w:t>
      </w:r>
      <w:r w:rsidRPr="001B4CE0">
        <w:rPr>
          <w:rFonts w:ascii="Palatino Linotype" w:eastAsia="Palatino Linotype" w:hAnsi="Palatino Linotype" w:cs="Palatino Linotype"/>
          <w:b/>
          <w:i/>
        </w:rPr>
        <w:t>la exhaustividad significa que dicha respuesta se refiera expresamente a cada uno de los puntos solicitados</w:t>
      </w:r>
      <w:r w:rsidRPr="001B4CE0">
        <w:rPr>
          <w:rFonts w:ascii="Palatino Linotype" w:eastAsia="Palatino Linotype" w:hAnsi="Palatino Linotype" w:cs="Palatino Linotype"/>
          <w:i/>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08C84653" w14:textId="77777777" w:rsidR="00D6615D" w:rsidRPr="001B4CE0" w:rsidRDefault="000D168C">
      <w:pPr>
        <w:spacing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Razones por las cuales lo procedente es ordenar el documento que dé cuenta del presupuesto asignado a la seguridad pública municipal referido en respuesta. </w:t>
      </w:r>
    </w:p>
    <w:p w14:paraId="063E832C" w14:textId="77777777" w:rsidR="00D6615D" w:rsidRPr="001B4CE0" w:rsidRDefault="000D168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Es por todo lo anteriormente expuesto que se estima procedente </w:t>
      </w:r>
      <w:r w:rsidRPr="001B4CE0">
        <w:rPr>
          <w:rFonts w:ascii="Palatino Linotype" w:eastAsia="Palatino Linotype" w:hAnsi="Palatino Linotype" w:cs="Palatino Linotype"/>
          <w:b/>
        </w:rPr>
        <w:t>Modificar </w:t>
      </w:r>
      <w:r w:rsidRPr="001B4CE0">
        <w:rPr>
          <w:rFonts w:ascii="Palatino Linotype" w:eastAsia="Palatino Linotype" w:hAnsi="Palatino Linotype" w:cs="Palatino Linotype"/>
        </w:rPr>
        <w:t xml:space="preserve">la respuesta del </w:t>
      </w:r>
      <w:r w:rsidRPr="001B4CE0">
        <w:rPr>
          <w:rFonts w:ascii="Palatino Linotype" w:eastAsia="Palatino Linotype" w:hAnsi="Palatino Linotype" w:cs="Palatino Linotype"/>
          <w:b/>
        </w:rPr>
        <w:t>Sujeto Obligado</w:t>
      </w:r>
      <w:r w:rsidRPr="001B4CE0">
        <w:rPr>
          <w:rFonts w:ascii="Palatino Linotype" w:eastAsia="Palatino Linotype" w:hAnsi="Palatino Linotype" w:cs="Palatino Linotype"/>
        </w:rPr>
        <w:t xml:space="preserve"> de conformidad con lo establecido en el artículo 186 fracción III de la Ley de Transparencia y Acceso a la Información Pública del Estado de México y Municipios, a fin de que se ponga a disposición de la particular, la documentación requerida, en versión pública de ser procedente, esto de conformidad con el Considerando siguiente.</w:t>
      </w:r>
    </w:p>
    <w:p w14:paraId="273AE680" w14:textId="77777777" w:rsidR="00D6615D" w:rsidRPr="001B4CE0" w:rsidRDefault="000D168C">
      <w:pPr>
        <w:pBdr>
          <w:top w:val="nil"/>
          <w:left w:val="nil"/>
          <w:bottom w:val="nil"/>
          <w:right w:val="nil"/>
          <w:between w:val="nil"/>
        </w:pBdr>
        <w:tabs>
          <w:tab w:val="left" w:pos="426"/>
        </w:tabs>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b/>
        </w:rPr>
        <w:t xml:space="preserve">QUINTO. VERSIÓN PÚBLICA. </w:t>
      </w:r>
      <w:r w:rsidRPr="001B4CE0">
        <w:rPr>
          <w:rFonts w:ascii="Palatino Linotype" w:eastAsia="Palatino Linotype" w:hAnsi="Palatino Linotype" w:cs="Palatino Linotype"/>
        </w:rPr>
        <w:t>Finalmente, debe señalarse que de ser el caso en que los documentos que vayan a ser entregados para dar cumplimiento a la presente resolución, contengan datos que deban ser clasificados, el</w:t>
      </w:r>
      <w:r w:rsidRPr="001B4CE0">
        <w:rPr>
          <w:rFonts w:ascii="Palatino Linotype" w:eastAsia="Palatino Linotype" w:hAnsi="Palatino Linotype" w:cs="Palatino Linotype"/>
          <w:b/>
        </w:rPr>
        <w:t xml:space="preserve"> Sujeto Obligado</w:t>
      </w:r>
      <w:r w:rsidRPr="001B4CE0">
        <w:rPr>
          <w:rFonts w:ascii="Palatino Linotype" w:eastAsia="Palatino Linotype" w:hAnsi="Palatino Linotype" w:cs="Palatino Linotype"/>
        </w:rPr>
        <w:t xml:space="preserve"> deberá hacer la elaboración de la versión pública de los mismos a fin de satisfacer el derecho de acceso a la información pública de la parte</w:t>
      </w:r>
      <w:r w:rsidRPr="001B4CE0">
        <w:rPr>
          <w:rFonts w:ascii="Palatino Linotype" w:eastAsia="Palatino Linotype" w:hAnsi="Palatino Linotype" w:cs="Palatino Linotype"/>
          <w:b/>
        </w:rPr>
        <w:t xml:space="preserve"> Recurrente</w:t>
      </w:r>
      <w:r w:rsidRPr="001B4CE0">
        <w:rPr>
          <w:rFonts w:ascii="Palatino Linotype" w:eastAsia="Palatino Linotype" w:hAnsi="Palatino Linotype" w:cs="Palatino Linotype"/>
        </w:rPr>
        <w:t xml:space="preserve"> sin menoscabo al derecho a la protección de los datos personales de terceros.</w:t>
      </w:r>
    </w:p>
    <w:p w14:paraId="19A97793" w14:textId="77777777" w:rsidR="00D6615D" w:rsidRPr="001B4CE0" w:rsidRDefault="00D6615D">
      <w:pPr>
        <w:pBdr>
          <w:top w:val="nil"/>
          <w:left w:val="nil"/>
          <w:bottom w:val="nil"/>
          <w:right w:val="nil"/>
          <w:between w:val="nil"/>
        </w:pBdr>
        <w:tabs>
          <w:tab w:val="left" w:pos="426"/>
        </w:tabs>
        <w:spacing w:after="0" w:line="360" w:lineRule="auto"/>
        <w:ind w:right="49"/>
        <w:jc w:val="both"/>
        <w:rPr>
          <w:rFonts w:ascii="Palatino Linotype" w:eastAsia="Palatino Linotype" w:hAnsi="Palatino Linotype" w:cs="Palatino Linotype"/>
        </w:rPr>
      </w:pPr>
    </w:p>
    <w:p w14:paraId="155D0265" w14:textId="77777777" w:rsidR="00D6615D" w:rsidRPr="001B4CE0" w:rsidRDefault="000D168C">
      <w:pPr>
        <w:pBdr>
          <w:top w:val="nil"/>
          <w:left w:val="nil"/>
          <w:bottom w:val="nil"/>
          <w:right w:val="nil"/>
          <w:between w:val="nil"/>
        </w:pBdr>
        <w:tabs>
          <w:tab w:val="left" w:pos="426"/>
        </w:tabs>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Para efectos de la elaboración de la versión pública se deberá observar lo dispuesto por los artículos 3 fracciones IX, XX, XXI y XLV, 91, 132 fracciones II y III, y 143 fracción I de la Ley </w:t>
      </w:r>
      <w:r w:rsidRPr="001B4CE0">
        <w:rPr>
          <w:rFonts w:ascii="Palatino Linotype" w:eastAsia="Palatino Linotype" w:hAnsi="Palatino Linotype" w:cs="Palatino Linotype"/>
        </w:rPr>
        <w:lastRenderedPageBreak/>
        <w:t>de Transparencia y Acceso a la Información Pública del Estado de México y Municipios que establecen:</w:t>
      </w:r>
    </w:p>
    <w:p w14:paraId="2C3194D0"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i/>
        </w:rPr>
        <w:t>“</w:t>
      </w:r>
      <w:r w:rsidRPr="001B4CE0">
        <w:rPr>
          <w:rFonts w:ascii="Palatino Linotype" w:eastAsia="Palatino Linotype" w:hAnsi="Palatino Linotype" w:cs="Palatino Linotype"/>
          <w:b/>
          <w:i/>
        </w:rPr>
        <w:t>Artículo 3</w:t>
      </w:r>
      <w:r w:rsidRPr="001B4CE0">
        <w:rPr>
          <w:rFonts w:ascii="Palatino Linotype" w:eastAsia="Palatino Linotype" w:hAnsi="Palatino Linotype" w:cs="Palatino Linotype"/>
          <w:i/>
        </w:rPr>
        <w:t>. Para los efectos de la presente Ley se entenderá por:</w:t>
      </w:r>
    </w:p>
    <w:p w14:paraId="0526CB47"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i/>
        </w:rPr>
        <w:t>[…]</w:t>
      </w:r>
    </w:p>
    <w:p w14:paraId="3C5122DB"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b/>
          <w:i/>
        </w:rPr>
        <w:t>IX. Datos personales</w:t>
      </w:r>
      <w:r w:rsidRPr="001B4CE0">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0FB31104"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b/>
          <w:i/>
        </w:rPr>
        <w:t>XX. Información clasificada</w:t>
      </w:r>
      <w:r w:rsidRPr="001B4CE0">
        <w:rPr>
          <w:rFonts w:ascii="Palatino Linotype" w:eastAsia="Palatino Linotype" w:hAnsi="Palatino Linotype" w:cs="Palatino Linotype"/>
          <w:i/>
        </w:rPr>
        <w:t>: Aquella considerada por la presente Ley como reservada o confidencial;</w:t>
      </w:r>
    </w:p>
    <w:p w14:paraId="63A077AE"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b/>
          <w:i/>
        </w:rPr>
        <w:t>XXI. Información confidencial</w:t>
      </w:r>
      <w:r w:rsidRPr="001B4CE0">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E1C3504"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b/>
          <w:i/>
        </w:rPr>
        <w:t>XLV. Versión pública</w:t>
      </w:r>
      <w:r w:rsidRPr="001B4CE0">
        <w:rPr>
          <w:rFonts w:ascii="Palatino Linotype" w:eastAsia="Palatino Linotype" w:hAnsi="Palatino Linotype" w:cs="Palatino Linotype"/>
          <w:i/>
        </w:rPr>
        <w:t>: Documento en el que se elimine, suprime o borra la información clasificada como reservada o confidencial para permitir su acceso.</w:t>
      </w:r>
    </w:p>
    <w:p w14:paraId="3B2A9606"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i/>
        </w:rPr>
        <w:t>[…]</w:t>
      </w:r>
    </w:p>
    <w:p w14:paraId="6BCA272A"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b/>
          <w:i/>
        </w:rPr>
        <w:t>Artículo 91.</w:t>
      </w:r>
      <w:r w:rsidRPr="001B4CE0">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454D5EEF"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b/>
          <w:i/>
        </w:rPr>
        <w:t>Artículo 132</w:t>
      </w:r>
      <w:r w:rsidRPr="001B4CE0">
        <w:rPr>
          <w:rFonts w:ascii="Palatino Linotype" w:eastAsia="Palatino Linotype" w:hAnsi="Palatino Linotype" w:cs="Palatino Linotype"/>
          <w:i/>
        </w:rPr>
        <w:t>. La clasificación de la información se llevará a cabo en el momento en que:</w:t>
      </w:r>
    </w:p>
    <w:p w14:paraId="443FC739"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b/>
          <w:i/>
        </w:rPr>
        <w:t>I.</w:t>
      </w:r>
      <w:r w:rsidRPr="001B4CE0">
        <w:rPr>
          <w:rFonts w:ascii="Palatino Linotype" w:eastAsia="Palatino Linotype" w:hAnsi="Palatino Linotype" w:cs="Palatino Linotype"/>
          <w:i/>
        </w:rPr>
        <w:t xml:space="preserve"> Se reciba una solicitud de acceso a la información;</w:t>
      </w:r>
    </w:p>
    <w:p w14:paraId="5DCAABB9"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b/>
          <w:i/>
        </w:rPr>
        <w:t>II.</w:t>
      </w:r>
      <w:r w:rsidRPr="001B4CE0">
        <w:rPr>
          <w:rFonts w:ascii="Palatino Linotype" w:eastAsia="Palatino Linotype" w:hAnsi="Palatino Linotype" w:cs="Palatino Linotype"/>
          <w:i/>
        </w:rPr>
        <w:t xml:space="preserve"> Se determine mediante resolución de autoridad competente; o</w:t>
      </w:r>
    </w:p>
    <w:p w14:paraId="432AC621"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b/>
          <w:i/>
        </w:rPr>
        <w:t>III.</w:t>
      </w:r>
      <w:r w:rsidRPr="001B4CE0">
        <w:rPr>
          <w:rFonts w:ascii="Palatino Linotype" w:eastAsia="Palatino Linotype" w:hAnsi="Palatino Linotype" w:cs="Palatino Linotype"/>
          <w:i/>
        </w:rPr>
        <w:t xml:space="preserve"> Se generen versiones públicas para dar cumplimiento a las obligaciones de transparencia previstas en esta Ley.</w:t>
      </w:r>
    </w:p>
    <w:p w14:paraId="5AFFA55F"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i/>
        </w:rPr>
        <w:t>[…]</w:t>
      </w:r>
    </w:p>
    <w:p w14:paraId="1C780EFF"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b/>
          <w:i/>
        </w:rPr>
        <w:t>Artículo 143.</w:t>
      </w:r>
      <w:r w:rsidRPr="001B4CE0">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44E40C2D"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b/>
          <w:i/>
        </w:rPr>
        <w:lastRenderedPageBreak/>
        <w:t>I.</w:t>
      </w:r>
      <w:r w:rsidRPr="001B4CE0">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7BB3F562"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b/>
          <w:i/>
        </w:rPr>
        <w:t>II.</w:t>
      </w:r>
      <w:r w:rsidRPr="001B4CE0">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1D9A50A"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b/>
          <w:i/>
        </w:rPr>
        <w:t>III.</w:t>
      </w:r>
      <w:r w:rsidRPr="001B4CE0">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559D54F6"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0FD14387" w14:textId="77777777" w:rsidR="00D6615D" w:rsidRPr="001B4CE0" w:rsidRDefault="000D168C">
      <w:pPr>
        <w:spacing w:before="120" w:after="0" w:line="360" w:lineRule="auto"/>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6A184391" w14:textId="77777777" w:rsidR="00D6615D" w:rsidRPr="001B4CE0" w:rsidRDefault="00D6615D">
      <w:pPr>
        <w:spacing w:after="0" w:line="360" w:lineRule="auto"/>
        <w:ind w:left="1134" w:right="902"/>
        <w:jc w:val="both"/>
        <w:rPr>
          <w:rFonts w:ascii="Palatino Linotype" w:eastAsia="Palatino Linotype" w:hAnsi="Palatino Linotype" w:cs="Palatino Linotype"/>
          <w:i/>
        </w:rPr>
      </w:pPr>
    </w:p>
    <w:p w14:paraId="3FE5145A"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24A9224" w14:textId="77777777" w:rsidR="00D6615D" w:rsidRPr="001B4CE0" w:rsidRDefault="00D6615D">
      <w:pPr>
        <w:spacing w:after="0" w:line="360" w:lineRule="auto"/>
        <w:jc w:val="both"/>
        <w:rPr>
          <w:rFonts w:ascii="Palatino Linotype" w:eastAsia="Palatino Linotype" w:hAnsi="Palatino Linotype" w:cs="Palatino Linotype"/>
        </w:rPr>
      </w:pPr>
    </w:p>
    <w:p w14:paraId="11D559EE"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40E7B3B0" w14:textId="77777777" w:rsidR="00D6615D" w:rsidRPr="001B4CE0" w:rsidRDefault="00D6615D">
      <w:pPr>
        <w:spacing w:after="0" w:line="360" w:lineRule="auto"/>
        <w:jc w:val="both"/>
        <w:rPr>
          <w:rFonts w:ascii="Palatino Linotype" w:eastAsia="Palatino Linotype" w:hAnsi="Palatino Linotype" w:cs="Palatino Linotype"/>
        </w:rPr>
      </w:pPr>
    </w:p>
    <w:p w14:paraId="13E53192" w14:textId="77777777" w:rsidR="00D6615D" w:rsidRPr="001B4CE0" w:rsidRDefault="000D168C">
      <w:pPr>
        <w:spacing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i/>
        </w:rPr>
        <w:lastRenderedPageBreak/>
        <w:t>“</w:t>
      </w:r>
      <w:r w:rsidRPr="001B4CE0">
        <w:rPr>
          <w:rFonts w:ascii="Palatino Linotype" w:eastAsia="Palatino Linotype" w:hAnsi="Palatino Linotype" w:cs="Palatino Linotype"/>
          <w:b/>
          <w:i/>
        </w:rPr>
        <w:t>Quincuagésimo sexto.</w:t>
      </w:r>
      <w:r w:rsidRPr="001B4CE0">
        <w:rPr>
          <w:rFonts w:ascii="Palatino Linotype" w:eastAsia="Palatino Linotype" w:hAnsi="Palatino Linotype" w:cs="Palatino Linotype"/>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AAB5E37"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b/>
          <w:i/>
        </w:rPr>
        <w:t>Quincuagésimo séptimo.</w:t>
      </w:r>
      <w:r w:rsidRPr="001B4CE0">
        <w:rPr>
          <w:rFonts w:ascii="Palatino Linotype" w:eastAsia="Palatino Linotype" w:hAnsi="Palatino Linotype" w:cs="Palatino Linotype"/>
          <w:i/>
        </w:rPr>
        <w:t xml:space="preserve"> Se considera, en principio, como información pública y no podrá omitirse de las versiones públicas la siguiente: </w:t>
      </w:r>
    </w:p>
    <w:p w14:paraId="7B4A5C50"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b/>
          <w:i/>
        </w:rPr>
        <w:t>I.</w:t>
      </w:r>
      <w:r w:rsidRPr="001B4CE0">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6EC45E53"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b/>
          <w:i/>
        </w:rPr>
        <w:t>II.</w:t>
      </w:r>
      <w:r w:rsidRPr="001B4CE0">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7E637A54"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b/>
          <w:i/>
        </w:rPr>
        <w:t>III.</w:t>
      </w:r>
      <w:r w:rsidRPr="001B4CE0">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4958E32C"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720FF628" w14:textId="77777777" w:rsidR="00D6615D" w:rsidRPr="001B4CE0" w:rsidRDefault="000D168C">
      <w:pPr>
        <w:spacing w:before="120" w:after="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b/>
          <w:i/>
        </w:rPr>
        <w:t>Quincuagésimo octavo</w:t>
      </w:r>
      <w:r w:rsidRPr="001B4CE0">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6963614D" w14:textId="77777777" w:rsidR="00D6615D" w:rsidRPr="001B4CE0" w:rsidRDefault="00D6615D">
      <w:pPr>
        <w:spacing w:after="0" w:line="360" w:lineRule="auto"/>
        <w:ind w:left="851" w:right="902"/>
        <w:jc w:val="both"/>
        <w:rPr>
          <w:rFonts w:ascii="Palatino Linotype" w:eastAsia="Palatino Linotype" w:hAnsi="Palatino Linotype" w:cs="Palatino Linotype"/>
          <w:i/>
        </w:rPr>
      </w:pPr>
    </w:p>
    <w:p w14:paraId="2498C215"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135A63D1" w14:textId="77777777" w:rsidR="00D6615D" w:rsidRPr="001B4CE0" w:rsidRDefault="00D6615D">
      <w:pPr>
        <w:spacing w:after="0" w:line="360" w:lineRule="auto"/>
        <w:jc w:val="both"/>
        <w:rPr>
          <w:rFonts w:ascii="Palatino Linotype" w:eastAsia="Palatino Linotype" w:hAnsi="Palatino Linotype" w:cs="Palatino Linotype"/>
        </w:rPr>
      </w:pPr>
    </w:p>
    <w:p w14:paraId="0DB407A5"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lastRenderedPageBreak/>
        <w:t xml:space="preserve">La </w:t>
      </w:r>
      <w:r w:rsidRPr="001B4CE0">
        <w:rPr>
          <w:rFonts w:ascii="Palatino Linotype" w:eastAsia="Palatino Linotype" w:hAnsi="Palatino Linotype" w:cs="Palatino Linotype"/>
          <w:b/>
        </w:rPr>
        <w:t>clave de elector</w:t>
      </w:r>
      <w:r w:rsidRPr="001B4CE0">
        <w:rPr>
          <w:rFonts w:ascii="Palatino Linotype" w:eastAsia="Palatino Linotype" w:hAnsi="Palatino Linotype" w:cs="Palatino Linotype"/>
        </w:rPr>
        <w:t>, es la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p w14:paraId="4E95F9B1" w14:textId="77777777" w:rsidR="00D6615D" w:rsidRPr="001B4CE0" w:rsidRDefault="00D6615D">
      <w:pPr>
        <w:spacing w:after="0" w:line="360" w:lineRule="auto"/>
        <w:jc w:val="both"/>
        <w:rPr>
          <w:rFonts w:ascii="Palatino Linotype" w:eastAsia="Palatino Linotype" w:hAnsi="Palatino Linotype" w:cs="Palatino Linotype"/>
        </w:rPr>
      </w:pPr>
    </w:p>
    <w:p w14:paraId="6A98D058"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El </w:t>
      </w:r>
      <w:r w:rsidRPr="001B4CE0">
        <w:rPr>
          <w:rFonts w:ascii="Palatino Linotype" w:eastAsia="Palatino Linotype" w:hAnsi="Palatino Linotype" w:cs="Palatino Linotype"/>
          <w:b/>
        </w:rPr>
        <w:t>número de OCR,</w:t>
      </w:r>
      <w:r w:rsidRPr="001B4CE0">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p>
    <w:p w14:paraId="037DA008" w14:textId="77777777" w:rsidR="00D6615D" w:rsidRPr="001B4CE0" w:rsidRDefault="00D6615D">
      <w:pPr>
        <w:spacing w:after="0" w:line="360" w:lineRule="auto"/>
        <w:jc w:val="both"/>
        <w:rPr>
          <w:rFonts w:ascii="Palatino Linotype" w:eastAsia="Palatino Linotype" w:hAnsi="Palatino Linotype" w:cs="Palatino Linotype"/>
        </w:rPr>
      </w:pPr>
    </w:p>
    <w:p w14:paraId="05710124"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La </w:t>
      </w:r>
      <w:r w:rsidRPr="001B4CE0">
        <w:rPr>
          <w:rFonts w:ascii="Palatino Linotype" w:eastAsia="Palatino Linotype" w:hAnsi="Palatino Linotype" w:cs="Palatino Linotype"/>
          <w:b/>
        </w:rPr>
        <w:t>clave única del registro de población,</w:t>
      </w:r>
      <w:r w:rsidRPr="001B4CE0">
        <w:rPr>
          <w:rFonts w:ascii="Palatino Linotype" w:eastAsia="Palatino Linotype" w:hAnsi="Palatino Linotype" w:cs="Palatino Linotype"/>
          <w:i/>
        </w:rPr>
        <w:t xml:space="preserve"> </w:t>
      </w:r>
      <w:r w:rsidRPr="001B4CE0">
        <w:rPr>
          <w:rFonts w:ascii="Palatino Linotype" w:eastAsia="Palatino Linotype" w:hAnsi="Palatino Linotype" w:cs="Palatino Linotype"/>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5B457853" w14:textId="77777777" w:rsidR="00D6615D" w:rsidRPr="001B4CE0" w:rsidRDefault="00D6615D">
      <w:pPr>
        <w:spacing w:after="0" w:line="360" w:lineRule="auto"/>
        <w:jc w:val="both"/>
        <w:rPr>
          <w:rFonts w:ascii="Palatino Linotype" w:eastAsia="Palatino Linotype" w:hAnsi="Palatino Linotype" w:cs="Palatino Linotype"/>
        </w:rPr>
      </w:pPr>
    </w:p>
    <w:p w14:paraId="1325F57A" w14:textId="77777777" w:rsidR="00D6615D" w:rsidRPr="001B4CE0" w:rsidRDefault="000D168C">
      <w:pPr>
        <w:spacing w:after="0" w:line="360" w:lineRule="auto"/>
        <w:ind w:right="50"/>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Igualmente, resulta importante destacar que el </w:t>
      </w:r>
      <w:r w:rsidRPr="001B4CE0">
        <w:rPr>
          <w:rFonts w:ascii="Palatino Linotype" w:eastAsia="Palatino Linotype" w:hAnsi="Palatino Linotype" w:cs="Palatino Linotype"/>
          <w:i/>
        </w:rPr>
        <w:t>número de cuenta bancaria</w:t>
      </w:r>
      <w:r w:rsidRPr="001B4CE0">
        <w:rPr>
          <w:rFonts w:ascii="Palatino Linotype" w:eastAsia="Palatino Linotype" w:hAnsi="Palatino Linotype" w:cs="Palatino Linotype"/>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3246FD52" w14:textId="77777777" w:rsidR="00D6615D" w:rsidRPr="001B4CE0" w:rsidRDefault="00D6615D">
      <w:pPr>
        <w:spacing w:after="0" w:line="360" w:lineRule="auto"/>
        <w:ind w:right="50"/>
        <w:jc w:val="both"/>
        <w:rPr>
          <w:rFonts w:ascii="Palatino Linotype" w:eastAsia="Palatino Linotype" w:hAnsi="Palatino Linotype" w:cs="Palatino Linotype"/>
        </w:rPr>
      </w:pPr>
    </w:p>
    <w:p w14:paraId="68710EE0" w14:textId="77777777" w:rsidR="00D6615D" w:rsidRPr="001B4CE0" w:rsidRDefault="000D168C">
      <w:pPr>
        <w:spacing w:after="0" w:line="360" w:lineRule="auto"/>
        <w:ind w:right="50"/>
        <w:jc w:val="both"/>
        <w:rPr>
          <w:rFonts w:ascii="Palatino Linotype" w:eastAsia="Palatino Linotype" w:hAnsi="Palatino Linotype" w:cs="Palatino Linotype"/>
        </w:rPr>
      </w:pPr>
      <w:r w:rsidRPr="001B4CE0">
        <w:rPr>
          <w:rFonts w:ascii="Palatino Linotype" w:eastAsia="Palatino Linotype" w:hAnsi="Palatino Linotype" w:cs="Palatino Linotype"/>
        </w:rPr>
        <w:lastRenderedPageBreak/>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54548A48" w14:textId="77777777" w:rsidR="00D6615D" w:rsidRPr="001B4CE0" w:rsidRDefault="00D6615D">
      <w:pPr>
        <w:spacing w:after="0" w:line="360" w:lineRule="auto"/>
        <w:ind w:right="50"/>
        <w:jc w:val="both"/>
        <w:rPr>
          <w:rFonts w:ascii="Palatino Linotype" w:eastAsia="Palatino Linotype" w:hAnsi="Palatino Linotype" w:cs="Palatino Linotype"/>
        </w:rPr>
      </w:pPr>
    </w:p>
    <w:p w14:paraId="4A49BD01" w14:textId="77777777" w:rsidR="00D6615D" w:rsidRPr="001B4CE0" w:rsidRDefault="000D168C">
      <w:pPr>
        <w:spacing w:after="0" w:line="360" w:lineRule="auto"/>
        <w:ind w:right="50"/>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09E4A8D5" w14:textId="77777777" w:rsidR="00D6615D" w:rsidRPr="001B4CE0" w:rsidRDefault="00D6615D">
      <w:pPr>
        <w:spacing w:after="0" w:line="360" w:lineRule="auto"/>
        <w:ind w:right="50"/>
        <w:jc w:val="both"/>
        <w:rPr>
          <w:rFonts w:ascii="Palatino Linotype" w:eastAsia="Palatino Linotype" w:hAnsi="Palatino Linotype" w:cs="Palatino Linotype"/>
        </w:rPr>
      </w:pPr>
    </w:p>
    <w:p w14:paraId="242DA236" w14:textId="77777777" w:rsidR="00D6615D" w:rsidRPr="001B4CE0" w:rsidRDefault="000D168C">
      <w:pPr>
        <w:spacing w:after="0" w:line="360" w:lineRule="auto"/>
        <w:ind w:right="50"/>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05B4B941" w14:textId="77777777" w:rsidR="00D6615D" w:rsidRPr="001B4CE0" w:rsidRDefault="00D6615D">
      <w:pPr>
        <w:spacing w:after="0" w:line="360" w:lineRule="auto"/>
        <w:ind w:right="50"/>
        <w:jc w:val="both"/>
        <w:rPr>
          <w:rFonts w:ascii="Palatino Linotype" w:eastAsia="Palatino Linotype" w:hAnsi="Palatino Linotype" w:cs="Palatino Linotype"/>
        </w:rPr>
      </w:pPr>
    </w:p>
    <w:p w14:paraId="0133989B" w14:textId="77777777" w:rsidR="00D6615D" w:rsidRPr="001B4CE0" w:rsidRDefault="000D168C">
      <w:pPr>
        <w:spacing w:after="0" w:line="360" w:lineRule="auto"/>
        <w:ind w:right="50"/>
        <w:jc w:val="both"/>
        <w:rPr>
          <w:rFonts w:ascii="Palatino Linotype" w:eastAsia="Palatino Linotype" w:hAnsi="Palatino Linotype" w:cs="Palatino Linotype"/>
        </w:rPr>
      </w:pPr>
      <w:r w:rsidRPr="001B4CE0">
        <w:rPr>
          <w:rFonts w:ascii="Palatino Linotype" w:eastAsia="Palatino Linotype" w:hAnsi="Palatino Linotype" w:cs="Palatino Linotype"/>
        </w:rPr>
        <w:t>Es por esta razón que se debe omitir el o los números de cuentas bancarias de particulares en las versiones públicas que de las facturas se hagan, para ser entregadas.</w:t>
      </w:r>
    </w:p>
    <w:p w14:paraId="3372294F" w14:textId="77777777" w:rsidR="00D6615D" w:rsidRPr="001B4CE0" w:rsidRDefault="00D6615D">
      <w:pPr>
        <w:spacing w:after="0" w:line="360" w:lineRule="auto"/>
        <w:ind w:right="50"/>
        <w:jc w:val="both"/>
        <w:rPr>
          <w:rFonts w:ascii="Palatino Linotype" w:eastAsia="Palatino Linotype" w:hAnsi="Palatino Linotype" w:cs="Palatino Linotype"/>
        </w:rPr>
      </w:pPr>
    </w:p>
    <w:p w14:paraId="3DA77B9D" w14:textId="77777777" w:rsidR="00D6615D" w:rsidRPr="001B4CE0" w:rsidRDefault="000D168C">
      <w:pPr>
        <w:spacing w:after="0" w:line="360" w:lineRule="auto"/>
        <w:ind w:right="50"/>
        <w:jc w:val="both"/>
        <w:rPr>
          <w:rFonts w:ascii="Palatino Linotype" w:eastAsia="Palatino Linotype" w:hAnsi="Palatino Linotype" w:cs="Palatino Linotype"/>
        </w:rPr>
      </w:pPr>
      <w:r w:rsidRPr="001B4CE0">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5D3E190D" w14:textId="77777777" w:rsidR="00D6615D" w:rsidRPr="001B4CE0" w:rsidRDefault="000D168C">
      <w:pPr>
        <w:spacing w:after="0" w:line="360" w:lineRule="auto"/>
        <w:ind w:right="50"/>
        <w:jc w:val="both"/>
        <w:rPr>
          <w:rFonts w:ascii="Palatino Linotype" w:eastAsia="Palatino Linotype" w:hAnsi="Palatino Linotype" w:cs="Palatino Linotype"/>
        </w:rPr>
      </w:pPr>
      <w:r w:rsidRPr="001B4CE0">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3253F62B" w14:textId="77777777" w:rsidR="00D6615D" w:rsidRPr="001B4CE0" w:rsidRDefault="00D6615D">
      <w:pPr>
        <w:spacing w:after="0" w:line="360" w:lineRule="auto"/>
        <w:ind w:right="50"/>
        <w:jc w:val="both"/>
        <w:rPr>
          <w:rFonts w:ascii="Palatino Linotype" w:eastAsia="Palatino Linotype" w:hAnsi="Palatino Linotype" w:cs="Palatino Linotype"/>
        </w:rPr>
      </w:pPr>
    </w:p>
    <w:p w14:paraId="5A179F6B" w14:textId="77777777" w:rsidR="00D6615D" w:rsidRPr="001B4CE0" w:rsidRDefault="000D168C">
      <w:pPr>
        <w:spacing w:after="240"/>
        <w:ind w:left="851" w:right="900"/>
        <w:jc w:val="both"/>
        <w:rPr>
          <w:rFonts w:ascii="Palatino Linotype" w:eastAsia="Palatino Linotype" w:hAnsi="Palatino Linotype" w:cs="Palatino Linotype"/>
          <w:i/>
        </w:rPr>
      </w:pPr>
      <w:r w:rsidRPr="001B4CE0">
        <w:rPr>
          <w:rFonts w:ascii="Palatino Linotype" w:eastAsia="Palatino Linotype" w:hAnsi="Palatino Linotype" w:cs="Palatino Linotype"/>
          <w:b/>
          <w:i/>
        </w:rPr>
        <w:lastRenderedPageBreak/>
        <w:t>“Cuentas bancarias y/o CLABE interbancaria de personas físicas y morales privadas.</w:t>
      </w:r>
      <w:r w:rsidRPr="001B4CE0">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74BB6DE" w14:textId="77777777" w:rsidR="00D6615D" w:rsidRPr="001B4CE0" w:rsidRDefault="000D168C">
      <w:pPr>
        <w:spacing w:before="240" w:after="0"/>
        <w:ind w:left="851" w:right="900"/>
        <w:jc w:val="both"/>
        <w:rPr>
          <w:rFonts w:ascii="Palatino Linotype" w:eastAsia="Palatino Linotype" w:hAnsi="Palatino Linotype" w:cs="Palatino Linotype"/>
          <w:i/>
        </w:rPr>
      </w:pPr>
      <w:r w:rsidRPr="001B4CE0">
        <w:rPr>
          <w:rFonts w:ascii="Palatino Linotype" w:eastAsia="Palatino Linotype" w:hAnsi="Palatino Linotype" w:cs="Palatino Linotype"/>
          <w:b/>
          <w:i/>
        </w:rPr>
        <w:t>Cuentas bancarias y/o CLABE interbancaria de sujetos obligados que reciben y/o transfieren recursos públicos, son información pública</w:t>
      </w:r>
      <w:r w:rsidRPr="001B4CE0">
        <w:rPr>
          <w:rFonts w:ascii="Palatino Linotype" w:eastAsia="Palatino Linotype" w:hAnsi="Palatino Linotype" w:cs="Palatino Linotype"/>
          <w:i/>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0EB34B2D" w14:textId="77777777" w:rsidR="00D6615D" w:rsidRPr="001B4CE0" w:rsidRDefault="00D6615D">
      <w:pPr>
        <w:spacing w:after="0" w:line="360" w:lineRule="auto"/>
        <w:ind w:left="851" w:right="900"/>
        <w:jc w:val="both"/>
        <w:rPr>
          <w:rFonts w:ascii="Palatino Linotype" w:eastAsia="Palatino Linotype" w:hAnsi="Palatino Linotype" w:cs="Palatino Linotype"/>
          <w:i/>
        </w:rPr>
      </w:pPr>
    </w:p>
    <w:p w14:paraId="0F57BFBD" w14:textId="77777777" w:rsidR="00D6615D" w:rsidRPr="001B4CE0" w:rsidRDefault="000D168C">
      <w:pPr>
        <w:spacing w:after="0" w:line="360" w:lineRule="auto"/>
        <w:ind w:right="50"/>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Por cuanto hace al </w:t>
      </w:r>
      <w:r w:rsidRPr="001B4CE0">
        <w:rPr>
          <w:rFonts w:ascii="Palatino Linotype" w:eastAsia="Palatino Linotype" w:hAnsi="Palatino Linotype" w:cs="Palatino Linotype"/>
          <w:b/>
        </w:rPr>
        <w:t xml:space="preserve">Registro Federal de Contribuyentes (RFC) </w:t>
      </w:r>
      <w:r w:rsidRPr="001B4CE0">
        <w:rPr>
          <w:rFonts w:ascii="Palatino Linotype" w:eastAsia="Palatino Linotype" w:hAnsi="Palatino Linotype" w:cs="Palatino Linotype"/>
        </w:rPr>
        <w:t>y</w:t>
      </w:r>
      <w:r w:rsidRPr="001B4CE0">
        <w:rPr>
          <w:rFonts w:ascii="Palatino Linotype" w:eastAsia="Palatino Linotype" w:hAnsi="Palatino Linotype" w:cs="Palatino Linotype"/>
          <w:b/>
        </w:rPr>
        <w:t xml:space="preserve"> el domicilio fiscal </w:t>
      </w:r>
      <w:r w:rsidRPr="001B4CE0">
        <w:rPr>
          <w:rFonts w:ascii="Palatino Linotype" w:eastAsia="Palatino Linotype" w:hAnsi="Palatino Linotype" w:cs="Palatino Linotype"/>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34636697" w14:textId="77777777" w:rsidR="00D6615D" w:rsidRPr="001B4CE0" w:rsidRDefault="00D6615D">
      <w:pPr>
        <w:spacing w:after="0" w:line="360" w:lineRule="auto"/>
        <w:ind w:right="50"/>
        <w:jc w:val="both"/>
        <w:rPr>
          <w:rFonts w:ascii="Palatino Linotype" w:eastAsia="Palatino Linotype" w:hAnsi="Palatino Linotype" w:cs="Palatino Linotype"/>
        </w:rPr>
      </w:pPr>
    </w:p>
    <w:p w14:paraId="646379C8" w14:textId="77777777" w:rsidR="00D6615D" w:rsidRPr="001B4CE0" w:rsidRDefault="000D168C">
      <w:pPr>
        <w:spacing w:after="0" w:line="360" w:lineRule="auto"/>
        <w:ind w:right="50"/>
        <w:jc w:val="both"/>
        <w:rPr>
          <w:rFonts w:ascii="Palatino Linotype" w:eastAsia="Palatino Linotype" w:hAnsi="Palatino Linotype" w:cs="Palatino Linotype"/>
        </w:rPr>
      </w:pPr>
      <w:r w:rsidRPr="001B4CE0">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5743E012" w14:textId="77777777" w:rsidR="00D6615D" w:rsidRPr="001B4CE0" w:rsidRDefault="00D6615D">
      <w:pPr>
        <w:spacing w:after="0" w:line="360" w:lineRule="auto"/>
        <w:ind w:right="50"/>
        <w:jc w:val="both"/>
        <w:rPr>
          <w:rFonts w:ascii="Palatino Linotype" w:eastAsia="Palatino Linotype" w:hAnsi="Palatino Linotype" w:cs="Palatino Linotype"/>
        </w:rPr>
      </w:pPr>
    </w:p>
    <w:p w14:paraId="61F7FA63" w14:textId="77777777" w:rsidR="00D6615D" w:rsidRPr="001B4CE0" w:rsidRDefault="000D168C">
      <w:pPr>
        <w:spacing w:after="0" w:line="360" w:lineRule="auto"/>
        <w:ind w:right="50"/>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1B4CE0">
        <w:rPr>
          <w:rFonts w:ascii="Palatino Linotype" w:eastAsia="Palatino Linotype" w:hAnsi="Palatino Linotype" w:cs="Palatino Linotype"/>
          <w:b/>
        </w:rPr>
        <w:t>no puede considerarse como información clasificada lo relativo a su nombre, registro federal de contribuyentes y domicilio fiscal</w:t>
      </w:r>
      <w:r w:rsidRPr="001B4CE0">
        <w:rPr>
          <w:rFonts w:ascii="Palatino Linotype" w:eastAsia="Palatino Linotype" w:hAnsi="Palatino Linotype" w:cs="Palatino Linotype"/>
        </w:rPr>
        <w:t>, atento a que dicha información es la que puede generar certeza en los gobernados en que se está ejerciendo debidamente el presupuesto.</w:t>
      </w:r>
    </w:p>
    <w:p w14:paraId="014D9EBB" w14:textId="77777777" w:rsidR="00D6615D" w:rsidRPr="001B4CE0" w:rsidRDefault="00D6615D">
      <w:pPr>
        <w:spacing w:after="0" w:line="360" w:lineRule="auto"/>
        <w:ind w:right="50"/>
        <w:jc w:val="both"/>
        <w:rPr>
          <w:rFonts w:ascii="Palatino Linotype" w:eastAsia="Palatino Linotype" w:hAnsi="Palatino Linotype" w:cs="Palatino Linotype"/>
        </w:rPr>
      </w:pPr>
    </w:p>
    <w:p w14:paraId="19CF1B97"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Robustece lo anterior el criterio orientador 04/21 emitido por el Instituto Nacional de Transparencia, Acceso a la Información y Protección de Datos Personales, INAI, el cual refiere:</w:t>
      </w:r>
    </w:p>
    <w:p w14:paraId="3962376A" w14:textId="77777777" w:rsidR="00D6615D" w:rsidRPr="001B4CE0" w:rsidRDefault="00D6615D">
      <w:pPr>
        <w:spacing w:after="0" w:line="360" w:lineRule="auto"/>
        <w:jc w:val="both"/>
        <w:rPr>
          <w:rFonts w:ascii="Palatino Linotype" w:eastAsia="Palatino Linotype" w:hAnsi="Palatino Linotype" w:cs="Palatino Linotype"/>
        </w:rPr>
      </w:pPr>
    </w:p>
    <w:p w14:paraId="07F4AE66" w14:textId="77777777" w:rsidR="00D6615D" w:rsidRPr="001B4CE0" w:rsidRDefault="000D168C">
      <w:pPr>
        <w:spacing w:after="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b/>
          <w:i/>
        </w:rPr>
        <w:t xml:space="preserve">“Registro Federal de Contribuyentes (RFC) de personas físicas proveedoras o contratistas. </w:t>
      </w:r>
      <w:r w:rsidRPr="001B4CE0">
        <w:rPr>
          <w:rFonts w:ascii="Palatino Linotype" w:eastAsia="Palatino Linotype" w:hAnsi="Palatino Linotype" w:cs="Palatino Linotype"/>
          <w:i/>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50D3226C" w14:textId="77777777" w:rsidR="00D6615D" w:rsidRPr="001B4CE0" w:rsidRDefault="00D6615D">
      <w:pPr>
        <w:spacing w:after="0" w:line="360" w:lineRule="auto"/>
        <w:ind w:left="851" w:right="902"/>
        <w:jc w:val="both"/>
        <w:rPr>
          <w:rFonts w:ascii="Palatino Linotype" w:eastAsia="Palatino Linotype" w:hAnsi="Palatino Linotype" w:cs="Palatino Linotype"/>
          <w:i/>
        </w:rPr>
      </w:pPr>
    </w:p>
    <w:p w14:paraId="4EDC58E2" w14:textId="77777777" w:rsidR="00D6615D" w:rsidRPr="001B4CE0" w:rsidRDefault="000D168C">
      <w:pPr>
        <w:spacing w:after="0" w:line="360" w:lineRule="auto"/>
        <w:ind w:right="51"/>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Relacionado con lo anterior, el </w:t>
      </w:r>
      <w:r w:rsidRPr="001B4CE0">
        <w:rPr>
          <w:rFonts w:ascii="Palatino Linotype" w:eastAsia="Palatino Linotype" w:hAnsi="Palatino Linotype" w:cs="Palatino Linotype"/>
          <w:b/>
        </w:rPr>
        <w:t>nombre de las personas físicas</w:t>
      </w:r>
      <w:r w:rsidRPr="001B4CE0">
        <w:rPr>
          <w:rFonts w:ascii="Palatino Linotype" w:eastAsia="Palatino Linotype" w:hAnsi="Palatino Linotype" w:cs="Palatino Linotype"/>
        </w:rPr>
        <w:t xml:space="preserve"> o los </w:t>
      </w:r>
      <w:r w:rsidRPr="001B4CE0">
        <w:rPr>
          <w:rFonts w:ascii="Palatino Linotype" w:eastAsia="Palatino Linotype" w:hAnsi="Palatino Linotype" w:cs="Palatino Linotype"/>
          <w:b/>
        </w:rPr>
        <w:t>representantes legales de las personas morales</w:t>
      </w:r>
      <w:r w:rsidRPr="001B4CE0">
        <w:rPr>
          <w:rFonts w:ascii="Palatino Linotype" w:eastAsia="Palatino Linotype" w:hAnsi="Palatino Linotype" w:cs="Palatino Linotype"/>
        </w:rPr>
        <w:t xml:space="preserve">,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w:t>
      </w:r>
      <w:r w:rsidRPr="001B4CE0">
        <w:rPr>
          <w:rFonts w:ascii="Palatino Linotype" w:eastAsia="Palatino Linotype" w:hAnsi="Palatino Linotype" w:cs="Palatino Linotype"/>
        </w:rPr>
        <w:lastRenderedPageBreak/>
        <w:t>que resultó favorecida con el procedimiento de licitación no conservan el carácter de confidencial y por tanto no deben ser testados.</w:t>
      </w:r>
    </w:p>
    <w:p w14:paraId="764AB329" w14:textId="77777777" w:rsidR="00D6615D" w:rsidRPr="001B4CE0" w:rsidRDefault="00D6615D">
      <w:pPr>
        <w:spacing w:after="0" w:line="360" w:lineRule="auto"/>
        <w:ind w:right="51"/>
        <w:jc w:val="both"/>
        <w:rPr>
          <w:rFonts w:ascii="Palatino Linotype" w:eastAsia="Palatino Linotype" w:hAnsi="Palatino Linotype" w:cs="Palatino Linotype"/>
        </w:rPr>
      </w:pPr>
    </w:p>
    <w:p w14:paraId="2AC81CAA" w14:textId="77777777" w:rsidR="00D6615D" w:rsidRPr="001B4CE0" w:rsidRDefault="000D168C">
      <w:pPr>
        <w:spacing w:after="0" w:line="360" w:lineRule="auto"/>
        <w:ind w:right="51"/>
        <w:jc w:val="both"/>
        <w:rPr>
          <w:rFonts w:ascii="Palatino Linotype" w:eastAsia="Palatino Linotype" w:hAnsi="Palatino Linotype" w:cs="Palatino Linotype"/>
        </w:rPr>
      </w:pPr>
      <w:r w:rsidRPr="001B4CE0">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14:paraId="5A006778" w14:textId="77777777" w:rsidR="00D6615D" w:rsidRPr="001B4CE0" w:rsidRDefault="00D6615D">
      <w:pPr>
        <w:spacing w:after="0" w:line="360" w:lineRule="auto"/>
        <w:ind w:right="51"/>
        <w:jc w:val="both"/>
        <w:rPr>
          <w:rFonts w:ascii="Palatino Linotype" w:eastAsia="Palatino Linotype" w:hAnsi="Palatino Linotype" w:cs="Palatino Linotype"/>
        </w:rPr>
      </w:pPr>
    </w:p>
    <w:p w14:paraId="5C8E4BE5" w14:textId="77777777" w:rsidR="00D6615D" w:rsidRPr="001B4CE0" w:rsidRDefault="000D168C">
      <w:pPr>
        <w:spacing w:after="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i/>
        </w:rPr>
        <w:t>“</w:t>
      </w:r>
      <w:r w:rsidRPr="001B4CE0">
        <w:rPr>
          <w:rFonts w:ascii="Palatino Linotype" w:eastAsia="Palatino Linotype" w:hAnsi="Palatino Linotype" w:cs="Palatino Linotype"/>
          <w:b/>
          <w:i/>
        </w:rPr>
        <w:t>Artículo 23.</w:t>
      </w:r>
      <w:r w:rsidRPr="001B4CE0">
        <w:rPr>
          <w:rFonts w:ascii="Palatino Linotype" w:eastAsia="Palatino Linotype" w:hAnsi="Palatino Linotype" w:cs="Palatino Linotype"/>
          <w:i/>
        </w:rPr>
        <w:t xml:space="preserve"> (…)</w:t>
      </w:r>
    </w:p>
    <w:p w14:paraId="5A028035" w14:textId="77777777" w:rsidR="00D6615D" w:rsidRPr="001B4CE0" w:rsidRDefault="000D168C">
      <w:pPr>
        <w:spacing w:after="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CFD604D" w14:textId="77777777" w:rsidR="00D6615D" w:rsidRPr="001B4CE0" w:rsidRDefault="00D6615D">
      <w:pPr>
        <w:spacing w:after="0" w:line="360" w:lineRule="auto"/>
        <w:ind w:left="851" w:right="902"/>
        <w:jc w:val="both"/>
        <w:rPr>
          <w:rFonts w:ascii="Palatino Linotype" w:eastAsia="Palatino Linotype" w:hAnsi="Palatino Linotype" w:cs="Palatino Linotype"/>
          <w:i/>
        </w:rPr>
      </w:pPr>
    </w:p>
    <w:p w14:paraId="0F6424CB"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Asimismo, resulta aplicable el contenido del criterio de interpretación 01/19 emitido por el Instituto Nacional de Transparencia, Acceso a la Información, y Protección de Datos Personales, INAI, que lleva por rubro y texto los siguientes</w:t>
      </w:r>
    </w:p>
    <w:p w14:paraId="0FE449C7" w14:textId="77777777" w:rsidR="00D6615D" w:rsidRPr="001B4CE0" w:rsidRDefault="00D6615D">
      <w:pPr>
        <w:spacing w:after="0" w:line="360" w:lineRule="auto"/>
        <w:jc w:val="both"/>
        <w:rPr>
          <w:rFonts w:ascii="Palatino Linotype" w:eastAsia="Palatino Linotype" w:hAnsi="Palatino Linotype" w:cs="Palatino Linotype"/>
        </w:rPr>
      </w:pPr>
    </w:p>
    <w:p w14:paraId="43EF1C74" w14:textId="77777777" w:rsidR="00D6615D" w:rsidRPr="001B4CE0" w:rsidRDefault="000D168C">
      <w:pPr>
        <w:spacing w:after="0"/>
        <w:ind w:left="851" w:right="900"/>
        <w:jc w:val="both"/>
        <w:rPr>
          <w:rFonts w:ascii="Palatino Linotype" w:eastAsia="Palatino Linotype" w:hAnsi="Palatino Linotype" w:cs="Palatino Linotype"/>
          <w:i/>
        </w:rPr>
      </w:pPr>
      <w:r w:rsidRPr="001B4CE0">
        <w:rPr>
          <w:rFonts w:ascii="Palatino Linotype" w:eastAsia="Palatino Linotype" w:hAnsi="Palatino Linotype" w:cs="Palatino Linotype"/>
          <w:b/>
          <w:i/>
        </w:rPr>
        <w:t>“Datos de identificación del representante o apoderado legal.</w:t>
      </w:r>
      <w:r w:rsidRPr="001B4CE0">
        <w:rPr>
          <w:rFonts w:ascii="Palatino Linotype" w:eastAsia="Palatino Linotype" w:hAnsi="Palatino Linotype" w:cs="Palatino Linotype"/>
          <w:i/>
        </w:rPr>
        <w:t xml:space="preserve"> </w:t>
      </w:r>
      <w:r w:rsidRPr="001B4CE0">
        <w:rPr>
          <w:rFonts w:ascii="Palatino Linotype" w:eastAsia="Palatino Linotype" w:hAnsi="Palatino Linotype" w:cs="Palatino Linotype"/>
          <w:b/>
          <w:i/>
        </w:rPr>
        <w:t xml:space="preserve">Naturaleza jurídica. </w:t>
      </w:r>
      <w:r w:rsidRPr="001B4CE0">
        <w:rPr>
          <w:rFonts w:ascii="Palatino Linotype" w:eastAsia="Palatino Linotype" w:hAnsi="Palatino Linotype" w:cs="Palatino Linotype"/>
          <w:i/>
        </w:rPr>
        <w:t xml:space="preserve">El nombre, la firma y la rúbrica de una persona física, que actúe como representante o apoderado legal de un tercero que haya celebrado un acto jurídico, con algún sujeto obligado, </w:t>
      </w:r>
      <w:r w:rsidRPr="001B4CE0">
        <w:rPr>
          <w:rFonts w:ascii="Palatino Linotype" w:eastAsia="Palatino Linotype" w:hAnsi="Palatino Linotype" w:cs="Palatino Linotype"/>
          <w:b/>
          <w:i/>
        </w:rPr>
        <w:t>es información pública, en razón de que tales datos fueron proporcionados con el objeto de expresar el consentimiento obligacional del tercero y otorgar validez a dicho instrumento jurídico</w:t>
      </w:r>
      <w:r w:rsidRPr="001B4CE0">
        <w:rPr>
          <w:rFonts w:ascii="Palatino Linotype" w:eastAsia="Palatino Linotype" w:hAnsi="Palatino Linotype" w:cs="Palatino Linotype"/>
          <w:i/>
        </w:rPr>
        <w:t>.”</w:t>
      </w:r>
    </w:p>
    <w:p w14:paraId="47235AB8" w14:textId="77777777" w:rsidR="00D6615D" w:rsidRPr="001B4CE0" w:rsidRDefault="00D6615D">
      <w:pPr>
        <w:spacing w:after="0" w:line="360" w:lineRule="auto"/>
        <w:jc w:val="both"/>
        <w:rPr>
          <w:rFonts w:ascii="Palatino Linotype" w:eastAsia="Palatino Linotype" w:hAnsi="Palatino Linotype" w:cs="Palatino Linotype"/>
        </w:rPr>
      </w:pPr>
    </w:p>
    <w:p w14:paraId="325C10BF"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En el caso del </w:t>
      </w:r>
      <w:r w:rsidRPr="001B4CE0">
        <w:rPr>
          <w:rFonts w:ascii="Palatino Linotype" w:eastAsia="Palatino Linotype" w:hAnsi="Palatino Linotype" w:cs="Palatino Linotype"/>
          <w:b/>
        </w:rPr>
        <w:t>folio fiscal</w:t>
      </w:r>
      <w:r w:rsidRPr="001B4CE0">
        <w:rPr>
          <w:rFonts w:ascii="Palatino Linotype" w:eastAsia="Palatino Linotype" w:hAnsi="Palatino Linotype" w:cs="Palatino Linotype"/>
        </w:rPr>
        <w:t xml:space="preserve">, la </w:t>
      </w:r>
      <w:r w:rsidRPr="001B4CE0">
        <w:rPr>
          <w:rFonts w:ascii="Palatino Linotype" w:eastAsia="Palatino Linotype" w:hAnsi="Palatino Linotype" w:cs="Palatino Linotype"/>
          <w:b/>
        </w:rPr>
        <w:t xml:space="preserve">cadena original, </w:t>
      </w:r>
      <w:r w:rsidRPr="001B4CE0">
        <w:rPr>
          <w:rFonts w:ascii="Palatino Linotype" w:eastAsia="Palatino Linotype" w:hAnsi="Palatino Linotype" w:cs="Palatino Linotype"/>
        </w:rPr>
        <w:t>los</w:t>
      </w:r>
      <w:r w:rsidRPr="001B4CE0">
        <w:rPr>
          <w:rFonts w:ascii="Palatino Linotype" w:eastAsia="Palatino Linotype" w:hAnsi="Palatino Linotype" w:cs="Palatino Linotype"/>
          <w:b/>
        </w:rPr>
        <w:t xml:space="preserve"> códigos bidimensionales o códigos QR,</w:t>
      </w:r>
      <w:r w:rsidRPr="001B4CE0">
        <w:rPr>
          <w:rFonts w:ascii="Palatino Linotype" w:eastAsia="Palatino Linotype" w:hAnsi="Palatino Linotype" w:cs="Palatino Linotype"/>
        </w:rPr>
        <w:t xml:space="preserve"> y, en general, cualquier información de carácter fiscal,  pudiera contener un Comprobante Fiscal Digital por Internet, CFDI,  se debe hacer un análisis caso por caso, con la finalidad de determinar si de dicha información se pueden obtener datos personales que no sean </w:t>
      </w:r>
      <w:r w:rsidRPr="001B4CE0">
        <w:rPr>
          <w:rFonts w:ascii="Palatino Linotype" w:eastAsia="Palatino Linotype" w:hAnsi="Palatino Linotype" w:cs="Palatino Linotype"/>
        </w:rPr>
        <w:lastRenderedPageBreak/>
        <w:t>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fracción I de la Ley de Transparencia y Acceso a la Información Pública del Estado de México y Municipios, de lo contrario, no es procedente su clasificación.</w:t>
      </w:r>
    </w:p>
    <w:p w14:paraId="10FB494E" w14:textId="77777777" w:rsidR="00D6615D" w:rsidRPr="001B4CE0" w:rsidRDefault="00D6615D">
      <w:pPr>
        <w:spacing w:after="0" w:line="360" w:lineRule="auto"/>
        <w:jc w:val="both"/>
        <w:rPr>
          <w:rFonts w:ascii="Palatino Linotype" w:eastAsia="Palatino Linotype" w:hAnsi="Palatino Linotype" w:cs="Palatino Linotype"/>
        </w:rPr>
      </w:pPr>
    </w:p>
    <w:p w14:paraId="1337E79E" w14:textId="77777777" w:rsidR="00D6615D" w:rsidRPr="001B4CE0" w:rsidRDefault="000D168C">
      <w:pPr>
        <w:pBdr>
          <w:top w:val="nil"/>
          <w:left w:val="nil"/>
          <w:bottom w:val="nil"/>
          <w:right w:val="nil"/>
          <w:between w:val="nil"/>
        </w:pBd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Por otro lado, derivado de la información que se ordena entregar pudiera existir información de la </w:t>
      </w:r>
      <w:r w:rsidRPr="001B4CE0">
        <w:rPr>
          <w:rFonts w:ascii="Palatino Linotype" w:eastAsia="Palatino Linotype" w:hAnsi="Palatino Linotype" w:cs="Palatino Linotype"/>
          <w:b/>
        </w:rPr>
        <w:t>Dirección de Seguridad Pública del Ayuntamiento o su equivalente,</w:t>
      </w:r>
      <w:r w:rsidRPr="001B4CE0">
        <w:rPr>
          <w:rFonts w:ascii="Palatino Linotype" w:eastAsia="Palatino Linotype" w:hAnsi="Palatino Linotype" w:cs="Palatino Linotype"/>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por lo que deberá testarse de igual manera sólo el nombre de los servidores públicos de la Policía Municipal </w:t>
      </w:r>
      <w:r w:rsidRPr="001B4CE0">
        <w:rPr>
          <w:rFonts w:ascii="Palatino Linotype" w:eastAsia="Palatino Linotype" w:hAnsi="Palatino Linotype" w:cs="Palatino Linotype"/>
          <w:b/>
        </w:rPr>
        <w:t>que desempeñen funciones operativas</w:t>
      </w:r>
      <w:r w:rsidRPr="001B4CE0">
        <w:rPr>
          <w:rFonts w:ascii="Palatino Linotype" w:eastAsia="Palatino Linotype" w:hAnsi="Palatino Linotype" w:cs="Palatino Linotype"/>
        </w:rPr>
        <w:t>.</w:t>
      </w:r>
    </w:p>
    <w:p w14:paraId="62BD474D" w14:textId="77777777" w:rsidR="00D6615D" w:rsidRPr="001B4CE0" w:rsidRDefault="00D6615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26549F0"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Al respecto, la información </w:t>
      </w:r>
      <w:r w:rsidRPr="001B4CE0">
        <w:rPr>
          <w:rFonts w:ascii="Palatino Linotype" w:eastAsia="Palatino Linotype" w:hAnsi="Palatino Linotype" w:cs="Palatino Linotype"/>
          <w:b/>
        </w:rPr>
        <w:t>de los elementos que realizan funciones operativas, entre ellos su nombre debe ser protegido</w:t>
      </w:r>
      <w:r w:rsidRPr="001B4CE0">
        <w:rPr>
          <w:rFonts w:ascii="Palatino Linotype" w:eastAsia="Palatino Linotype" w:hAnsi="Palatino Linotype" w:cs="Palatino Linotype"/>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52D2446B" w14:textId="77777777" w:rsidR="00D6615D" w:rsidRPr="001B4CE0" w:rsidRDefault="00D6615D">
      <w:pPr>
        <w:spacing w:after="0" w:line="360" w:lineRule="auto"/>
        <w:jc w:val="both"/>
        <w:rPr>
          <w:rFonts w:ascii="Palatino Linotype" w:eastAsia="Palatino Linotype" w:hAnsi="Palatino Linotype" w:cs="Palatino Linotype"/>
        </w:rPr>
      </w:pPr>
    </w:p>
    <w:p w14:paraId="67979A9B" w14:textId="77777777" w:rsidR="00D6615D" w:rsidRPr="001B4CE0" w:rsidRDefault="000D168C">
      <w:pPr>
        <w:pBdr>
          <w:top w:val="nil"/>
          <w:left w:val="nil"/>
          <w:bottom w:val="nil"/>
          <w:right w:val="nil"/>
          <w:between w:val="nil"/>
        </w:pBd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lastRenderedPageBreak/>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3E130F11" w14:textId="77777777" w:rsidR="00D6615D" w:rsidRPr="001B4CE0" w:rsidRDefault="00D6615D">
      <w:pPr>
        <w:spacing w:after="0" w:line="360" w:lineRule="auto"/>
        <w:rPr>
          <w:rFonts w:ascii="Palatino Linotype" w:eastAsia="Palatino Linotype" w:hAnsi="Palatino Linotype" w:cs="Palatino Linotype"/>
        </w:rPr>
      </w:pPr>
    </w:p>
    <w:p w14:paraId="7C35C215" w14:textId="77777777" w:rsidR="00D6615D" w:rsidRPr="001B4CE0" w:rsidRDefault="000D168C">
      <w:pPr>
        <w:pBdr>
          <w:top w:val="nil"/>
          <w:left w:val="nil"/>
          <w:bottom w:val="nil"/>
          <w:right w:val="nil"/>
          <w:between w:val="nil"/>
        </w:pBd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3563A7B3" w14:textId="77777777" w:rsidR="00D6615D" w:rsidRPr="001B4CE0" w:rsidRDefault="00D6615D">
      <w:pPr>
        <w:spacing w:after="0" w:line="360" w:lineRule="auto"/>
        <w:rPr>
          <w:rFonts w:ascii="Palatino Linotype" w:eastAsia="Palatino Linotype" w:hAnsi="Palatino Linotype" w:cs="Palatino Linotype"/>
        </w:rPr>
      </w:pPr>
    </w:p>
    <w:p w14:paraId="4B255279" w14:textId="77777777" w:rsidR="00D6615D" w:rsidRPr="001B4CE0" w:rsidRDefault="000D168C">
      <w:pPr>
        <w:pBdr>
          <w:top w:val="nil"/>
          <w:left w:val="nil"/>
          <w:bottom w:val="nil"/>
          <w:right w:val="nil"/>
          <w:between w:val="nil"/>
        </w:pBd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14:paraId="71D9BAA1" w14:textId="77777777" w:rsidR="00D6615D" w:rsidRPr="001B4CE0" w:rsidRDefault="00D6615D">
      <w:pPr>
        <w:spacing w:after="0" w:line="360" w:lineRule="auto"/>
        <w:rPr>
          <w:rFonts w:ascii="Palatino Linotype" w:eastAsia="Palatino Linotype" w:hAnsi="Palatino Linotype" w:cs="Palatino Linotype"/>
        </w:rPr>
      </w:pPr>
    </w:p>
    <w:p w14:paraId="48D9A80D" w14:textId="77777777" w:rsidR="00D6615D" w:rsidRPr="001B4CE0" w:rsidRDefault="000D168C">
      <w:pPr>
        <w:pBdr>
          <w:top w:val="nil"/>
          <w:left w:val="nil"/>
          <w:bottom w:val="nil"/>
          <w:right w:val="nil"/>
          <w:between w:val="nil"/>
        </w:pBd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w:t>
      </w:r>
      <w:r w:rsidRPr="001B4CE0">
        <w:rPr>
          <w:rFonts w:ascii="Palatino Linotype" w:eastAsia="Palatino Linotype" w:hAnsi="Palatino Linotype" w:cs="Palatino Linotype"/>
        </w:rPr>
        <w:lastRenderedPageBreak/>
        <w:t>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6110D469" w14:textId="77777777" w:rsidR="00D6615D" w:rsidRPr="001B4CE0" w:rsidRDefault="00D6615D">
      <w:pPr>
        <w:spacing w:after="0" w:line="360" w:lineRule="auto"/>
        <w:rPr>
          <w:rFonts w:ascii="Palatino Linotype" w:eastAsia="Palatino Linotype" w:hAnsi="Palatino Linotype" w:cs="Palatino Linotype"/>
        </w:rPr>
      </w:pPr>
    </w:p>
    <w:p w14:paraId="5DB1AA3E" w14:textId="77777777" w:rsidR="00D6615D" w:rsidRPr="001B4CE0" w:rsidRDefault="000D168C">
      <w:pPr>
        <w:pBdr>
          <w:top w:val="nil"/>
          <w:left w:val="nil"/>
          <w:bottom w:val="nil"/>
          <w:right w:val="nil"/>
          <w:between w:val="nil"/>
        </w:pBdr>
        <w:spacing w:after="0"/>
        <w:ind w:left="862" w:right="862"/>
        <w:jc w:val="both"/>
        <w:rPr>
          <w:rFonts w:ascii="Palatino Linotype" w:eastAsia="Palatino Linotype" w:hAnsi="Palatino Linotype" w:cs="Palatino Linotype"/>
        </w:rPr>
      </w:pPr>
      <w:r w:rsidRPr="001B4CE0">
        <w:rPr>
          <w:rFonts w:ascii="Palatino Linotype" w:eastAsia="Palatino Linotype" w:hAnsi="Palatino Linotype" w:cs="Palatino Linotype"/>
          <w:b/>
          <w:i/>
        </w:rPr>
        <w:t>Nombres de servidores públicos dedicados a actividades en materia de seguridad, por excepción pueden considerarse información reservada.</w:t>
      </w:r>
      <w:r w:rsidRPr="001B4CE0">
        <w:rPr>
          <w:rFonts w:ascii="Palatino Linotype" w:eastAsia="Palatino Linotype" w:hAnsi="Palatino Linotype" w:cs="Palatino Linotype"/>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03DCEE29" w14:textId="77777777" w:rsidR="00D6615D" w:rsidRPr="001B4CE0" w:rsidRDefault="00D6615D">
      <w:pPr>
        <w:spacing w:after="0" w:line="360" w:lineRule="auto"/>
        <w:rPr>
          <w:rFonts w:ascii="Palatino Linotype" w:eastAsia="Palatino Linotype" w:hAnsi="Palatino Linotype" w:cs="Palatino Linotype"/>
        </w:rPr>
      </w:pPr>
    </w:p>
    <w:p w14:paraId="4DA94202" w14:textId="77777777" w:rsidR="00D6615D" w:rsidRPr="001B4CE0" w:rsidRDefault="000D168C">
      <w:pPr>
        <w:pBdr>
          <w:top w:val="nil"/>
          <w:left w:val="nil"/>
          <w:bottom w:val="nil"/>
          <w:right w:val="nil"/>
          <w:between w:val="nil"/>
        </w:pBd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w:t>
      </w:r>
      <w:r w:rsidRPr="001B4CE0">
        <w:rPr>
          <w:rFonts w:ascii="Palatino Linotype" w:eastAsia="Palatino Linotype" w:hAnsi="Palatino Linotype" w:cs="Palatino Linotype"/>
        </w:rPr>
        <w:lastRenderedPageBreak/>
        <w:t xml:space="preserve">lo que, una forma en que la delincuencia puede llegar a poner en riesgo la seguridad del País, Estado y Municipio, anulando, impidiendo u obstaculizando la actuación de los servidores públicos que realizan </w:t>
      </w:r>
      <w:r w:rsidRPr="001B4CE0">
        <w:rPr>
          <w:rFonts w:ascii="Palatino Linotype" w:eastAsia="Palatino Linotype" w:hAnsi="Palatino Linotype" w:cs="Palatino Linotype"/>
          <w:b/>
        </w:rPr>
        <w:t>funciones de carácter operativo.</w:t>
      </w:r>
    </w:p>
    <w:p w14:paraId="71561985" w14:textId="77777777" w:rsidR="00D6615D" w:rsidRPr="001B4CE0" w:rsidRDefault="00D6615D">
      <w:pPr>
        <w:spacing w:after="0" w:line="360" w:lineRule="auto"/>
        <w:rPr>
          <w:rFonts w:ascii="Palatino Linotype" w:eastAsia="Palatino Linotype" w:hAnsi="Palatino Linotype" w:cs="Palatino Linotype"/>
        </w:rPr>
      </w:pPr>
    </w:p>
    <w:p w14:paraId="0F1DF882" w14:textId="77777777" w:rsidR="00D6615D" w:rsidRPr="001B4CE0" w:rsidRDefault="000D168C">
      <w:pPr>
        <w:pBdr>
          <w:top w:val="nil"/>
          <w:left w:val="nil"/>
          <w:bottom w:val="nil"/>
          <w:right w:val="nil"/>
          <w:between w:val="nil"/>
        </w:pBd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Sirven de sustento a lo anterior las tesis jurisprudenciales emitidas por la Suprema corte de Justicia de la Nación, que son del literal siguiente:</w:t>
      </w:r>
    </w:p>
    <w:p w14:paraId="0BD34A01" w14:textId="77777777" w:rsidR="00D6615D" w:rsidRPr="001B4CE0" w:rsidRDefault="00D6615D">
      <w:pPr>
        <w:spacing w:after="0" w:line="360" w:lineRule="auto"/>
        <w:rPr>
          <w:rFonts w:ascii="Palatino Linotype" w:eastAsia="Palatino Linotype" w:hAnsi="Palatino Linotype" w:cs="Palatino Linotype"/>
        </w:rPr>
      </w:pPr>
    </w:p>
    <w:p w14:paraId="43CAB35F" w14:textId="77777777" w:rsidR="00D6615D" w:rsidRPr="001B4CE0" w:rsidRDefault="000D168C">
      <w:pPr>
        <w:pBdr>
          <w:top w:val="nil"/>
          <w:left w:val="nil"/>
          <w:bottom w:val="nil"/>
          <w:right w:val="nil"/>
          <w:between w:val="nil"/>
        </w:pBdr>
        <w:ind w:left="864" w:right="864"/>
        <w:jc w:val="both"/>
        <w:rPr>
          <w:rFonts w:ascii="Palatino Linotype" w:eastAsia="Palatino Linotype" w:hAnsi="Palatino Linotype" w:cs="Palatino Linotype"/>
        </w:rPr>
      </w:pPr>
      <w:r w:rsidRPr="001B4CE0">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1B4CE0">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1B4CE0">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1B4CE0">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1B4CE0">
        <w:rPr>
          <w:rFonts w:ascii="Palatino Linotype" w:eastAsia="Palatino Linotype" w:hAnsi="Palatino Linotype" w:cs="Palatino Linotype"/>
          <w:b/>
          <w:i/>
        </w:rPr>
        <w:t>mientras que por lo que respecta a la protección de la persona existen normas que protegen el derecho a la vida o a la privacidad de los gobernados.</w:t>
      </w:r>
    </w:p>
    <w:p w14:paraId="52502764" w14:textId="77777777" w:rsidR="00D6615D" w:rsidRPr="001B4CE0" w:rsidRDefault="00D6615D">
      <w:pPr>
        <w:rPr>
          <w:rFonts w:ascii="Palatino Linotype" w:eastAsia="Palatino Linotype" w:hAnsi="Palatino Linotype" w:cs="Palatino Linotype"/>
        </w:rPr>
      </w:pPr>
    </w:p>
    <w:p w14:paraId="68040609" w14:textId="77777777" w:rsidR="00D6615D" w:rsidRPr="001B4CE0" w:rsidRDefault="000D168C">
      <w:pPr>
        <w:pBdr>
          <w:top w:val="nil"/>
          <w:left w:val="nil"/>
          <w:bottom w:val="nil"/>
          <w:right w:val="nil"/>
          <w:between w:val="nil"/>
        </w:pBdr>
        <w:ind w:left="864" w:right="864"/>
        <w:jc w:val="both"/>
        <w:rPr>
          <w:rFonts w:ascii="Palatino Linotype" w:eastAsia="Palatino Linotype" w:hAnsi="Palatino Linotype" w:cs="Palatino Linotype"/>
        </w:rPr>
      </w:pPr>
      <w:r w:rsidRPr="001B4CE0">
        <w:rPr>
          <w:rFonts w:ascii="Palatino Linotype" w:eastAsia="Palatino Linotype" w:hAnsi="Palatino Linotype" w:cs="Palatino Linotype"/>
          <w:b/>
          <w:i/>
        </w:rPr>
        <w:lastRenderedPageBreak/>
        <w:t>TRANSPARENCIA Y ACCESO A LA INFORMACIÓN PÚBLICA GUBERNAMENTAL. EL ARTÍCULO 14, FRACCIÓN I, DE LA LEY FEDERAL RELATIVA, NO VIOLA LA GARANTÍA DE ACCESO A LA INFORMACIÓN.</w:t>
      </w:r>
      <w:r w:rsidRPr="001B4CE0">
        <w:rPr>
          <w:rFonts w:ascii="Palatino Linotype" w:eastAsia="Palatino Linotype" w:hAnsi="Palatino Linotype" w:cs="Palatino Linotype"/>
          <w:i/>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1B4CE0">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1B4CE0">
        <w:rPr>
          <w:rFonts w:ascii="Palatino Linotype" w:eastAsia="Palatino Linotype" w:hAnsi="Palatino Linotype" w:cs="Palatino Linotype"/>
          <w:i/>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7D6877E2" w14:textId="77777777" w:rsidR="00D6615D" w:rsidRPr="001B4CE0" w:rsidRDefault="00D6615D">
      <w:pPr>
        <w:spacing w:before="160" w:after="0" w:line="360" w:lineRule="auto"/>
        <w:jc w:val="both"/>
        <w:rPr>
          <w:rFonts w:ascii="Palatino Linotype" w:eastAsia="Palatino Linotype" w:hAnsi="Palatino Linotype" w:cs="Palatino Linotype"/>
        </w:rPr>
      </w:pPr>
    </w:p>
    <w:p w14:paraId="2BCC1988"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Aunado a ello, no escapa de la óptica de este organismo garante que de ser el caso en el que la documentación que se ordena entregar, contenga especificaciones técnicas y equipamiento de las patrullas, dichos datos deberá clasificarse como reservados, pues revelaría la tecnología, sistemas y equipos, con los que cuenta la Secretaría de Seguridad, para el combate a la </w:t>
      </w:r>
      <w:r w:rsidRPr="001B4CE0">
        <w:rPr>
          <w:rFonts w:ascii="Palatino Linotype" w:eastAsia="Palatino Linotype" w:hAnsi="Palatino Linotype" w:cs="Palatino Linotype"/>
        </w:rPr>
        <w:lastRenderedPageBreak/>
        <w:t xml:space="preserve">delincuencia en el Estado de México, pues al proporcionar información sobre el </w:t>
      </w:r>
      <w:r w:rsidRPr="001B4CE0">
        <w:rPr>
          <w:rFonts w:ascii="Palatino Linotype" w:eastAsia="Palatino Linotype" w:hAnsi="Palatino Linotype" w:cs="Palatino Linotype"/>
          <w:b/>
        </w:rPr>
        <w:t>armamento, blindaje y radios con los que cuentan las patrullas adquiridas,</w:t>
      </w:r>
      <w:r w:rsidRPr="001B4CE0">
        <w:rPr>
          <w:rFonts w:ascii="Palatino Linotype" w:eastAsia="Palatino Linotype" w:hAnsi="Palatino Linotype" w:cs="Palatino Linotype"/>
        </w:rPr>
        <w:t xml:space="preserve"> se estaría dando cuenta de los aparatos que se utilizan para estar en comunicación los policías, así como, el equipo y armamento especial, con el que cuentan los vehículos, y que es utilizado para mantener la seguridad dentro del territorio Estatal.</w:t>
      </w:r>
    </w:p>
    <w:p w14:paraId="4FFC36C5" w14:textId="77777777" w:rsidR="00D6615D" w:rsidRPr="001B4CE0" w:rsidRDefault="00D6615D">
      <w:pPr>
        <w:spacing w:after="0" w:line="360" w:lineRule="auto"/>
        <w:jc w:val="both"/>
        <w:rPr>
          <w:rFonts w:ascii="Palatino Linotype" w:eastAsia="Palatino Linotype" w:hAnsi="Palatino Linotype" w:cs="Palatino Linotype"/>
        </w:rPr>
      </w:pPr>
    </w:p>
    <w:p w14:paraId="19CDFE88"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Inclusive, dar a conocer las especificaciones de las patrullas, podría ocasionar que los entes delincuenciales busquen clonar dichos vehículos, con el fin de aumentar la inseguridad de la Entidad, pues podrían hacerse pasar como elementos de seguridad, o bien, podría ser utilizada dicha información para buscar las debilidades de las mismas y poderse aprovechar de dichas situaciones para realizar diversos delitos, lo cual va en detrimento de la paz y orden social.</w:t>
      </w:r>
    </w:p>
    <w:p w14:paraId="0EAA6E84" w14:textId="77777777" w:rsidR="00D6615D" w:rsidRPr="001B4CE0" w:rsidRDefault="00D6615D">
      <w:pPr>
        <w:spacing w:after="0" w:line="360" w:lineRule="auto"/>
        <w:jc w:val="both"/>
        <w:rPr>
          <w:rFonts w:ascii="Palatino Linotype" w:eastAsia="Palatino Linotype" w:hAnsi="Palatino Linotype" w:cs="Palatino Linotype"/>
        </w:rPr>
      </w:pPr>
    </w:p>
    <w:p w14:paraId="3B5E7FE4" w14:textId="77777777" w:rsidR="00D6615D" w:rsidRPr="001B4CE0" w:rsidRDefault="000D168C">
      <w:pPr>
        <w:spacing w:after="0" w:line="360" w:lineRule="auto"/>
        <w:jc w:val="both"/>
        <w:rPr>
          <w:rFonts w:ascii="Palatino Linotype" w:eastAsia="Palatino Linotype" w:hAnsi="Palatino Linotype" w:cs="Palatino Linotype"/>
          <w:b/>
        </w:rPr>
      </w:pPr>
      <w:r w:rsidRPr="001B4CE0">
        <w:rPr>
          <w:rFonts w:ascii="Palatino Linotype" w:eastAsia="Palatino Linotype" w:hAnsi="Palatino Linotype" w:cs="Palatino Linotype"/>
        </w:rPr>
        <w:t xml:space="preserve">Conforme a lo anterior, se puede colegir que proporcionar la información en análisis podría comprometer la seguridad pública, al poner en peligro las funciones a cargo del Municipio,  tendientes a preservar y resguardar la vida, la salud, la integridad y el ejercicio de los derechos de las personas, así como para el mantenimiento del orden público, toda vez </w:t>
      </w:r>
      <w:r w:rsidRPr="001B4CE0">
        <w:rPr>
          <w:rFonts w:ascii="Palatino Linotype" w:eastAsia="Palatino Linotype" w:hAnsi="Palatino Linotype" w:cs="Palatino Linotype"/>
          <w:b/>
        </w:rPr>
        <w:t xml:space="preserve">que da cuenta de las tecnologías, equipos y sistemas con que cuentan las patrullas con que cuenta la Dirección de Seguridad Pública o análogo, </w:t>
      </w:r>
      <w:r w:rsidRPr="001B4CE0">
        <w:rPr>
          <w:rFonts w:ascii="Palatino Linotype" w:eastAsia="Palatino Linotype" w:hAnsi="Palatino Linotype" w:cs="Palatino Linotype"/>
        </w:rPr>
        <w:t>y por lo tanto, acredita la causal de clasificación prevista en el artículo 140, fracción I, de la Ley de Transparencia y Acceso a la Información Pública del Estado de México</w:t>
      </w:r>
      <w:r w:rsidRPr="001B4CE0">
        <w:rPr>
          <w:rFonts w:ascii="Palatino Linotype" w:eastAsia="Palatino Linotype" w:hAnsi="Palatino Linotype" w:cs="Palatino Linotype"/>
          <w:b/>
        </w:rPr>
        <w:t>.</w:t>
      </w:r>
    </w:p>
    <w:p w14:paraId="335D21AD" w14:textId="77777777" w:rsidR="00D6615D" w:rsidRPr="001B4CE0" w:rsidRDefault="00D6615D">
      <w:pPr>
        <w:spacing w:after="0" w:line="360" w:lineRule="auto"/>
        <w:jc w:val="both"/>
        <w:rPr>
          <w:rFonts w:ascii="Palatino Linotype" w:eastAsia="Palatino Linotype" w:hAnsi="Palatino Linotype" w:cs="Palatino Linotype"/>
        </w:rPr>
      </w:pPr>
    </w:p>
    <w:p w14:paraId="16E1A724"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Ahora bien,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69D5D9E1" w14:textId="77777777" w:rsidR="00D6615D" w:rsidRPr="001B4CE0" w:rsidRDefault="00D6615D">
      <w:pPr>
        <w:spacing w:after="0" w:line="360" w:lineRule="auto"/>
        <w:jc w:val="both"/>
        <w:rPr>
          <w:rFonts w:ascii="Palatino Linotype" w:eastAsia="Palatino Linotype" w:hAnsi="Palatino Linotype" w:cs="Palatino Linotype"/>
        </w:rPr>
      </w:pPr>
    </w:p>
    <w:p w14:paraId="4C1489B8" w14:textId="77777777" w:rsidR="00D6615D" w:rsidRPr="001B4CE0" w:rsidRDefault="000D168C">
      <w:pPr>
        <w:numPr>
          <w:ilvl w:val="0"/>
          <w:numId w:val="11"/>
        </w:num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lastRenderedPageBreak/>
        <w:t>La divulgación de la información representa un riesgo real, demostrable e identificable de perjuicio significativo al interés público o a la seguridad nacional.</w:t>
      </w:r>
    </w:p>
    <w:p w14:paraId="4AF430C9" w14:textId="77777777" w:rsidR="00D6615D" w:rsidRPr="001B4CE0" w:rsidRDefault="000D168C">
      <w:pPr>
        <w:numPr>
          <w:ilvl w:val="0"/>
          <w:numId w:val="11"/>
        </w:num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El riesgo de perjuicio supera el interés público general de que se difunda.</w:t>
      </w:r>
    </w:p>
    <w:p w14:paraId="150059CD" w14:textId="77777777" w:rsidR="00D6615D" w:rsidRPr="001B4CE0" w:rsidRDefault="000D168C">
      <w:pPr>
        <w:numPr>
          <w:ilvl w:val="0"/>
          <w:numId w:val="11"/>
        </w:num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Que la limitación se adecua al principio de proporcionalidad y representa el medio menos restrictivo disponible para evitar el perjuicio.</w:t>
      </w:r>
    </w:p>
    <w:p w14:paraId="4981CB97" w14:textId="77777777" w:rsidR="00D6615D" w:rsidRPr="001B4CE0" w:rsidRDefault="00D6615D">
      <w:pPr>
        <w:spacing w:after="0" w:line="360" w:lineRule="auto"/>
        <w:jc w:val="both"/>
        <w:rPr>
          <w:rFonts w:ascii="Palatino Linotype" w:eastAsia="Palatino Linotype" w:hAnsi="Palatino Linotype" w:cs="Palatino Linotype"/>
        </w:rPr>
      </w:pPr>
    </w:p>
    <w:p w14:paraId="136C2997"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Así, se desprende que es reservada toda aquella información que revele el estado de fuerza, y que puede ser utilizada para poner en riesgo la seguridad pública, como en el caso serían las especificaciones técnicas y equipamiento de patrullas, de advertirse estas en el listado de vehículos del que se ordena su entrega; se deberá entregar en versión pública cumpliéndose a cabalidad las formalidades antes indicadas.</w:t>
      </w:r>
    </w:p>
    <w:p w14:paraId="37842F24" w14:textId="77777777" w:rsidR="00D6615D" w:rsidRPr="001B4CE0" w:rsidRDefault="00D6615D">
      <w:pPr>
        <w:spacing w:after="0" w:line="360" w:lineRule="auto"/>
        <w:jc w:val="both"/>
        <w:rPr>
          <w:rFonts w:ascii="Palatino Linotype" w:eastAsia="Palatino Linotype" w:hAnsi="Palatino Linotype" w:cs="Palatino Linotype"/>
        </w:rPr>
      </w:pPr>
    </w:p>
    <w:p w14:paraId="65115523"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64FC107B" w14:textId="77777777" w:rsidR="00D6615D" w:rsidRPr="001B4CE0" w:rsidRDefault="00D6615D">
      <w:pPr>
        <w:spacing w:after="0" w:line="360" w:lineRule="auto"/>
        <w:jc w:val="both"/>
        <w:rPr>
          <w:rFonts w:ascii="Palatino Linotype" w:eastAsia="Palatino Linotype" w:hAnsi="Palatino Linotype" w:cs="Palatino Linotype"/>
        </w:rPr>
      </w:pPr>
    </w:p>
    <w:p w14:paraId="351126AF"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Asimismo, se destaca que la versión pública que elabore el </w:t>
      </w:r>
      <w:r w:rsidRPr="001B4CE0">
        <w:rPr>
          <w:rFonts w:ascii="Palatino Linotype" w:eastAsia="Palatino Linotype" w:hAnsi="Palatino Linotype" w:cs="Palatino Linotype"/>
          <w:b/>
        </w:rPr>
        <w:t>Sujeto Obligado</w:t>
      </w:r>
      <w:r w:rsidRPr="001B4CE0">
        <w:rPr>
          <w:rFonts w:ascii="Palatino Linotype" w:eastAsia="Palatino Linotype" w:hAnsi="Palatino Linotype" w:cs="Palatino Linotype"/>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w:t>
      </w:r>
      <w:r w:rsidRPr="001B4CE0">
        <w:rPr>
          <w:rFonts w:ascii="Palatino Linotype" w:eastAsia="Palatino Linotype" w:hAnsi="Palatino Linotype" w:cs="Palatino Linotype"/>
        </w:rPr>
        <w:lastRenderedPageBreak/>
        <w:t>violentando desde un inicio el derecho de acceso a la información del solicitante, por lo que el acuerdo respectivo, deberá hacerse del conocimiento de la parte</w:t>
      </w:r>
      <w:r w:rsidRPr="001B4CE0">
        <w:rPr>
          <w:rFonts w:ascii="Palatino Linotype" w:eastAsia="Palatino Linotype" w:hAnsi="Palatino Linotype" w:cs="Palatino Linotype"/>
          <w:b/>
        </w:rPr>
        <w:t> Recurrente</w:t>
      </w:r>
      <w:r w:rsidRPr="001B4CE0">
        <w:rPr>
          <w:rFonts w:ascii="Palatino Linotype" w:eastAsia="Palatino Linotype" w:hAnsi="Palatino Linotype" w:cs="Palatino Linotype"/>
        </w:rPr>
        <w:t>.</w:t>
      </w:r>
    </w:p>
    <w:p w14:paraId="6E05E5E8" w14:textId="77777777" w:rsidR="00D6615D" w:rsidRPr="001B4CE0" w:rsidRDefault="00D6615D">
      <w:pPr>
        <w:spacing w:after="0" w:line="360" w:lineRule="auto"/>
        <w:jc w:val="both"/>
        <w:rPr>
          <w:rFonts w:ascii="Palatino Linotype" w:eastAsia="Palatino Linotype" w:hAnsi="Palatino Linotype" w:cs="Palatino Linotype"/>
        </w:rPr>
      </w:pPr>
    </w:p>
    <w:p w14:paraId="7351E96B"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De este modo, la versión pública que elabore el</w:t>
      </w:r>
      <w:r w:rsidRPr="001B4CE0">
        <w:rPr>
          <w:rFonts w:ascii="Palatino Linotype" w:eastAsia="Palatino Linotype" w:hAnsi="Palatino Linotype" w:cs="Palatino Linotype"/>
          <w:b/>
        </w:rPr>
        <w:t xml:space="preserve"> Sujeto Obligado </w:t>
      </w:r>
      <w:r w:rsidRPr="001B4CE0">
        <w:rPr>
          <w:rFonts w:ascii="Palatino Linotype" w:eastAsia="Palatino Linotype" w:hAnsi="Palatino Linotype" w:cs="Palatino Linotype"/>
        </w:rPr>
        <w:t>debe acompañarse del</w:t>
      </w:r>
      <w:r w:rsidRPr="001B4CE0">
        <w:rPr>
          <w:rFonts w:ascii="Palatino Linotype" w:eastAsia="Palatino Linotype" w:hAnsi="Palatino Linotype" w:cs="Palatino Linotype"/>
          <w:b/>
        </w:rPr>
        <w:t xml:space="preserve"> </w:t>
      </w:r>
      <w:r w:rsidRPr="001B4CE0">
        <w:rPr>
          <w:rFonts w:ascii="Palatino Linotype" w:eastAsia="Palatino Linotype" w:hAnsi="Palatino Linotype" w:cs="Palatino Linotype"/>
        </w:rPr>
        <w:t xml:space="preserve">Acuerdo de Clasificación que emita el Comité de Transparencia, para lo cual se deberá observar lo dispuesto en la Ley de Transparencia y Acceso a la Información Pública del Estado de México y Municipios, y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1B4CE0">
        <w:rPr>
          <w:rFonts w:ascii="Palatino Linotype" w:eastAsia="Palatino Linotype" w:hAnsi="Palatino Linotype" w:cs="Palatino Linotype"/>
          <w:b/>
          <w:u w:val="single"/>
        </w:rPr>
        <w:t>razones, motivos o circunstancias especiales</w:t>
      </w:r>
      <w:r w:rsidRPr="001B4CE0">
        <w:rPr>
          <w:rFonts w:ascii="Palatino Linotype" w:eastAsia="Palatino Linotype" w:hAnsi="Palatino Linotype" w:cs="Palatino Linotype"/>
        </w:rPr>
        <w:t xml:space="preserve"> que lo llevaron a concluir que el caso concreto, se ajustó a los supuestos previstos en la normatividad legal invocada como fundamento.</w:t>
      </w:r>
    </w:p>
    <w:p w14:paraId="28749CB1" w14:textId="77777777" w:rsidR="00D6615D" w:rsidRPr="001B4CE0" w:rsidRDefault="00D6615D">
      <w:pPr>
        <w:spacing w:after="0" w:line="360" w:lineRule="auto"/>
        <w:jc w:val="both"/>
        <w:rPr>
          <w:rFonts w:ascii="Palatino Linotype" w:eastAsia="Palatino Linotype" w:hAnsi="Palatino Linotype" w:cs="Palatino Linotype"/>
        </w:rPr>
      </w:pPr>
    </w:p>
    <w:p w14:paraId="1CABFEA8"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Entorno a lo que aquí nos interesa, el Lineamiento Quincuagésimo segundo de los Lineamientos Generales en Materia de Clasificación y Desclasificación de la Información, así como para la Elaboración de Versiones Públicas, establece lo siguiente:</w:t>
      </w:r>
    </w:p>
    <w:p w14:paraId="0D552A08" w14:textId="77777777" w:rsidR="00D6615D" w:rsidRPr="001B4CE0" w:rsidRDefault="00D6615D">
      <w:pPr>
        <w:spacing w:after="0" w:line="360" w:lineRule="auto"/>
        <w:jc w:val="both"/>
        <w:rPr>
          <w:rFonts w:ascii="Palatino Linotype" w:eastAsia="Palatino Linotype" w:hAnsi="Palatino Linotype" w:cs="Palatino Linotype"/>
        </w:rPr>
      </w:pPr>
    </w:p>
    <w:p w14:paraId="173A34D3" w14:textId="77777777" w:rsidR="00D6615D" w:rsidRPr="001B4CE0" w:rsidRDefault="000D168C">
      <w:pPr>
        <w:spacing w:after="120"/>
        <w:ind w:left="851" w:right="900"/>
        <w:jc w:val="both"/>
        <w:rPr>
          <w:rFonts w:ascii="Palatino Linotype" w:eastAsia="Palatino Linotype" w:hAnsi="Palatino Linotype" w:cs="Palatino Linotype"/>
          <w:i/>
        </w:rPr>
      </w:pPr>
      <w:r w:rsidRPr="001B4CE0">
        <w:rPr>
          <w:rFonts w:ascii="Palatino Linotype" w:eastAsia="Palatino Linotype" w:hAnsi="Palatino Linotype" w:cs="Palatino Linotype"/>
          <w:b/>
          <w:i/>
        </w:rPr>
        <w:t>“Quincuagésimo segundo</w:t>
      </w:r>
      <w:r w:rsidRPr="001B4CE0">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F0933CF" w14:textId="77777777" w:rsidR="00D6615D" w:rsidRPr="001B4CE0" w:rsidRDefault="000D168C">
      <w:pPr>
        <w:spacing w:before="120" w:after="120"/>
        <w:ind w:left="851" w:right="900"/>
        <w:jc w:val="both"/>
        <w:rPr>
          <w:rFonts w:ascii="Palatino Linotype" w:eastAsia="Palatino Linotype" w:hAnsi="Palatino Linotype" w:cs="Palatino Linotype"/>
          <w:i/>
        </w:rPr>
      </w:pPr>
      <w:r w:rsidRPr="001B4CE0">
        <w:rPr>
          <w:rFonts w:ascii="Palatino Linotype" w:eastAsia="Palatino Linotype" w:hAnsi="Palatino Linotype" w:cs="Palatino Linotype"/>
          <w:i/>
        </w:rPr>
        <w:t xml:space="preserve">En el caso especifico de la clasificación y elaboración de versiones públicas de documentos que contengan información confidencial, las áreas de los sujetos obligados deberán: </w:t>
      </w:r>
    </w:p>
    <w:p w14:paraId="0F1545AC" w14:textId="77777777" w:rsidR="00D6615D" w:rsidRPr="001B4CE0" w:rsidRDefault="000D168C">
      <w:pPr>
        <w:spacing w:before="120" w:after="120"/>
        <w:ind w:left="1134" w:right="900"/>
        <w:jc w:val="both"/>
        <w:rPr>
          <w:rFonts w:ascii="Palatino Linotype" w:eastAsia="Palatino Linotype" w:hAnsi="Palatino Linotype" w:cs="Palatino Linotype"/>
          <w:i/>
        </w:rPr>
      </w:pPr>
      <w:r w:rsidRPr="001B4CE0">
        <w:rPr>
          <w:rFonts w:ascii="Palatino Linotype" w:eastAsia="Palatino Linotype" w:hAnsi="Palatino Linotype" w:cs="Palatino Linotype"/>
          <w:b/>
          <w:i/>
        </w:rPr>
        <w:lastRenderedPageBreak/>
        <w:t>I.</w:t>
      </w:r>
      <w:r w:rsidRPr="001B4CE0">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3E1E972D" w14:textId="77777777" w:rsidR="00D6615D" w:rsidRPr="001B4CE0" w:rsidRDefault="000D168C">
      <w:pPr>
        <w:spacing w:before="120" w:after="120"/>
        <w:ind w:left="1134" w:right="900"/>
        <w:jc w:val="both"/>
        <w:rPr>
          <w:rFonts w:ascii="Palatino Linotype" w:eastAsia="Palatino Linotype" w:hAnsi="Palatino Linotype" w:cs="Palatino Linotype"/>
          <w:i/>
        </w:rPr>
      </w:pPr>
      <w:r w:rsidRPr="001B4CE0">
        <w:rPr>
          <w:rFonts w:ascii="Palatino Linotype" w:eastAsia="Palatino Linotype" w:hAnsi="Palatino Linotype" w:cs="Palatino Linotype"/>
          <w:b/>
          <w:i/>
        </w:rPr>
        <w:t>II.</w:t>
      </w:r>
      <w:r w:rsidRPr="001B4CE0">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369A5BF6" w14:textId="77777777" w:rsidR="00D6615D" w:rsidRPr="001B4CE0" w:rsidRDefault="000D168C">
      <w:pPr>
        <w:spacing w:before="120" w:after="120"/>
        <w:ind w:left="1134" w:right="900"/>
        <w:jc w:val="both"/>
        <w:rPr>
          <w:rFonts w:ascii="Palatino Linotype" w:eastAsia="Palatino Linotype" w:hAnsi="Palatino Linotype" w:cs="Palatino Linotype"/>
          <w:i/>
        </w:rPr>
      </w:pPr>
      <w:r w:rsidRPr="001B4CE0">
        <w:rPr>
          <w:rFonts w:ascii="Palatino Linotype" w:eastAsia="Palatino Linotype" w:hAnsi="Palatino Linotype" w:cs="Palatino Linotype"/>
          <w:b/>
          <w:i/>
        </w:rPr>
        <w:t>III.</w:t>
      </w:r>
      <w:r w:rsidRPr="001B4CE0">
        <w:rPr>
          <w:rFonts w:ascii="Palatino Linotype" w:eastAsia="Palatino Linotype" w:hAnsi="Palatino Linotype" w:cs="Palatino Linotype"/>
          <w:i/>
        </w:rPr>
        <w:t xml:space="preserve"> Señalar las personas o instancias autorizadas a acceder a la información clasificada.</w:t>
      </w:r>
    </w:p>
    <w:p w14:paraId="5AC6B233" w14:textId="77777777" w:rsidR="00D6615D" w:rsidRPr="001B4CE0" w:rsidRDefault="000D168C">
      <w:pPr>
        <w:spacing w:before="120" w:after="0"/>
        <w:ind w:left="851" w:right="900"/>
        <w:jc w:val="both"/>
        <w:rPr>
          <w:rFonts w:ascii="Palatino Linotype" w:eastAsia="Palatino Linotype" w:hAnsi="Palatino Linotype" w:cs="Palatino Linotype"/>
          <w:i/>
        </w:rPr>
      </w:pPr>
      <w:r w:rsidRPr="001B4CE0">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13AF3375" w14:textId="77777777" w:rsidR="00D6615D" w:rsidRPr="001B4CE0" w:rsidRDefault="00D6615D">
      <w:pPr>
        <w:spacing w:after="0" w:line="360" w:lineRule="auto"/>
        <w:ind w:left="851" w:right="900"/>
        <w:jc w:val="both"/>
        <w:rPr>
          <w:rFonts w:ascii="Palatino Linotype" w:eastAsia="Palatino Linotype" w:hAnsi="Palatino Linotype" w:cs="Palatino Linotype"/>
          <w:i/>
        </w:rPr>
      </w:pPr>
    </w:p>
    <w:p w14:paraId="4355DCAE" w14:textId="77777777" w:rsidR="00D6615D" w:rsidRPr="001B4CE0" w:rsidRDefault="000D168C">
      <w:pPr>
        <w:spacing w:after="0" w:line="360" w:lineRule="auto"/>
        <w:ind w:right="50"/>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Deberá observar el Lineamiento Quincuagésimo tercero de los Lineamientos Generales en Materia de Clasificación y Desclasificación de la Información supraindicados, que establece los formatos para la clasificación de los documentos, conforme a lo siguiente: </w:t>
      </w:r>
    </w:p>
    <w:p w14:paraId="4FFFDC7F" w14:textId="77777777" w:rsidR="00D6615D" w:rsidRPr="001B4CE0" w:rsidRDefault="000D168C">
      <w:pPr>
        <w:ind w:left="851" w:right="900"/>
        <w:jc w:val="center"/>
        <w:rPr>
          <w:rFonts w:ascii="Palatino Linotype" w:eastAsia="Palatino Linotype" w:hAnsi="Palatino Linotype" w:cs="Palatino Linotype"/>
          <w:b/>
          <w:i/>
        </w:rPr>
      </w:pPr>
      <w:r w:rsidRPr="001B4CE0">
        <w:rPr>
          <w:rFonts w:ascii="Palatino Linotype" w:eastAsia="Palatino Linotype" w:hAnsi="Palatino Linotype" w:cs="Palatino Linotype"/>
          <w:b/>
          <w:i/>
        </w:rPr>
        <w:t>CAPÍTULO VIII</w:t>
      </w:r>
    </w:p>
    <w:p w14:paraId="25BAD373" w14:textId="77777777" w:rsidR="00D6615D" w:rsidRPr="001B4CE0" w:rsidRDefault="000D168C">
      <w:pPr>
        <w:ind w:left="851" w:right="900"/>
        <w:jc w:val="center"/>
        <w:rPr>
          <w:rFonts w:ascii="Palatino Linotype" w:eastAsia="Palatino Linotype" w:hAnsi="Palatino Linotype" w:cs="Palatino Linotype"/>
          <w:b/>
          <w:i/>
        </w:rPr>
      </w:pPr>
      <w:r w:rsidRPr="001B4CE0">
        <w:rPr>
          <w:rFonts w:ascii="Palatino Linotype" w:eastAsia="Palatino Linotype" w:hAnsi="Palatino Linotype" w:cs="Palatino Linotype"/>
          <w:b/>
          <w:i/>
        </w:rPr>
        <w:t xml:space="preserve">DE LOS ELEMENTOS PARA LA CLASIFICACIÓN </w:t>
      </w:r>
    </w:p>
    <w:p w14:paraId="0B4E980E" w14:textId="77777777" w:rsidR="00D6615D" w:rsidRPr="001B4CE0" w:rsidRDefault="000D168C">
      <w:pPr>
        <w:ind w:left="851" w:right="900"/>
        <w:rPr>
          <w:rFonts w:ascii="Palatino Linotype" w:eastAsia="Palatino Linotype" w:hAnsi="Palatino Linotype" w:cs="Palatino Linotype"/>
          <w:i/>
        </w:rPr>
      </w:pPr>
      <w:r w:rsidRPr="001B4CE0">
        <w:rPr>
          <w:rFonts w:ascii="Palatino Linotype" w:eastAsia="Palatino Linotype" w:hAnsi="Palatino Linotype" w:cs="Palatino Linotype"/>
          <w:i/>
        </w:rPr>
        <w:t>…</w:t>
      </w:r>
    </w:p>
    <w:p w14:paraId="612C0A2E"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b/>
          <w:i/>
        </w:rPr>
        <w:t xml:space="preserve">Quincuagésimo tercero. </w:t>
      </w:r>
      <w:r w:rsidRPr="001B4CE0">
        <w:rPr>
          <w:rFonts w:ascii="Palatino Linotype" w:eastAsia="Palatino Linotype" w:hAnsi="Palatino Linotype" w:cs="Palatino Linotype"/>
          <w:b/>
          <w:i/>
          <w:u w:val="single"/>
        </w:rPr>
        <w:t>El formato para señalar la clasificación de un documento o expediente que contenga información reservada</w:t>
      </w:r>
      <w:r w:rsidRPr="001B4CE0">
        <w:rPr>
          <w:rFonts w:ascii="Palatino Linotype" w:eastAsia="Palatino Linotype" w:hAnsi="Palatino Linotype" w:cs="Palatino Linotype"/>
          <w:b/>
          <w:i/>
        </w:rPr>
        <w:t xml:space="preserve">, </w:t>
      </w:r>
      <w:r w:rsidRPr="001B4CE0">
        <w:rPr>
          <w:rFonts w:ascii="Palatino Linotype" w:eastAsia="Palatino Linotype" w:hAnsi="Palatino Linotype" w:cs="Palatino Linotype"/>
          <w:i/>
        </w:rPr>
        <w:t xml:space="preserve">es el siguiente: </w:t>
      </w:r>
    </w:p>
    <w:p w14:paraId="718F7048" w14:textId="77777777" w:rsidR="00D6615D" w:rsidRPr="001B4CE0" w:rsidRDefault="000D168C">
      <w:pPr>
        <w:spacing w:before="120" w:after="120"/>
        <w:ind w:left="851" w:right="902"/>
        <w:jc w:val="both"/>
        <w:rPr>
          <w:rFonts w:ascii="Palatino Linotype" w:eastAsia="Palatino Linotype" w:hAnsi="Palatino Linotype" w:cs="Palatino Linotype"/>
          <w:b/>
          <w:i/>
        </w:rPr>
      </w:pPr>
      <w:r w:rsidRPr="001B4CE0">
        <w:rPr>
          <w:rFonts w:ascii="Palatino Linotype" w:eastAsia="Palatino Linotype" w:hAnsi="Palatino Linotype" w:cs="Palatino Linotype"/>
          <w:b/>
          <w:i/>
          <w:noProof/>
          <w:lang w:eastAsia="es-MX"/>
        </w:rPr>
        <w:drawing>
          <wp:inline distT="0" distB="0" distL="0" distR="0" wp14:anchorId="0727A4C6" wp14:editId="16E8E3D3">
            <wp:extent cx="4295775" cy="295275"/>
            <wp:effectExtent l="0" t="0" r="0" b="0"/>
            <wp:docPr id="939555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b="95731"/>
                    <a:stretch>
                      <a:fillRect/>
                    </a:stretch>
                  </pic:blipFill>
                  <pic:spPr>
                    <a:xfrm>
                      <a:off x="0" y="0"/>
                      <a:ext cx="4295775" cy="295275"/>
                    </a:xfrm>
                    <a:prstGeom prst="rect">
                      <a:avLst/>
                    </a:prstGeom>
                    <a:ln/>
                  </pic:spPr>
                </pic:pic>
              </a:graphicData>
            </a:graphic>
          </wp:inline>
        </w:drawing>
      </w:r>
    </w:p>
    <w:p w14:paraId="26D377BD" w14:textId="77777777" w:rsidR="00D6615D" w:rsidRPr="001B4CE0" w:rsidRDefault="000D168C">
      <w:pPr>
        <w:spacing w:before="120" w:after="120"/>
        <w:ind w:left="851" w:right="902"/>
        <w:jc w:val="both"/>
        <w:rPr>
          <w:rFonts w:ascii="Palatino Linotype" w:eastAsia="Palatino Linotype" w:hAnsi="Palatino Linotype" w:cs="Palatino Linotype"/>
          <w:b/>
          <w:i/>
        </w:rPr>
      </w:pPr>
      <w:r w:rsidRPr="001B4CE0">
        <w:rPr>
          <w:rFonts w:ascii="Palatino Linotype" w:eastAsia="Palatino Linotype" w:hAnsi="Palatino Linotype" w:cs="Palatino Linotype"/>
          <w:b/>
          <w:i/>
          <w:noProof/>
          <w:lang w:eastAsia="es-MX"/>
        </w:rPr>
        <w:drawing>
          <wp:inline distT="0" distB="0" distL="0" distR="0" wp14:anchorId="7F78E058" wp14:editId="5B438498">
            <wp:extent cx="4333875" cy="775252"/>
            <wp:effectExtent l="0" t="0" r="0" b="0"/>
            <wp:docPr id="939555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t="30907" b="57867"/>
                    <a:stretch>
                      <a:fillRect/>
                    </a:stretch>
                  </pic:blipFill>
                  <pic:spPr>
                    <a:xfrm>
                      <a:off x="0" y="0"/>
                      <a:ext cx="4333875" cy="775252"/>
                    </a:xfrm>
                    <a:prstGeom prst="rect">
                      <a:avLst/>
                    </a:prstGeom>
                    <a:ln/>
                  </pic:spPr>
                </pic:pic>
              </a:graphicData>
            </a:graphic>
          </wp:inline>
        </w:drawing>
      </w:r>
    </w:p>
    <w:p w14:paraId="19A5519F" w14:textId="77777777" w:rsidR="00D6615D" w:rsidRPr="001B4CE0" w:rsidRDefault="000D168C">
      <w:pPr>
        <w:spacing w:before="120" w:after="120"/>
        <w:ind w:left="851" w:right="902"/>
        <w:jc w:val="both"/>
        <w:rPr>
          <w:rFonts w:ascii="Palatino Linotype" w:eastAsia="Palatino Linotype" w:hAnsi="Palatino Linotype" w:cs="Palatino Linotype"/>
          <w:b/>
          <w:i/>
        </w:rPr>
      </w:pPr>
      <w:r w:rsidRPr="001B4CE0">
        <w:rPr>
          <w:rFonts w:ascii="Palatino Linotype" w:eastAsia="Palatino Linotype" w:hAnsi="Palatino Linotype" w:cs="Palatino Linotype"/>
          <w:b/>
          <w:i/>
          <w:noProof/>
          <w:lang w:eastAsia="es-MX"/>
        </w:rPr>
        <w:lastRenderedPageBreak/>
        <w:drawing>
          <wp:inline distT="0" distB="0" distL="0" distR="0" wp14:anchorId="48429DC0" wp14:editId="3EAAA31F">
            <wp:extent cx="4333875" cy="3968523"/>
            <wp:effectExtent l="0" t="0" r="0" b="0"/>
            <wp:docPr id="939555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t="41711" b="832"/>
                    <a:stretch>
                      <a:fillRect/>
                    </a:stretch>
                  </pic:blipFill>
                  <pic:spPr>
                    <a:xfrm>
                      <a:off x="0" y="0"/>
                      <a:ext cx="4333875" cy="3968523"/>
                    </a:xfrm>
                    <a:prstGeom prst="rect">
                      <a:avLst/>
                    </a:prstGeom>
                    <a:ln/>
                  </pic:spPr>
                </pic:pic>
              </a:graphicData>
            </a:graphic>
          </wp:inline>
        </w:drawing>
      </w:r>
    </w:p>
    <w:p w14:paraId="763910EF"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i/>
        </w:rPr>
        <w:t>Los documentos que integren un expediente reservado en su totalidad no deberán marcarse en lo individual.</w:t>
      </w:r>
    </w:p>
    <w:p w14:paraId="064B884E"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i/>
        </w:rPr>
        <w:t>Una vez desclasificados los expedientes, si existieren documentos que tuvieran el carácter de reservados deberán permanecer o ser marcados.”</w:t>
      </w:r>
    </w:p>
    <w:p w14:paraId="1AB8C5F8" w14:textId="77777777" w:rsidR="00D6615D" w:rsidRPr="001B4CE0" w:rsidRDefault="000D168C">
      <w:pPr>
        <w:spacing w:before="240" w:after="24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Asimismo, deberá observar los Lineamientos Quincuagésimo sexto, Quincuagésimo séptimo y Quincuagésimo octavo, establecen lo siguiente:</w:t>
      </w:r>
    </w:p>
    <w:p w14:paraId="3D8F8652"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i/>
        </w:rPr>
        <w:t>“</w:t>
      </w:r>
      <w:r w:rsidRPr="001B4CE0">
        <w:rPr>
          <w:rFonts w:ascii="Palatino Linotype" w:eastAsia="Palatino Linotype" w:hAnsi="Palatino Linotype" w:cs="Palatino Linotype"/>
          <w:b/>
          <w:i/>
        </w:rPr>
        <w:t>Quincuagésimo sexto</w:t>
      </w:r>
      <w:r w:rsidRPr="001B4CE0">
        <w:rPr>
          <w:rFonts w:ascii="Palatino Linotype" w:eastAsia="Palatino Linotype" w:hAnsi="Palatino Linotype" w:cs="Palatino Linotype"/>
          <w:i/>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4620DFB7"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b/>
          <w:i/>
        </w:rPr>
        <w:lastRenderedPageBreak/>
        <w:t>Quincuagésimo séptimo</w:t>
      </w:r>
      <w:r w:rsidRPr="001B4CE0">
        <w:rPr>
          <w:rFonts w:ascii="Palatino Linotype" w:eastAsia="Palatino Linotype" w:hAnsi="Palatino Linotype" w:cs="Palatino Linotype"/>
          <w:i/>
        </w:rPr>
        <w:t xml:space="preserve">. Se considera, en principio, como información pública y no podrá omitirse de las versiones públicas la siguiente: </w:t>
      </w:r>
    </w:p>
    <w:p w14:paraId="763346D8" w14:textId="77777777" w:rsidR="00D6615D" w:rsidRPr="001B4CE0" w:rsidRDefault="000D168C">
      <w:pPr>
        <w:spacing w:before="120" w:after="120"/>
        <w:ind w:left="1134" w:right="902"/>
        <w:jc w:val="both"/>
        <w:rPr>
          <w:rFonts w:ascii="Palatino Linotype" w:eastAsia="Palatino Linotype" w:hAnsi="Palatino Linotype" w:cs="Palatino Linotype"/>
          <w:i/>
        </w:rPr>
      </w:pPr>
      <w:r w:rsidRPr="001B4CE0">
        <w:rPr>
          <w:rFonts w:ascii="Palatino Linotype" w:eastAsia="Palatino Linotype" w:hAnsi="Palatino Linotype" w:cs="Palatino Linotype"/>
          <w:b/>
          <w:i/>
        </w:rPr>
        <w:t>I</w:t>
      </w:r>
      <w:r w:rsidRPr="001B4CE0">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2831C4BB" w14:textId="77777777" w:rsidR="00D6615D" w:rsidRPr="001B4CE0" w:rsidRDefault="000D168C">
      <w:pPr>
        <w:spacing w:before="120" w:after="120"/>
        <w:ind w:left="1134" w:right="902"/>
        <w:jc w:val="both"/>
        <w:rPr>
          <w:rFonts w:ascii="Palatino Linotype" w:eastAsia="Palatino Linotype" w:hAnsi="Palatino Linotype" w:cs="Palatino Linotype"/>
          <w:i/>
        </w:rPr>
      </w:pPr>
      <w:r w:rsidRPr="001B4CE0">
        <w:rPr>
          <w:rFonts w:ascii="Palatino Linotype" w:eastAsia="Palatino Linotype" w:hAnsi="Palatino Linotype" w:cs="Palatino Linotype"/>
          <w:b/>
          <w:i/>
        </w:rPr>
        <w:t>II.</w:t>
      </w:r>
      <w:r w:rsidRPr="001B4CE0">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185501F1" w14:textId="77777777" w:rsidR="00D6615D" w:rsidRPr="001B4CE0" w:rsidRDefault="000D168C">
      <w:pPr>
        <w:spacing w:before="120" w:after="120"/>
        <w:ind w:left="1134" w:right="902"/>
        <w:jc w:val="both"/>
        <w:rPr>
          <w:rFonts w:ascii="Palatino Linotype" w:eastAsia="Palatino Linotype" w:hAnsi="Palatino Linotype" w:cs="Palatino Linotype"/>
          <w:i/>
        </w:rPr>
      </w:pPr>
      <w:r w:rsidRPr="001B4CE0">
        <w:rPr>
          <w:rFonts w:ascii="Palatino Linotype" w:eastAsia="Palatino Linotype" w:hAnsi="Palatino Linotype" w:cs="Palatino Linotype"/>
          <w:b/>
          <w:i/>
        </w:rPr>
        <w:t>III</w:t>
      </w:r>
      <w:r w:rsidRPr="001B4CE0">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10384362"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597DCF5B" w14:textId="77777777" w:rsidR="00D6615D" w:rsidRPr="001B4CE0" w:rsidRDefault="000D168C">
      <w:pPr>
        <w:spacing w:before="120" w:after="120"/>
        <w:ind w:left="851" w:right="902"/>
        <w:jc w:val="both"/>
        <w:rPr>
          <w:rFonts w:ascii="Palatino Linotype" w:eastAsia="Palatino Linotype" w:hAnsi="Palatino Linotype" w:cs="Palatino Linotype"/>
          <w:i/>
        </w:rPr>
      </w:pPr>
      <w:r w:rsidRPr="001B4CE0">
        <w:rPr>
          <w:rFonts w:ascii="Palatino Linotype" w:eastAsia="Palatino Linotype" w:hAnsi="Palatino Linotype" w:cs="Palatino Linotype"/>
          <w:b/>
          <w:i/>
        </w:rPr>
        <w:t>Quincuagésimo octavo</w:t>
      </w:r>
      <w:r w:rsidRPr="001B4CE0">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4A88BE35" w14:textId="77777777" w:rsidR="00D6615D" w:rsidRPr="001B4CE0" w:rsidRDefault="00D6615D">
      <w:pPr>
        <w:spacing w:before="120" w:after="120"/>
        <w:ind w:left="851" w:right="902"/>
        <w:jc w:val="both"/>
        <w:rPr>
          <w:rFonts w:ascii="Palatino Linotype" w:eastAsia="Palatino Linotype" w:hAnsi="Palatino Linotype" w:cs="Palatino Linotype"/>
          <w:i/>
        </w:rPr>
      </w:pPr>
    </w:p>
    <w:p w14:paraId="7AF5E386" w14:textId="77777777" w:rsidR="00D6615D" w:rsidRPr="001B4CE0" w:rsidRDefault="000D168C">
      <w:pPr>
        <w:spacing w:before="120"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1B4CE0">
        <w:rPr>
          <w:rFonts w:ascii="Palatino Linotype" w:eastAsia="Palatino Linotype" w:hAnsi="Palatino Linotype" w:cs="Palatino Linotype"/>
          <w:b/>
        </w:rPr>
        <w:t>Sujeto Obligado</w:t>
      </w:r>
      <w:r w:rsidRPr="001B4CE0">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6267794" w14:textId="77777777" w:rsidR="00D6615D" w:rsidRPr="001B4CE0" w:rsidRDefault="00D6615D">
      <w:pPr>
        <w:spacing w:after="0" w:line="360" w:lineRule="auto"/>
        <w:jc w:val="both"/>
        <w:rPr>
          <w:rFonts w:ascii="Palatino Linotype" w:eastAsia="Palatino Linotype" w:hAnsi="Palatino Linotype" w:cs="Palatino Linotype"/>
        </w:rPr>
      </w:pPr>
    </w:p>
    <w:p w14:paraId="4CC631D2" w14:textId="77777777" w:rsidR="00D6615D" w:rsidRPr="001B4CE0" w:rsidRDefault="000D168C">
      <w:pPr>
        <w:spacing w:after="0" w:line="360" w:lineRule="auto"/>
        <w:ind w:right="49"/>
        <w:jc w:val="both"/>
        <w:rPr>
          <w:rFonts w:ascii="Palatino Linotype" w:eastAsia="Palatino Linotype" w:hAnsi="Palatino Linotype" w:cs="Palatino Linotype"/>
        </w:rPr>
      </w:pPr>
      <w:r w:rsidRPr="001B4CE0">
        <w:rPr>
          <w:rFonts w:ascii="Palatino Linotype" w:eastAsia="Palatino Linotype" w:hAnsi="Palatino Linotype" w:cs="Palatino Linotype"/>
        </w:rPr>
        <w:lastRenderedPageBreak/>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6A7222F2" w14:textId="77777777" w:rsidR="00D6615D" w:rsidRPr="001B4CE0" w:rsidRDefault="00D6615D">
      <w:pPr>
        <w:spacing w:after="0" w:line="360" w:lineRule="auto"/>
        <w:ind w:right="49"/>
        <w:jc w:val="both"/>
        <w:rPr>
          <w:rFonts w:ascii="Palatino Linotype" w:eastAsia="Palatino Linotype" w:hAnsi="Palatino Linotype" w:cs="Palatino Linotype"/>
        </w:rPr>
      </w:pPr>
    </w:p>
    <w:p w14:paraId="37B3A011" w14:textId="77777777" w:rsidR="00D6615D" w:rsidRPr="001B4CE0" w:rsidRDefault="000D168C">
      <w:pPr>
        <w:spacing w:line="360" w:lineRule="auto"/>
        <w:ind w:right="-93"/>
        <w:jc w:val="center"/>
        <w:rPr>
          <w:rFonts w:ascii="Palatino Linotype" w:eastAsia="Palatino Linotype" w:hAnsi="Palatino Linotype" w:cs="Palatino Linotype"/>
          <w:b/>
        </w:rPr>
      </w:pPr>
      <w:r w:rsidRPr="001B4CE0">
        <w:rPr>
          <w:rFonts w:ascii="Palatino Linotype" w:eastAsia="Palatino Linotype" w:hAnsi="Palatino Linotype" w:cs="Palatino Linotype"/>
          <w:b/>
        </w:rPr>
        <w:t>R E S U E L V E:</w:t>
      </w:r>
    </w:p>
    <w:p w14:paraId="01107336" w14:textId="77777777" w:rsidR="00D6615D" w:rsidRPr="001B4CE0" w:rsidRDefault="000D168C">
      <w:pPr>
        <w:spacing w:after="0" w:line="360" w:lineRule="auto"/>
        <w:jc w:val="both"/>
        <w:rPr>
          <w:rFonts w:ascii="Palatino Linotype" w:eastAsia="Palatino Linotype" w:hAnsi="Palatino Linotype" w:cs="Palatino Linotype"/>
          <w:b/>
        </w:rPr>
      </w:pPr>
      <w:r w:rsidRPr="001B4CE0">
        <w:rPr>
          <w:rFonts w:ascii="Palatino Linotype" w:eastAsia="Palatino Linotype" w:hAnsi="Palatino Linotype" w:cs="Palatino Linotype"/>
          <w:b/>
        </w:rPr>
        <w:t xml:space="preserve">PRIMERO. </w:t>
      </w:r>
      <w:r w:rsidRPr="001B4CE0">
        <w:rPr>
          <w:rFonts w:ascii="Palatino Linotype" w:eastAsia="Palatino Linotype" w:hAnsi="Palatino Linotype" w:cs="Palatino Linotype"/>
        </w:rPr>
        <w:t>Resultan fundados los motivos de inconformidad hechos valer por la parte</w:t>
      </w:r>
      <w:r w:rsidRPr="001B4CE0">
        <w:rPr>
          <w:rFonts w:ascii="Palatino Linotype" w:eastAsia="Palatino Linotype" w:hAnsi="Palatino Linotype" w:cs="Palatino Linotype"/>
          <w:b/>
        </w:rPr>
        <w:t xml:space="preserve"> Recurrente</w:t>
      </w:r>
      <w:r w:rsidRPr="001B4CE0">
        <w:rPr>
          <w:rFonts w:ascii="Palatino Linotype" w:eastAsia="Palatino Linotype" w:hAnsi="Palatino Linotype" w:cs="Palatino Linotype"/>
        </w:rPr>
        <w:t xml:space="preserve"> en el Recurso de Revisión </w:t>
      </w:r>
      <w:r w:rsidRPr="001B4CE0">
        <w:rPr>
          <w:rFonts w:ascii="Palatino Linotype" w:eastAsia="Palatino Linotype" w:hAnsi="Palatino Linotype" w:cs="Palatino Linotype"/>
          <w:b/>
        </w:rPr>
        <w:t xml:space="preserve">02689/INFOEM/IP/RR/2024, </w:t>
      </w:r>
      <w:r w:rsidRPr="001B4CE0">
        <w:rPr>
          <w:rFonts w:ascii="Palatino Linotype" w:eastAsia="Palatino Linotype" w:hAnsi="Palatino Linotype" w:cs="Palatino Linotype"/>
        </w:rPr>
        <w:t xml:space="preserve">por lo que, en términos del considerando </w:t>
      </w:r>
      <w:r w:rsidRPr="001B4CE0">
        <w:rPr>
          <w:rFonts w:ascii="Palatino Linotype" w:eastAsia="Palatino Linotype" w:hAnsi="Palatino Linotype" w:cs="Palatino Linotype"/>
          <w:b/>
        </w:rPr>
        <w:t xml:space="preserve">Cuarto </w:t>
      </w:r>
      <w:r w:rsidRPr="001B4CE0">
        <w:rPr>
          <w:rFonts w:ascii="Palatino Linotype" w:eastAsia="Palatino Linotype" w:hAnsi="Palatino Linotype" w:cs="Palatino Linotype"/>
        </w:rPr>
        <w:t xml:space="preserve">de esta resolución, se </w:t>
      </w:r>
      <w:r w:rsidRPr="001B4CE0">
        <w:rPr>
          <w:rFonts w:ascii="Palatino Linotype" w:eastAsia="Palatino Linotype" w:hAnsi="Palatino Linotype" w:cs="Palatino Linotype"/>
          <w:b/>
        </w:rPr>
        <w:t xml:space="preserve">Modifica </w:t>
      </w:r>
      <w:r w:rsidRPr="001B4CE0">
        <w:rPr>
          <w:rFonts w:ascii="Palatino Linotype" w:eastAsia="Palatino Linotype" w:hAnsi="Palatino Linotype" w:cs="Palatino Linotype"/>
        </w:rPr>
        <w:t xml:space="preserve">la respuesta emitida por el </w:t>
      </w:r>
      <w:r w:rsidRPr="001B4CE0">
        <w:rPr>
          <w:rFonts w:ascii="Palatino Linotype" w:eastAsia="Palatino Linotype" w:hAnsi="Palatino Linotype" w:cs="Palatino Linotype"/>
          <w:b/>
        </w:rPr>
        <w:t>Sujeto Obligado</w:t>
      </w:r>
      <w:r w:rsidRPr="001B4CE0">
        <w:rPr>
          <w:rFonts w:ascii="Palatino Linotype" w:eastAsia="Palatino Linotype" w:hAnsi="Palatino Linotype" w:cs="Palatino Linotype"/>
        </w:rPr>
        <w:t>.</w:t>
      </w:r>
    </w:p>
    <w:p w14:paraId="6F209995" w14:textId="77777777" w:rsidR="00D6615D" w:rsidRPr="001B4CE0" w:rsidRDefault="00D6615D">
      <w:pPr>
        <w:spacing w:after="0" w:line="360" w:lineRule="auto"/>
        <w:jc w:val="both"/>
        <w:rPr>
          <w:rFonts w:ascii="Palatino Linotype" w:eastAsia="Palatino Linotype" w:hAnsi="Palatino Linotype" w:cs="Palatino Linotype"/>
        </w:rPr>
      </w:pPr>
    </w:p>
    <w:p w14:paraId="50B0E775" w14:textId="77777777" w:rsidR="00D6615D" w:rsidRPr="001B4CE0" w:rsidRDefault="000D168C">
      <w:pPr>
        <w:spacing w:after="0" w:line="360" w:lineRule="auto"/>
        <w:jc w:val="both"/>
        <w:rPr>
          <w:rFonts w:ascii="Palatino Linotype" w:eastAsia="Palatino Linotype" w:hAnsi="Palatino Linotype" w:cs="Palatino Linotype"/>
        </w:rPr>
      </w:pPr>
      <w:bookmarkStart w:id="3" w:name="_heading=h.kelgs2428oa6" w:colFirst="0" w:colLast="0"/>
      <w:bookmarkEnd w:id="3"/>
      <w:r w:rsidRPr="001B4CE0">
        <w:rPr>
          <w:rFonts w:ascii="Palatino Linotype" w:eastAsia="Palatino Linotype" w:hAnsi="Palatino Linotype" w:cs="Palatino Linotype"/>
          <w:b/>
        </w:rPr>
        <w:t xml:space="preserve">SEGUNDO. </w:t>
      </w:r>
      <w:r w:rsidRPr="001B4CE0">
        <w:rPr>
          <w:rFonts w:ascii="Palatino Linotype" w:eastAsia="Palatino Linotype" w:hAnsi="Palatino Linotype" w:cs="Palatino Linotype"/>
        </w:rPr>
        <w:t>Se</w:t>
      </w:r>
      <w:r w:rsidRPr="001B4CE0">
        <w:rPr>
          <w:rFonts w:ascii="Palatino Linotype" w:eastAsia="Palatino Linotype" w:hAnsi="Palatino Linotype" w:cs="Palatino Linotype"/>
          <w:b/>
        </w:rPr>
        <w:t xml:space="preserve"> ORDENA </w:t>
      </w:r>
      <w:r w:rsidRPr="001B4CE0">
        <w:rPr>
          <w:rFonts w:ascii="Palatino Linotype" w:eastAsia="Palatino Linotype" w:hAnsi="Palatino Linotype" w:cs="Palatino Linotype"/>
        </w:rPr>
        <w:t xml:space="preserve">al </w:t>
      </w:r>
      <w:r w:rsidRPr="001B4CE0">
        <w:rPr>
          <w:rFonts w:ascii="Palatino Linotype" w:eastAsia="Palatino Linotype" w:hAnsi="Palatino Linotype" w:cs="Palatino Linotype"/>
          <w:b/>
        </w:rPr>
        <w:t>SUJETO OBLIGADO</w:t>
      </w:r>
      <w:r w:rsidRPr="001B4CE0">
        <w:rPr>
          <w:rFonts w:ascii="Palatino Linotype" w:eastAsia="Palatino Linotype" w:hAnsi="Palatino Linotype" w:cs="Palatino Linotype"/>
        </w:rPr>
        <w:t xml:space="preserve"> en términos de los Considerandos </w:t>
      </w:r>
      <w:r w:rsidRPr="001B4CE0">
        <w:rPr>
          <w:rFonts w:ascii="Palatino Linotype" w:eastAsia="Palatino Linotype" w:hAnsi="Palatino Linotype" w:cs="Palatino Linotype"/>
          <w:b/>
        </w:rPr>
        <w:t xml:space="preserve">Cuarto y Quinto </w:t>
      </w:r>
      <w:r w:rsidRPr="001B4CE0">
        <w:rPr>
          <w:rFonts w:ascii="Palatino Linotype" w:eastAsia="Palatino Linotype" w:hAnsi="Palatino Linotype" w:cs="Palatino Linotype"/>
        </w:rPr>
        <w:t xml:space="preserve">de esta resolución, previa búsqueda exhaustiva y razonable, haga entrega, vía </w:t>
      </w:r>
      <w:r w:rsidRPr="001B4CE0">
        <w:rPr>
          <w:rFonts w:ascii="Palatino Linotype" w:eastAsia="Palatino Linotype" w:hAnsi="Palatino Linotype" w:cs="Palatino Linotype"/>
          <w:b/>
        </w:rPr>
        <w:t>SAIMEX</w:t>
      </w:r>
      <w:r w:rsidRPr="001B4CE0">
        <w:rPr>
          <w:rFonts w:ascii="Palatino Linotype" w:eastAsia="Palatino Linotype" w:hAnsi="Palatino Linotype" w:cs="Palatino Linotype"/>
        </w:rPr>
        <w:t>, de ser el caso en versión pública, lo siguiente:</w:t>
      </w:r>
    </w:p>
    <w:p w14:paraId="2DAC6253" w14:textId="77777777" w:rsidR="00D6615D" w:rsidRPr="001B4CE0" w:rsidRDefault="00D6615D">
      <w:pPr>
        <w:spacing w:line="360" w:lineRule="auto"/>
        <w:jc w:val="both"/>
        <w:rPr>
          <w:rFonts w:ascii="Palatino Linotype" w:eastAsia="Palatino Linotype" w:hAnsi="Palatino Linotype" w:cs="Palatino Linotype"/>
        </w:rPr>
      </w:pPr>
    </w:p>
    <w:p w14:paraId="4944D66E" w14:textId="77777777" w:rsidR="00D6615D" w:rsidRPr="001B4CE0" w:rsidRDefault="000D168C">
      <w:pPr>
        <w:numPr>
          <w:ilvl w:val="0"/>
          <w:numId w:val="12"/>
        </w:numPr>
        <w:pBdr>
          <w:top w:val="nil"/>
          <w:left w:val="nil"/>
          <w:bottom w:val="nil"/>
          <w:right w:val="nil"/>
          <w:between w:val="nil"/>
        </w:pBdr>
        <w:spacing w:after="0" w:line="360" w:lineRule="auto"/>
        <w:ind w:left="851" w:right="843" w:firstLine="0"/>
        <w:jc w:val="both"/>
        <w:rPr>
          <w:rFonts w:ascii="Palatino Linotype" w:eastAsia="Palatino Linotype" w:hAnsi="Palatino Linotype" w:cs="Palatino Linotype"/>
        </w:rPr>
      </w:pPr>
      <w:r w:rsidRPr="001B4CE0">
        <w:rPr>
          <w:rFonts w:ascii="Palatino Linotype" w:eastAsia="Palatino Linotype" w:hAnsi="Palatino Linotype" w:cs="Palatino Linotype"/>
        </w:rPr>
        <w:t xml:space="preserve">El documento en donde conste el Estado de Fuerza Municipal (número de elementos), vigente al veinte de marzo de dos mil veinticuatro. </w:t>
      </w:r>
    </w:p>
    <w:p w14:paraId="70E3105A" w14:textId="77777777" w:rsidR="00D6615D" w:rsidRPr="001B4CE0" w:rsidRDefault="000D168C">
      <w:pPr>
        <w:numPr>
          <w:ilvl w:val="0"/>
          <w:numId w:val="12"/>
        </w:numPr>
        <w:pBdr>
          <w:top w:val="nil"/>
          <w:left w:val="nil"/>
          <w:bottom w:val="nil"/>
          <w:right w:val="nil"/>
          <w:between w:val="nil"/>
        </w:pBdr>
        <w:spacing w:after="0" w:line="360" w:lineRule="auto"/>
        <w:ind w:left="851" w:right="843" w:firstLine="0"/>
        <w:jc w:val="both"/>
        <w:rPr>
          <w:rFonts w:ascii="Palatino Linotype" w:eastAsia="Palatino Linotype" w:hAnsi="Palatino Linotype" w:cs="Palatino Linotype"/>
        </w:rPr>
      </w:pPr>
      <w:r w:rsidRPr="001B4CE0">
        <w:rPr>
          <w:rFonts w:ascii="Palatino Linotype" w:eastAsia="Palatino Linotype" w:hAnsi="Palatino Linotype" w:cs="Palatino Linotype"/>
        </w:rPr>
        <w:t>Acuerdo de clasificación emitido por el Comité de Transparencia, en donde de manera debidamente fundada y motivada, a través de una prueba de daño, confirme la clasificación como reservada, en términos del artículo 140 fracción I de la Ley de Transparencia y Acceso a la Información Pública del Estado de México y Municipios, de la información consistente en el tipo de armamento que utiliza el personal de seguridad pública al veinte de marzo de dos mil veinticuatro.</w:t>
      </w:r>
    </w:p>
    <w:p w14:paraId="51F73718" w14:textId="77777777" w:rsidR="00D6615D" w:rsidRPr="001B4CE0" w:rsidRDefault="000D168C">
      <w:pPr>
        <w:numPr>
          <w:ilvl w:val="0"/>
          <w:numId w:val="12"/>
        </w:numPr>
        <w:pBdr>
          <w:top w:val="nil"/>
          <w:left w:val="nil"/>
          <w:bottom w:val="nil"/>
          <w:right w:val="nil"/>
          <w:between w:val="nil"/>
        </w:pBdr>
        <w:spacing w:after="0" w:line="360" w:lineRule="auto"/>
        <w:ind w:left="851" w:right="843" w:firstLine="0"/>
        <w:jc w:val="both"/>
        <w:rPr>
          <w:rFonts w:ascii="Palatino Linotype" w:eastAsia="Palatino Linotype" w:hAnsi="Palatino Linotype" w:cs="Palatino Linotype"/>
        </w:rPr>
      </w:pPr>
      <w:r w:rsidRPr="001B4CE0">
        <w:rPr>
          <w:rFonts w:ascii="Palatino Linotype" w:eastAsia="Palatino Linotype" w:hAnsi="Palatino Linotype" w:cs="Palatino Linotype"/>
        </w:rPr>
        <w:lastRenderedPageBreak/>
        <w:t>El documento en el que conste el modelo o año de los vehículos oficiales referidos en respuesta.</w:t>
      </w:r>
    </w:p>
    <w:p w14:paraId="14096ADD" w14:textId="77777777" w:rsidR="00D6615D" w:rsidRPr="001B4CE0" w:rsidRDefault="000D168C">
      <w:pPr>
        <w:numPr>
          <w:ilvl w:val="0"/>
          <w:numId w:val="12"/>
        </w:numPr>
        <w:pBdr>
          <w:top w:val="nil"/>
          <w:left w:val="nil"/>
          <w:bottom w:val="nil"/>
          <w:right w:val="nil"/>
          <w:between w:val="nil"/>
        </w:pBdr>
        <w:spacing w:after="0" w:line="360" w:lineRule="auto"/>
        <w:ind w:left="851" w:right="843" w:firstLine="0"/>
        <w:jc w:val="both"/>
        <w:rPr>
          <w:rFonts w:ascii="Palatino Linotype" w:eastAsia="Palatino Linotype" w:hAnsi="Palatino Linotype" w:cs="Palatino Linotype"/>
        </w:rPr>
      </w:pPr>
      <w:r w:rsidRPr="001B4CE0">
        <w:rPr>
          <w:rFonts w:ascii="Palatino Linotype" w:eastAsia="Palatino Linotype" w:hAnsi="Palatino Linotype" w:cs="Palatino Linotype"/>
        </w:rPr>
        <w:t>El documento que dé cuenta del presupuesto asignado a la seguridad pública municipal referido en respuesta.</w:t>
      </w:r>
    </w:p>
    <w:p w14:paraId="48555D47" w14:textId="77777777" w:rsidR="00D6615D" w:rsidRPr="001B4CE0" w:rsidRDefault="000D168C">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1B4CE0">
        <w:rPr>
          <w:rFonts w:ascii="Palatino Linotype" w:eastAsia="Palatino Linotype" w:hAnsi="Palatino Linotype" w:cs="Palatino Linotype"/>
          <w:i/>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1B4CE0">
        <w:rPr>
          <w:rFonts w:ascii="Palatino Linotype" w:eastAsia="Palatino Linotype" w:hAnsi="Palatino Linotype" w:cs="Palatino Linotype"/>
          <w:b/>
          <w:i/>
        </w:rPr>
        <w:t>Recurrente</w:t>
      </w:r>
      <w:r w:rsidRPr="001B4CE0">
        <w:rPr>
          <w:rFonts w:ascii="Palatino Linotype" w:eastAsia="Palatino Linotype" w:hAnsi="Palatino Linotype" w:cs="Palatino Linotype"/>
          <w:i/>
        </w:rPr>
        <w:t>.</w:t>
      </w:r>
    </w:p>
    <w:p w14:paraId="0DE84117" w14:textId="77777777" w:rsidR="00D6615D" w:rsidRPr="001B4CE0" w:rsidRDefault="00D6615D">
      <w:pPr>
        <w:pBdr>
          <w:top w:val="nil"/>
          <w:left w:val="nil"/>
          <w:bottom w:val="nil"/>
          <w:right w:val="nil"/>
          <w:between w:val="nil"/>
        </w:pBdr>
        <w:spacing w:after="0"/>
        <w:jc w:val="both"/>
        <w:rPr>
          <w:rFonts w:ascii="Palatino Linotype" w:eastAsia="Palatino Linotype" w:hAnsi="Palatino Linotype" w:cs="Palatino Linotype"/>
          <w:i/>
        </w:rPr>
      </w:pPr>
    </w:p>
    <w:p w14:paraId="2215D018"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b/>
        </w:rPr>
        <w:t xml:space="preserve">TERCERO.  Notifíquese vía SAIMEX, </w:t>
      </w:r>
      <w:r w:rsidRPr="001B4CE0">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9DD0029" w14:textId="77777777" w:rsidR="00D6615D" w:rsidRPr="001B4CE0" w:rsidRDefault="00D6615D">
      <w:pPr>
        <w:spacing w:after="0" w:line="360" w:lineRule="auto"/>
        <w:jc w:val="both"/>
        <w:rPr>
          <w:rFonts w:ascii="Palatino Linotype" w:eastAsia="Palatino Linotype" w:hAnsi="Palatino Linotype" w:cs="Palatino Linotype"/>
        </w:rPr>
      </w:pPr>
    </w:p>
    <w:p w14:paraId="6E5BFDC2"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b/>
        </w:rPr>
        <w:t xml:space="preserve">CUARTO. </w:t>
      </w:r>
      <w:r w:rsidRPr="001B4CE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1B4CE0">
        <w:rPr>
          <w:rFonts w:ascii="Palatino Linotype" w:eastAsia="Palatino Linotype" w:hAnsi="Palatino Linotype" w:cs="Palatino Linotype"/>
          <w:b/>
        </w:rPr>
        <w:t>Sujeto Obligado</w:t>
      </w:r>
      <w:r w:rsidRPr="001B4CE0">
        <w:rPr>
          <w:rFonts w:ascii="Palatino Linotype" w:eastAsia="Palatino Linotype" w:hAnsi="Palatino Linotype" w:cs="Palatino Linotype"/>
        </w:rPr>
        <w:t xml:space="preserve"> de manera fundada y motivada, podrá solicitar una ampliación de plazo para el cumplimiento de la presente resolución.</w:t>
      </w:r>
    </w:p>
    <w:p w14:paraId="5A22E5A6" w14:textId="77777777" w:rsidR="00D6615D" w:rsidRPr="001B4CE0" w:rsidRDefault="00D6615D">
      <w:pPr>
        <w:spacing w:after="0" w:line="360" w:lineRule="auto"/>
        <w:jc w:val="both"/>
        <w:rPr>
          <w:rFonts w:ascii="Palatino Linotype" w:eastAsia="Palatino Linotype" w:hAnsi="Palatino Linotype" w:cs="Palatino Linotype"/>
        </w:rPr>
      </w:pPr>
    </w:p>
    <w:p w14:paraId="07D0F9FC" w14:textId="77777777" w:rsidR="00D6615D" w:rsidRPr="001B4CE0" w:rsidRDefault="000D168C">
      <w:pPr>
        <w:spacing w:after="0" w:line="360" w:lineRule="auto"/>
        <w:jc w:val="both"/>
        <w:rPr>
          <w:rFonts w:ascii="Palatino Linotype" w:eastAsia="Palatino Linotype" w:hAnsi="Palatino Linotype" w:cs="Palatino Linotype"/>
        </w:rPr>
      </w:pPr>
      <w:r w:rsidRPr="001B4CE0">
        <w:rPr>
          <w:rFonts w:ascii="Palatino Linotype" w:eastAsia="Palatino Linotype" w:hAnsi="Palatino Linotype" w:cs="Palatino Linotype"/>
          <w:b/>
        </w:rPr>
        <w:t xml:space="preserve">QUINTO. Notifíquese vía SAIMEX, </w:t>
      </w:r>
      <w:r w:rsidRPr="001B4CE0">
        <w:rPr>
          <w:rFonts w:ascii="Palatino Linotype" w:eastAsia="Palatino Linotype" w:hAnsi="Palatino Linotype" w:cs="Palatino Linotype"/>
        </w:rPr>
        <w:t>a la parte</w:t>
      </w:r>
      <w:r w:rsidRPr="001B4CE0">
        <w:rPr>
          <w:rFonts w:ascii="Palatino Linotype" w:eastAsia="Palatino Linotype" w:hAnsi="Palatino Linotype" w:cs="Palatino Linotype"/>
          <w:b/>
        </w:rPr>
        <w:t xml:space="preserve"> Recurrente</w:t>
      </w:r>
      <w:r w:rsidRPr="001B4CE0">
        <w:rPr>
          <w:rFonts w:ascii="Palatino Linotype" w:eastAsia="Palatino Linotype" w:hAnsi="Palatino Linotype" w:cs="Palatino Linotype"/>
        </w:rPr>
        <w:t xml:space="preserve"> la presente resolución, así como que de conformidad con lo establecido en el artículo 196 de la Ley de Transparencia y Acceso </w:t>
      </w:r>
      <w:r w:rsidRPr="001B4CE0">
        <w:rPr>
          <w:rFonts w:ascii="Palatino Linotype" w:eastAsia="Palatino Linotype" w:hAnsi="Palatino Linotype" w:cs="Palatino Linotype"/>
        </w:rPr>
        <w:lastRenderedPageBreak/>
        <w:t>a la Información Pública del Estado de México y Municipios, en caso de que considere que le causa algún perjuicio podrá impugnarla vía Juicio de Amparo en los términos de las leyes aplicables o recurso de inconformidad de acuerdo con lo establecido en los artículo 159 y 160 de la Ley General de Transparencia y Acceso a la Información Pública.</w:t>
      </w:r>
    </w:p>
    <w:p w14:paraId="7712E281" w14:textId="77777777" w:rsidR="00D6615D" w:rsidRPr="001B4CE0" w:rsidRDefault="00D6615D">
      <w:pPr>
        <w:spacing w:after="0" w:line="360" w:lineRule="auto"/>
        <w:ind w:right="49"/>
        <w:jc w:val="both"/>
        <w:rPr>
          <w:rFonts w:ascii="Palatino Linotype" w:eastAsia="Palatino Linotype" w:hAnsi="Palatino Linotype" w:cs="Palatino Linotype"/>
        </w:rPr>
      </w:pPr>
    </w:p>
    <w:p w14:paraId="2A886447" w14:textId="77777777" w:rsidR="00D6615D" w:rsidRPr="001B4CE0" w:rsidRDefault="000D168C">
      <w:pPr>
        <w:spacing w:after="0" w:line="360" w:lineRule="auto"/>
        <w:ind w:right="49"/>
        <w:jc w:val="both"/>
        <w:rPr>
          <w:rFonts w:ascii="Palatino Linotype" w:eastAsia="Palatino Linotype" w:hAnsi="Palatino Linotype" w:cs="Palatino Linotype"/>
        </w:rPr>
        <w:sectPr w:rsidR="00D6615D" w:rsidRPr="001B4CE0">
          <w:headerReference w:type="default" r:id="rId29"/>
          <w:footerReference w:type="default" r:id="rId30"/>
          <w:headerReference w:type="first" r:id="rId31"/>
          <w:footerReference w:type="first" r:id="rId32"/>
          <w:pgSz w:w="12240" w:h="15840"/>
          <w:pgMar w:top="2041" w:right="1474" w:bottom="1701" w:left="1701" w:header="709" w:footer="709" w:gutter="0"/>
          <w:pgNumType w:start="1"/>
          <w:cols w:space="720"/>
          <w:titlePg/>
        </w:sectPr>
      </w:pPr>
      <w:r w:rsidRPr="001B4CE0">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3F1DCC" w:rsidRPr="001B4CE0">
        <w:rPr>
          <w:rFonts w:ascii="Palatino Linotype" w:eastAsia="Palatino Linotype" w:hAnsi="Palatino Linotype" w:cs="Palatino Linotype"/>
        </w:rPr>
        <w:t xml:space="preserve"> (EMITIENDO VOTO PARTICULAR)</w:t>
      </w:r>
      <w:r w:rsidRPr="001B4CE0">
        <w:rPr>
          <w:rFonts w:ascii="Palatino Linotype" w:eastAsia="Palatino Linotype" w:hAnsi="Palatino Linotype" w:cs="Palatino Linotype"/>
        </w:rPr>
        <w:t xml:space="preserve"> Y GUADALUPE RAMÍREZ PEÑA; EN LA TRIGÉSIMA CUARTA SESIÓN ORDINARIA CELEBRADA EL VEINTICINCO DE SEPTIEMBRE DE DOS MIL VEINTICUATRO, ANTE EL SECRETARIO TÉCNICO DEL PLENO ALEXIS TAPIA RAMÍREZ. </w:t>
      </w:r>
    </w:p>
    <w:p w14:paraId="4D7BC38C" w14:textId="77777777" w:rsidR="00D6615D" w:rsidRPr="001B4CE0" w:rsidRDefault="00D6615D">
      <w:pPr>
        <w:spacing w:after="0" w:line="360" w:lineRule="auto"/>
        <w:ind w:right="49"/>
        <w:jc w:val="both"/>
        <w:rPr>
          <w:rFonts w:ascii="Palatino Linotype" w:eastAsia="Palatino Linotype" w:hAnsi="Palatino Linotype" w:cs="Palatino Linotype"/>
        </w:rPr>
      </w:pPr>
    </w:p>
    <w:sectPr w:rsidR="00D6615D" w:rsidRPr="001B4CE0">
      <w:headerReference w:type="first" r:id="rId3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9B421" w14:textId="77777777" w:rsidR="00EC1323" w:rsidRDefault="00EC1323">
      <w:pPr>
        <w:spacing w:after="0" w:line="240" w:lineRule="auto"/>
      </w:pPr>
      <w:r>
        <w:separator/>
      </w:r>
    </w:p>
  </w:endnote>
  <w:endnote w:type="continuationSeparator" w:id="0">
    <w:p w14:paraId="56C18445" w14:textId="77777777" w:rsidR="00EC1323" w:rsidRDefault="00EC1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8ADF5" w14:textId="77777777" w:rsidR="00D6615D" w:rsidRDefault="000D168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F1DCC">
      <w:rPr>
        <w:b/>
        <w:noProof/>
        <w:color w:val="000000"/>
        <w:sz w:val="24"/>
        <w:szCs w:val="24"/>
      </w:rPr>
      <w:t>70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F1DCC">
      <w:rPr>
        <w:b/>
        <w:noProof/>
        <w:color w:val="000000"/>
        <w:sz w:val="24"/>
        <w:szCs w:val="24"/>
      </w:rPr>
      <w:t>71</w:t>
    </w:r>
    <w:r>
      <w:rPr>
        <w:b/>
        <w:color w:val="000000"/>
        <w:sz w:val="24"/>
        <w:szCs w:val="24"/>
      </w:rPr>
      <w:fldChar w:fldCharType="end"/>
    </w:r>
  </w:p>
  <w:p w14:paraId="2CB65ED4" w14:textId="77777777" w:rsidR="00D6615D" w:rsidRDefault="00D6615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6EBFF" w14:textId="77777777" w:rsidR="00D6615D" w:rsidRDefault="000D168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t>84</w:t>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F1DCC">
      <w:rPr>
        <w:b/>
        <w:noProof/>
        <w:color w:val="000000"/>
        <w:sz w:val="24"/>
        <w:szCs w:val="24"/>
      </w:rPr>
      <w:t>71</w:t>
    </w:r>
    <w:r>
      <w:rPr>
        <w:b/>
        <w:color w:val="000000"/>
        <w:sz w:val="24"/>
        <w:szCs w:val="24"/>
      </w:rPr>
      <w:fldChar w:fldCharType="end"/>
    </w:r>
  </w:p>
  <w:p w14:paraId="04784824" w14:textId="77777777" w:rsidR="00D6615D" w:rsidRDefault="00D6615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27B8E" w14:textId="77777777" w:rsidR="00EC1323" w:rsidRDefault="00EC1323">
      <w:pPr>
        <w:spacing w:after="0" w:line="240" w:lineRule="auto"/>
      </w:pPr>
      <w:r>
        <w:separator/>
      </w:r>
    </w:p>
  </w:footnote>
  <w:footnote w:type="continuationSeparator" w:id="0">
    <w:p w14:paraId="3796CE17" w14:textId="77777777" w:rsidR="00EC1323" w:rsidRDefault="00EC1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A8239" w14:textId="77777777" w:rsidR="00D6615D" w:rsidRDefault="000D168C">
    <w:pPr>
      <w:widowControl w:val="0"/>
      <w:pBdr>
        <w:top w:val="nil"/>
        <w:left w:val="nil"/>
        <w:bottom w:val="nil"/>
        <w:right w:val="nil"/>
        <w:between w:val="nil"/>
      </w:pBdr>
      <w:spacing w:after="0"/>
      <w:rPr>
        <w:color w:val="000000"/>
      </w:rPr>
    </w:pPr>
    <w:r>
      <w:rPr>
        <w:noProof/>
        <w:lang w:eastAsia="es-MX"/>
      </w:rPr>
      <w:drawing>
        <wp:anchor distT="0" distB="0" distL="0" distR="0" simplePos="0" relativeHeight="251658240" behindDoc="1" locked="0" layoutInCell="1" hidden="0" allowOverlap="1" wp14:anchorId="2EFCFA12" wp14:editId="3A1257C9">
          <wp:simplePos x="0" y="0"/>
          <wp:positionH relativeFrom="column">
            <wp:posOffset>-727074</wp:posOffset>
          </wp:positionH>
          <wp:positionV relativeFrom="paragraph">
            <wp:posOffset>-335914</wp:posOffset>
          </wp:positionV>
          <wp:extent cx="7809876" cy="10165823"/>
          <wp:effectExtent l="0" t="0" r="0" b="0"/>
          <wp:wrapNone/>
          <wp:docPr id="939555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
      <w:tblW w:w="5603" w:type="dxa"/>
      <w:tblInd w:w="3611" w:type="dxa"/>
      <w:tblLayout w:type="fixed"/>
      <w:tblLook w:val="0400" w:firstRow="0" w:lastRow="0" w:firstColumn="0" w:lastColumn="0" w:noHBand="0" w:noVBand="1"/>
    </w:tblPr>
    <w:tblGrid>
      <w:gridCol w:w="2551"/>
      <w:gridCol w:w="3052"/>
    </w:tblGrid>
    <w:tr w:rsidR="00D6615D" w14:paraId="0183F3FF" w14:textId="77777777">
      <w:tc>
        <w:tcPr>
          <w:tcW w:w="2551" w:type="dxa"/>
          <w:vAlign w:val="center"/>
        </w:tcPr>
        <w:p w14:paraId="03128A8B" w14:textId="77777777" w:rsidR="00D6615D" w:rsidRDefault="000D168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7959B50F" w14:textId="77777777" w:rsidR="00D6615D" w:rsidRDefault="000D168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02689/INFOEM/IP/RR/2024</w:t>
          </w:r>
        </w:p>
      </w:tc>
    </w:tr>
    <w:tr w:rsidR="00D6615D" w14:paraId="23162558" w14:textId="77777777">
      <w:trPr>
        <w:trHeight w:val="217"/>
      </w:trPr>
      <w:tc>
        <w:tcPr>
          <w:tcW w:w="2551" w:type="dxa"/>
          <w:vAlign w:val="center"/>
        </w:tcPr>
        <w:p w14:paraId="3E342546" w14:textId="77777777" w:rsidR="00D6615D" w:rsidRDefault="000D168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7186CBA4" w14:textId="77777777" w:rsidR="00D6615D" w:rsidRDefault="00D6615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5B3F3662" w14:textId="77777777" w:rsidR="00D6615D" w:rsidRDefault="000D168C">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Mexicaltzingo</w:t>
          </w:r>
        </w:p>
      </w:tc>
    </w:tr>
    <w:tr w:rsidR="00D6615D" w14:paraId="46368321" w14:textId="77777777">
      <w:tc>
        <w:tcPr>
          <w:tcW w:w="2551" w:type="dxa"/>
          <w:vAlign w:val="center"/>
        </w:tcPr>
        <w:p w14:paraId="23A36F59" w14:textId="77777777" w:rsidR="00D6615D" w:rsidRDefault="000D168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4FF35CA8" w14:textId="77777777" w:rsidR="00D6615D" w:rsidRDefault="000D168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34516A9F" w14:textId="77777777" w:rsidR="00D6615D" w:rsidRDefault="00D6615D">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B5189" w14:textId="77777777" w:rsidR="00D6615D" w:rsidRDefault="000D168C">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lang w:eastAsia="es-MX"/>
      </w:rPr>
      <w:drawing>
        <wp:anchor distT="0" distB="0" distL="0" distR="0" simplePos="0" relativeHeight="251659264" behindDoc="1" locked="0" layoutInCell="1" hidden="0" allowOverlap="1" wp14:anchorId="6CBE8C4A" wp14:editId="6518DDA7">
          <wp:simplePos x="0" y="0"/>
          <wp:positionH relativeFrom="column">
            <wp:posOffset>-725804</wp:posOffset>
          </wp:positionH>
          <wp:positionV relativeFrom="paragraph">
            <wp:posOffset>-29844</wp:posOffset>
          </wp:positionV>
          <wp:extent cx="7809865" cy="10165715"/>
          <wp:effectExtent l="0" t="0" r="0" b="0"/>
          <wp:wrapNone/>
          <wp:docPr id="939555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603" w:type="dxa"/>
      <w:tblInd w:w="3611" w:type="dxa"/>
      <w:tblLayout w:type="fixed"/>
      <w:tblLook w:val="0400" w:firstRow="0" w:lastRow="0" w:firstColumn="0" w:lastColumn="0" w:noHBand="0" w:noVBand="1"/>
    </w:tblPr>
    <w:tblGrid>
      <w:gridCol w:w="2551"/>
      <w:gridCol w:w="3052"/>
    </w:tblGrid>
    <w:tr w:rsidR="00D6615D" w14:paraId="4A9DDA61" w14:textId="77777777">
      <w:tc>
        <w:tcPr>
          <w:tcW w:w="2551" w:type="dxa"/>
          <w:vAlign w:val="center"/>
        </w:tcPr>
        <w:p w14:paraId="30A3FF2A" w14:textId="77777777" w:rsidR="00D6615D" w:rsidRDefault="000D168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1E80B49E" w14:textId="77777777" w:rsidR="00D6615D" w:rsidRDefault="000D168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02689/INFOEM/IP/RR/2024</w:t>
          </w:r>
        </w:p>
      </w:tc>
    </w:tr>
    <w:tr w:rsidR="00D6615D" w14:paraId="043EFE2C" w14:textId="77777777">
      <w:tc>
        <w:tcPr>
          <w:tcW w:w="2551" w:type="dxa"/>
          <w:vAlign w:val="center"/>
        </w:tcPr>
        <w:p w14:paraId="24CF91EF" w14:textId="77777777" w:rsidR="00D6615D" w:rsidRDefault="000D168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4A1E375E" w14:textId="77777777" w:rsidR="00D6615D" w:rsidRDefault="00D6615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r>
    <w:tr w:rsidR="00D6615D" w14:paraId="1F383096" w14:textId="77777777">
      <w:trPr>
        <w:trHeight w:val="152"/>
      </w:trPr>
      <w:tc>
        <w:tcPr>
          <w:tcW w:w="2551" w:type="dxa"/>
          <w:vAlign w:val="center"/>
        </w:tcPr>
        <w:p w14:paraId="7FA99C79" w14:textId="77777777" w:rsidR="00D6615D" w:rsidRDefault="000D168C">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28E4BA88" w14:textId="77777777" w:rsidR="00D6615D" w:rsidRDefault="00D6615D">
          <w:pP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69D4AE86" w14:textId="77777777" w:rsidR="00D6615D" w:rsidRDefault="000D168C">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Mexicaltzingo</w:t>
          </w:r>
        </w:p>
      </w:tc>
    </w:tr>
    <w:tr w:rsidR="00D6615D" w14:paraId="376B4AD8" w14:textId="77777777">
      <w:tc>
        <w:tcPr>
          <w:tcW w:w="2551" w:type="dxa"/>
          <w:vAlign w:val="center"/>
        </w:tcPr>
        <w:p w14:paraId="49AC9F2B" w14:textId="77777777" w:rsidR="00D6615D" w:rsidRDefault="000D168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7E6302B1" w14:textId="77777777" w:rsidR="00D6615D" w:rsidRDefault="000D168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A2314C4" w14:textId="77777777" w:rsidR="00D6615D" w:rsidRDefault="000D168C">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FFD11" w14:textId="77777777" w:rsidR="00D6615D" w:rsidRDefault="00D6615D">
    <w:pPr>
      <w:widowControl w:val="0"/>
      <w:pBdr>
        <w:top w:val="nil"/>
        <w:left w:val="nil"/>
        <w:bottom w:val="nil"/>
        <w:right w:val="nil"/>
        <w:between w:val="nil"/>
      </w:pBdr>
      <w:spacing w:after="0"/>
      <w:rPr>
        <w:rFonts w:ascii="Palatino Linotype" w:eastAsia="Palatino Linotype" w:hAnsi="Palatino Linotype" w:cs="Palatino Linotype"/>
        <w:sz w:val="24"/>
        <w:szCs w:val="24"/>
      </w:rPr>
    </w:pPr>
  </w:p>
  <w:p w14:paraId="59AC3E88" w14:textId="77777777" w:rsidR="00D6615D" w:rsidRDefault="000D168C">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6239"/>
    <w:multiLevelType w:val="multilevel"/>
    <w:tmpl w:val="06E84404"/>
    <w:lvl w:ilvl="0">
      <w:start w:val="3"/>
      <w:numFmt w:val="decimal"/>
      <w:lvlText w:val="%1."/>
      <w:lvlJc w:val="left"/>
      <w:pPr>
        <w:ind w:left="2062"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941FCA"/>
    <w:multiLevelType w:val="multilevel"/>
    <w:tmpl w:val="7AB63C1C"/>
    <w:lvl w:ilvl="0">
      <w:start w:val="1"/>
      <w:numFmt w:val="decimal"/>
      <w:lvlText w:val="%1."/>
      <w:lvlJc w:val="left"/>
      <w:pPr>
        <w:ind w:left="2062"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265045"/>
    <w:multiLevelType w:val="multilevel"/>
    <w:tmpl w:val="3A6E0B28"/>
    <w:lvl w:ilvl="0">
      <w:start w:val="9"/>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91F4E7A"/>
    <w:multiLevelType w:val="multilevel"/>
    <w:tmpl w:val="B5922A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E151414"/>
    <w:multiLevelType w:val="multilevel"/>
    <w:tmpl w:val="DA020A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E34D6F"/>
    <w:multiLevelType w:val="multilevel"/>
    <w:tmpl w:val="D514F978"/>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D047837"/>
    <w:multiLevelType w:val="multilevel"/>
    <w:tmpl w:val="47EEF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2D47439"/>
    <w:multiLevelType w:val="multilevel"/>
    <w:tmpl w:val="E944525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4DA20CF5"/>
    <w:multiLevelType w:val="multilevel"/>
    <w:tmpl w:val="A5485F8E"/>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4982266"/>
    <w:multiLevelType w:val="multilevel"/>
    <w:tmpl w:val="D632EC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81C6C10"/>
    <w:multiLevelType w:val="multilevel"/>
    <w:tmpl w:val="D7B6DE58"/>
    <w:lvl w:ilvl="0">
      <w:start w:val="1"/>
      <w:numFmt w:val="upperRoman"/>
      <w:lvlText w:val="%1."/>
      <w:lvlJc w:val="left"/>
      <w:pPr>
        <w:ind w:left="644" w:hanging="357"/>
      </w:pPr>
      <w:rPr>
        <w:b/>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35512CE"/>
    <w:multiLevelType w:val="multilevel"/>
    <w:tmpl w:val="1C24D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DF10EF6"/>
    <w:multiLevelType w:val="multilevel"/>
    <w:tmpl w:val="3FE0C86E"/>
    <w:lvl w:ilvl="0">
      <w:start w:val="1"/>
      <w:numFmt w:val="upperRoman"/>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734C6AAE"/>
    <w:multiLevelType w:val="multilevel"/>
    <w:tmpl w:val="A628E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0"/>
  </w:num>
  <w:num w:numId="3">
    <w:abstractNumId w:val="10"/>
  </w:num>
  <w:num w:numId="4">
    <w:abstractNumId w:val="3"/>
  </w:num>
  <w:num w:numId="5">
    <w:abstractNumId w:val="11"/>
  </w:num>
  <w:num w:numId="6">
    <w:abstractNumId w:val="13"/>
  </w:num>
  <w:num w:numId="7">
    <w:abstractNumId w:val="9"/>
  </w:num>
  <w:num w:numId="8">
    <w:abstractNumId w:val="1"/>
  </w:num>
  <w:num w:numId="9">
    <w:abstractNumId w:val="7"/>
  </w:num>
  <w:num w:numId="10">
    <w:abstractNumId w:val="6"/>
  </w:num>
  <w:num w:numId="11">
    <w:abstractNumId w:val="12"/>
  </w:num>
  <w:num w:numId="12">
    <w:abstractNumId w:val="8"/>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15D"/>
    <w:rsid w:val="000D168C"/>
    <w:rsid w:val="001B4CE0"/>
    <w:rsid w:val="003F1DCC"/>
    <w:rsid w:val="004E1FBF"/>
    <w:rsid w:val="005F6B40"/>
    <w:rsid w:val="00775CF0"/>
    <w:rsid w:val="00780633"/>
    <w:rsid w:val="00D6615D"/>
    <w:rsid w:val="00EC13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FB81C"/>
  <w15:docId w15:val="{55873DBC-A065-4F1B-BE2D-352D4121E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49F"/>
    <w:rPr>
      <w:rFonts w:eastAsia="Times New Roman" w:cs="Times New Roman"/>
      <w:lang w:eastAsia="en-U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1"/>
    <w:tblPr>
      <w:tblStyleRowBandSize w:val="1"/>
      <w:tblStyleColBandSize w:val="1"/>
      <w:tblCellMar>
        <w:top w:w="15" w:type="dxa"/>
        <w:left w:w="15" w:type="dxa"/>
        <w:bottom w:w="15" w:type="dxa"/>
        <w:right w:w="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top w:w="15" w:type="dxa"/>
        <w:left w:w="115" w:type="dxa"/>
        <w:bottom w:w="15" w:type="dxa"/>
        <w:right w:w="115" w:type="dxa"/>
      </w:tblCellMar>
    </w:tblPr>
  </w:style>
  <w:style w:type="table" w:customStyle="1" w:styleId="2">
    <w:name w:val="2"/>
    <w:basedOn w:val="TableNormal1"/>
    <w:tblPr>
      <w:tblStyleRowBandSize w:val="1"/>
      <w:tblStyleColBandSize w:val="1"/>
      <w:tblCellMar>
        <w:top w:w="15" w:type="dxa"/>
        <w:left w:w="115" w:type="dxa"/>
        <w:bottom w:w="15" w:type="dxa"/>
        <w:right w:w="115" w:type="dxa"/>
      </w:tblCellMar>
    </w:tblPr>
  </w:style>
  <w:style w:type="table" w:customStyle="1" w:styleId="1">
    <w:name w:val="1"/>
    <w:basedOn w:val="TableNormal1"/>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a">
    <w:basedOn w:val="TableNormal0"/>
    <w:tblPr>
      <w:tblStyleRowBandSize w:val="1"/>
      <w:tblStyleColBandSize w:val="1"/>
      <w:tblCellMar>
        <w:top w:w="15" w:type="dxa"/>
        <w:left w:w="115" w:type="dxa"/>
        <w:bottom w:w="15" w:type="dxa"/>
        <w:right w:w="115" w:type="dxa"/>
      </w:tblCellMar>
    </w:tblPr>
  </w:style>
  <w:style w:type="table" w:customStyle="1" w:styleId="a0">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ecretariadoejecutivo.gob.mx/work/models/SecretariadoEjecutivo/Resource/328/1/images/instructivo_final_edo_fuerza(1).pdf)" TargetMode="External"/><Relationship Id="rId18" Type="http://schemas.openxmlformats.org/officeDocument/2006/relationships/image" Target="media/image17.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1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negi.org.mx/contenidos/programas/cnspf/2023/doc/cnspf_2023_resultados.pdf" TargetMode="External"/><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gob.mx/sedena/documentos/expedicion-de-una-licencia-oficial-colectiva" TargetMode="External"/><Relationship Id="rId22" Type="http://schemas.openxmlformats.org/officeDocument/2006/relationships/image" Target="media/image9.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W351okXOtmoTI6x4caosVLKK0w==">CgMxLjAyCGguZ2pkZ3hzMgloLjMwajB6bGwyCWguMnM4ZXlvMTIOaC5rZWxnczI0MjhvYTY4AHIhMXV2RzF5aXJtVHdqWTJlNFFRdVRpQUtyYi1vMXZoN2NO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2D08787-1095-447E-A1D5-0C464A41D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71</Pages>
  <Words>17188</Words>
  <Characters>94539</Characters>
  <Application>Microsoft Office Word</Application>
  <DocSecurity>0</DocSecurity>
  <Lines>787</Lines>
  <Paragraphs>223</Paragraphs>
  <ScaleCrop>false</ScaleCrop>
  <Company>HP Inc.</Company>
  <LinksUpToDate>false</LinksUpToDate>
  <CharactersWithSpaces>111504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2024-09-27T04:06:00Z</cp:lastPrinted>
  <dcterms:created xsi:type="dcterms:W3CDTF">2024-10-02T22:37:00Z</dcterms:created>
  <dcterms:modified xsi:type="dcterms:W3CDTF">2024-10-02T22:37:00Z</dcterms:modified>
</cp:coreProperties>
</file>