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425E" w14:textId="77777777" w:rsidR="001472B8" w:rsidRDefault="00A53610">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diecinueve</w:t>
      </w:r>
      <w:r w:rsidR="00440300">
        <w:rPr>
          <w:rFonts w:ascii="Palatino Linotype" w:eastAsia="Palatino Linotype" w:hAnsi="Palatino Linotype" w:cs="Palatino Linotype"/>
        </w:rPr>
        <w:t xml:space="preserve"> (19)</w:t>
      </w:r>
      <w:r>
        <w:rPr>
          <w:rFonts w:ascii="Palatino Linotype" w:eastAsia="Palatino Linotype" w:hAnsi="Palatino Linotype" w:cs="Palatino Linotype"/>
        </w:rPr>
        <w:t xml:space="preserve"> de junio de dos mil veinticuatro.</w:t>
      </w:r>
    </w:p>
    <w:p w14:paraId="676BD155" w14:textId="77777777" w:rsidR="001472B8" w:rsidRDefault="001472B8">
      <w:pPr>
        <w:tabs>
          <w:tab w:val="left" w:pos="3465"/>
        </w:tabs>
        <w:spacing w:line="360" w:lineRule="auto"/>
        <w:jc w:val="both"/>
        <w:rPr>
          <w:rFonts w:ascii="Palatino Linotype" w:eastAsia="Palatino Linotype" w:hAnsi="Palatino Linotype" w:cs="Palatino Linotype"/>
        </w:rPr>
      </w:pPr>
    </w:p>
    <w:p w14:paraId="2E4AAB22" w14:textId="4117668B" w:rsidR="001472B8" w:rsidRDefault="00A53610">
      <w:pPr>
        <w:spacing w:line="360" w:lineRule="auto"/>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03373/INFOEM/IP/RR/2024,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9327ED">
        <w:rPr>
          <w:rFonts w:ascii="Palatino Linotype" w:eastAsia="Palatino Linotype" w:hAnsi="Palatino Linotype" w:cs="Palatino Linotype"/>
          <w:b/>
        </w:rPr>
        <w:t xml:space="preserve">XXX </w:t>
      </w:r>
      <w:proofErr w:type="spellStart"/>
      <w:r w:rsidR="009327ED">
        <w:rPr>
          <w:rFonts w:ascii="Palatino Linotype" w:eastAsia="Palatino Linotype" w:hAnsi="Palatino Linotype" w:cs="Palatino Linotype"/>
          <w:b/>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rPr>
        <w:t xml:space="preserve">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Almoloya del Río, </w:t>
      </w:r>
      <w:r>
        <w:rPr>
          <w:rFonts w:ascii="Palatino Linotype" w:eastAsia="Palatino Linotype" w:hAnsi="Palatino Linotype" w:cs="Palatino Linotype"/>
        </w:rPr>
        <w:t xml:space="preserve">en adelante </w:t>
      </w:r>
      <w:r>
        <w:rPr>
          <w:rFonts w:ascii="Palatino Linotype" w:eastAsia="Palatino Linotype" w:hAnsi="Palatino Linotype" w:cs="Palatino Linotype"/>
          <w:b/>
        </w:rPr>
        <w:t>EL SUJETO OBLIGADO</w:t>
      </w:r>
      <w:r>
        <w:rPr>
          <w:rFonts w:ascii="Palatino Linotype" w:eastAsia="Palatino Linotype" w:hAnsi="Palatino Linotype" w:cs="Palatino Linotype"/>
        </w:rPr>
        <w:t>, se procede a dictar la presente resolución, con base en los siguientes:</w:t>
      </w:r>
    </w:p>
    <w:p w14:paraId="0193F77F" w14:textId="77777777" w:rsidR="001472B8" w:rsidRDefault="001472B8">
      <w:pPr>
        <w:spacing w:line="360" w:lineRule="auto"/>
        <w:jc w:val="both"/>
        <w:rPr>
          <w:rFonts w:ascii="Palatino Linotype" w:eastAsia="Palatino Linotype" w:hAnsi="Palatino Linotype" w:cs="Palatino Linotype"/>
        </w:rPr>
      </w:pPr>
    </w:p>
    <w:p w14:paraId="248A62D5" w14:textId="77777777" w:rsidR="001472B8" w:rsidRDefault="00A53610">
      <w:pP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N T E C E D E N T E S</w:t>
      </w:r>
    </w:p>
    <w:p w14:paraId="6BFE58D9" w14:textId="77777777" w:rsidR="001472B8" w:rsidRDefault="001472B8">
      <w:pPr>
        <w:spacing w:line="360" w:lineRule="auto"/>
        <w:rPr>
          <w:rFonts w:ascii="Palatino Linotype" w:eastAsia="Palatino Linotype" w:hAnsi="Palatino Linotype" w:cs="Palatino Linotype"/>
        </w:rPr>
      </w:pPr>
    </w:p>
    <w:p w14:paraId="17A36F83"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día treinta de abril de dos mil veinticuatro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 solicitud de información pública registrada con el número</w:t>
      </w:r>
      <w:r>
        <w:rPr>
          <w:rFonts w:ascii="Palatino Linotype" w:eastAsia="Palatino Linotype" w:hAnsi="Palatino Linotype" w:cs="Palatino Linotype"/>
          <w:b/>
          <w:color w:val="000000"/>
        </w:rPr>
        <w:t xml:space="preserve"> 00082/ALMORI/IP/2024,</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se solicitó la siguiente información:</w:t>
      </w:r>
    </w:p>
    <w:p w14:paraId="73F9BB65"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E97047B" w14:textId="080CEDB4" w:rsidR="001472B8" w:rsidRDefault="00A53610">
      <w:pPr>
        <w:pBdr>
          <w:top w:val="nil"/>
          <w:left w:val="nil"/>
          <w:bottom w:val="nil"/>
          <w:right w:val="nil"/>
          <w:between w:val="nil"/>
        </w:pBdr>
        <w:spacing w:line="360" w:lineRule="auto"/>
        <w:ind w:left="426"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“Aunado a un cordial saludo, por este medio se les solicita sean tan amables de proporcionar información de la ex servidor público </w:t>
      </w:r>
      <w:r w:rsidRPr="00AA30AA">
        <w:rPr>
          <w:rFonts w:ascii="Palatino Linotype" w:eastAsia="Palatino Linotype" w:hAnsi="Palatino Linotype" w:cs="Palatino Linotype"/>
          <w:i/>
          <w:color w:val="000000"/>
        </w:rPr>
        <w:t>Ileana Gabriela Martínez Morales,</w:t>
      </w:r>
      <w:r>
        <w:rPr>
          <w:rFonts w:ascii="Palatino Linotype" w:eastAsia="Palatino Linotype" w:hAnsi="Palatino Linotype" w:cs="Palatino Linotype"/>
          <w:i/>
          <w:color w:val="000000"/>
        </w:rPr>
        <w:t xml:space="preserve"> Ex tesorera Municipal en la administración de la Lic. Esmeralda Gonzáles Lagunas, en referencia a la justificación de motivos que adjudicaron su despido, así como las diferentes pruebas de las cuales se le acuso por el incumplimiento de servicio de </w:t>
      </w:r>
      <w:proofErr w:type="spellStart"/>
      <w:r>
        <w:rPr>
          <w:rFonts w:ascii="Palatino Linotype" w:eastAsia="Palatino Linotype" w:hAnsi="Palatino Linotype" w:cs="Palatino Linotype"/>
          <w:i/>
          <w:color w:val="000000"/>
        </w:rPr>
        <w:t>computo</w:t>
      </w:r>
      <w:proofErr w:type="spellEnd"/>
      <w:r>
        <w:rPr>
          <w:rFonts w:ascii="Palatino Linotype" w:eastAsia="Palatino Linotype" w:hAnsi="Palatino Linotype" w:cs="Palatino Linotype"/>
          <w:i/>
          <w:color w:val="000000"/>
        </w:rPr>
        <w:t xml:space="preserve"> para una escuela, así como el acta de cabildo en donde se le pide su renuncia de la ex </w:t>
      </w:r>
      <w:r>
        <w:rPr>
          <w:rFonts w:ascii="Palatino Linotype" w:eastAsia="Palatino Linotype" w:hAnsi="Palatino Linotype" w:cs="Palatino Linotype"/>
          <w:i/>
          <w:color w:val="000000"/>
        </w:rPr>
        <w:lastRenderedPageBreak/>
        <w:t xml:space="preserve">funcionaria. Sin más por el momento seguro de contar con su oportuno apoyo, les reitero mi consideración distinguida. ATTE. </w:t>
      </w:r>
      <w:r w:rsidR="009327ED">
        <w:rPr>
          <w:rFonts w:ascii="Palatino Linotype" w:eastAsia="Palatino Linotype" w:hAnsi="Palatino Linotype" w:cs="Palatino Linotype"/>
          <w:i/>
          <w:color w:val="000000"/>
        </w:rPr>
        <w:t xml:space="preserve">XXX </w:t>
      </w:r>
      <w:proofErr w:type="spellStart"/>
      <w:r w:rsidR="009327ED">
        <w:rPr>
          <w:rFonts w:ascii="Palatino Linotype" w:eastAsia="Palatino Linotype" w:hAnsi="Palatino Linotype" w:cs="Palatino Linotype"/>
          <w:i/>
          <w:color w:val="000000"/>
        </w:rPr>
        <w:t>XXX</w:t>
      </w:r>
      <w:proofErr w:type="spellEnd"/>
      <w:r>
        <w:rPr>
          <w:rFonts w:ascii="Palatino Linotype" w:eastAsia="Palatino Linotype" w:hAnsi="Palatino Linotype" w:cs="Palatino Linotype"/>
          <w:i/>
          <w:color w:val="000000"/>
        </w:rPr>
        <w:t>”</w:t>
      </w:r>
    </w:p>
    <w:p w14:paraId="1293C704" w14:textId="77777777" w:rsidR="001472B8" w:rsidRDefault="001472B8">
      <w:pPr>
        <w:pBdr>
          <w:top w:val="nil"/>
          <w:left w:val="nil"/>
          <w:bottom w:val="nil"/>
          <w:right w:val="nil"/>
          <w:between w:val="nil"/>
        </w:pBdr>
        <w:spacing w:line="360" w:lineRule="auto"/>
        <w:ind w:left="426" w:right="474"/>
        <w:jc w:val="both"/>
        <w:rPr>
          <w:rFonts w:ascii="Palatino Linotype" w:eastAsia="Palatino Linotype" w:hAnsi="Palatino Linotype" w:cs="Palatino Linotype"/>
          <w:i/>
          <w:color w:val="000000"/>
        </w:rPr>
      </w:pPr>
    </w:p>
    <w:p w14:paraId="4A46A03F" w14:textId="77777777" w:rsidR="001472B8" w:rsidRDefault="00A53610">
      <w:pPr>
        <w:numPr>
          <w:ilvl w:val="0"/>
          <w:numId w:val="6"/>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Modalidad de entrega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SAIMEX</w:t>
      </w:r>
    </w:p>
    <w:p w14:paraId="127E68C8" w14:textId="77777777" w:rsidR="001472B8" w:rsidRDefault="001472B8">
      <w:p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p>
    <w:p w14:paraId="1686769C"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1" w:name="_heading=h.30j0zll" w:colFirst="0" w:colLast="0"/>
      <w:bookmarkEnd w:id="1"/>
      <w:r>
        <w:rPr>
          <w:rFonts w:ascii="Palatino Linotype" w:eastAsia="Palatino Linotype" w:hAnsi="Palatino Linotype" w:cs="Palatino Linotype"/>
          <w:color w:val="000000"/>
        </w:rPr>
        <w:t xml:space="preserve">Ante la falta de respuesta, el </w:t>
      </w:r>
      <w:r>
        <w:rPr>
          <w:rFonts w:ascii="Palatino Linotype" w:eastAsia="Palatino Linotype" w:hAnsi="Palatino Linotype" w:cs="Palatino Linotype"/>
          <w:b/>
          <w:color w:val="000000"/>
        </w:rPr>
        <w:t>veintinueve de mayo dos mil veinticuatro</w:t>
      </w:r>
      <w:r>
        <w:rPr>
          <w:rFonts w:ascii="Palatino Linotype" w:eastAsia="Palatino Linotype" w:hAnsi="Palatino Linotype" w:cs="Palatino Linotype"/>
          <w:color w:val="000000"/>
        </w:rPr>
        <w:t>, el particular interpuso el recurso de revisión, señalando las siguientes razones o motivos de inconformidad:</w:t>
      </w:r>
    </w:p>
    <w:p w14:paraId="3F80E9C2" w14:textId="77777777" w:rsidR="001472B8" w:rsidRDefault="00A53610">
      <w:pPr>
        <w:numPr>
          <w:ilvl w:val="0"/>
          <w:numId w:val="1"/>
        </w:numPr>
        <w:pBdr>
          <w:top w:val="nil"/>
          <w:left w:val="nil"/>
          <w:bottom w:val="nil"/>
          <w:right w:val="nil"/>
          <w:between w:val="nil"/>
        </w:pBdr>
        <w:spacing w:line="360" w:lineRule="auto"/>
        <w:ind w:left="567" w:right="56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ACTO IMPUGNADO</w:t>
      </w:r>
    </w:p>
    <w:p w14:paraId="4F947BF6" w14:textId="25E86039" w:rsidR="001472B8" w:rsidRDefault="00A53610">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“Aunado a un cordial saludo, por este medio se les solicita sean tan amables de proporcionar información de la ex servidor público Ileana Gabriela Martínez Morales, Ex tesorera Municipal en la administración de la Lic. Esmeralda Gonzáles Lagunas, en referencia a la justificación de motivos que adjudicaron su despido, así como las diferentes pruebas de las cuales se le acuso por el incumplimiento de servicio de </w:t>
      </w:r>
      <w:proofErr w:type="spellStart"/>
      <w:r>
        <w:rPr>
          <w:rFonts w:ascii="Palatino Linotype" w:eastAsia="Palatino Linotype" w:hAnsi="Palatino Linotype" w:cs="Palatino Linotype"/>
          <w:i/>
          <w:color w:val="000000"/>
          <w:sz w:val="22"/>
          <w:szCs w:val="22"/>
        </w:rPr>
        <w:t>computo</w:t>
      </w:r>
      <w:proofErr w:type="spellEnd"/>
      <w:r>
        <w:rPr>
          <w:rFonts w:ascii="Palatino Linotype" w:eastAsia="Palatino Linotype" w:hAnsi="Palatino Linotype" w:cs="Palatino Linotype"/>
          <w:i/>
          <w:color w:val="000000"/>
          <w:sz w:val="22"/>
          <w:szCs w:val="22"/>
        </w:rPr>
        <w:t xml:space="preserve"> para una escuela, así como el acta de cabildo en donde se le pide su renuncia de la ex funcionaria. Sin más por el momento seguro de contar con su oportuno apoyo, les reitero mi consideración distinguida. ATTE. </w:t>
      </w:r>
      <w:r w:rsidR="009327ED">
        <w:rPr>
          <w:rFonts w:ascii="Palatino Linotype" w:eastAsia="Palatino Linotype" w:hAnsi="Palatino Linotype" w:cs="Palatino Linotype"/>
          <w:i/>
          <w:color w:val="000000"/>
          <w:sz w:val="22"/>
          <w:szCs w:val="22"/>
        </w:rPr>
        <w:t xml:space="preserve">XXX </w:t>
      </w:r>
      <w:proofErr w:type="spellStart"/>
      <w:r w:rsidR="009327ED">
        <w:rPr>
          <w:rFonts w:ascii="Palatino Linotype" w:eastAsia="Palatino Linotype" w:hAnsi="Palatino Linotype" w:cs="Palatino Linotype"/>
          <w:i/>
          <w:color w:val="000000"/>
          <w:sz w:val="22"/>
          <w:szCs w:val="22"/>
        </w:rPr>
        <w:t>XXX</w:t>
      </w:r>
      <w:proofErr w:type="spellEnd"/>
      <w:r>
        <w:rPr>
          <w:rFonts w:ascii="Palatino Linotype" w:eastAsia="Palatino Linotype" w:hAnsi="Palatino Linotype" w:cs="Palatino Linotype"/>
          <w:i/>
          <w:color w:val="000000"/>
          <w:sz w:val="22"/>
          <w:szCs w:val="22"/>
        </w:rPr>
        <w:t xml:space="preserve">” </w:t>
      </w:r>
    </w:p>
    <w:p w14:paraId="0E6466F5" w14:textId="77777777" w:rsidR="001472B8" w:rsidRDefault="00A53610">
      <w:pPr>
        <w:numPr>
          <w:ilvl w:val="0"/>
          <w:numId w:val="1"/>
        </w:numPr>
        <w:spacing w:line="360" w:lineRule="auto"/>
        <w:ind w:left="567" w:right="567" w:hanging="14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RAZONES O MOTIVOS DE INCONFORMIDAD: </w:t>
      </w:r>
    </w:p>
    <w:p w14:paraId="3CCE8FA2" w14:textId="77777777" w:rsidR="001472B8" w:rsidRDefault="00A53610">
      <w:pP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Han pasado los 15 días hábiles para responder la información y no ha sido entregada, al menos que el titular de transparencia este ligado a un tema político con la hoy candidata”</w:t>
      </w:r>
    </w:p>
    <w:p w14:paraId="5B691064" w14:textId="77777777" w:rsidR="001472B8" w:rsidRDefault="001472B8">
      <w:pPr>
        <w:spacing w:line="360" w:lineRule="auto"/>
        <w:ind w:left="567"/>
        <w:jc w:val="both"/>
        <w:rPr>
          <w:rFonts w:ascii="Palatino Linotype" w:eastAsia="Palatino Linotype" w:hAnsi="Palatino Linotype" w:cs="Palatino Linotype"/>
          <w:i/>
          <w:color w:val="000000"/>
        </w:rPr>
      </w:pPr>
    </w:p>
    <w:p w14:paraId="68A6C4A9"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al rubro indicado, y con fundamento en lo dispuesto por el artículo 185 fracción I de la Ley de </w:t>
      </w:r>
      <w:r>
        <w:rPr>
          <w:rFonts w:ascii="Palatino Linotype" w:eastAsia="Palatino Linotype" w:hAnsi="Palatino Linotype" w:cs="Palatino Linotype"/>
          <w:color w:val="000000"/>
        </w:rPr>
        <w:lastRenderedPageBreak/>
        <w:t xml:space="preserve">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60D37CA8"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C621D23"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Pr>
          <w:rFonts w:ascii="Palatino Linotype" w:eastAsia="Palatino Linotype" w:hAnsi="Palatino Linotype" w:cs="Palatino Linotype"/>
          <w:b/>
          <w:color w:val="000000"/>
        </w:rPr>
        <w:t xml:space="preserve">acuerdo de admisión </w:t>
      </w:r>
      <w:r>
        <w:rPr>
          <w:rFonts w:ascii="Palatino Linotype" w:eastAsia="Palatino Linotype" w:hAnsi="Palatino Linotype" w:cs="Palatino Linotype"/>
          <w:color w:val="000000"/>
        </w:rPr>
        <w:t xml:space="preserve">de fecha </w:t>
      </w:r>
      <w:r>
        <w:rPr>
          <w:rFonts w:ascii="Palatino Linotype" w:eastAsia="Palatino Linotype" w:hAnsi="Palatino Linotype" w:cs="Palatino Linotype"/>
          <w:b/>
          <w:color w:val="000000"/>
        </w:rPr>
        <w:t>treinta de mayo de dos mil veinticuatro</w:t>
      </w:r>
      <w:r>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4B0494F7"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09D3ABFD"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fue omiso en rendir el informe justificado correspondiente. Por su parte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dejó de realizar manifestaciones que a su derecho conviniera y asistiera.</w:t>
      </w:r>
    </w:p>
    <w:p w14:paraId="1879BDBD" w14:textId="77777777" w:rsidR="001472B8" w:rsidRDefault="001472B8">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1170B150"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2" w:name="_heading=h.1fob9te" w:colFirst="0" w:colLast="0"/>
      <w:bookmarkEnd w:id="2"/>
      <w:r>
        <w:rPr>
          <w:rFonts w:ascii="Palatino Linotype" w:eastAsia="Palatino Linotype" w:hAnsi="Palatino Linotype" w:cs="Palatino Linotype"/>
          <w:color w:val="000000"/>
        </w:rPr>
        <w:t xml:space="preserve">La Comisionada Ponente mediante acuerdo de fecha </w:t>
      </w:r>
      <w:r>
        <w:rPr>
          <w:rFonts w:ascii="Palatino Linotype" w:eastAsia="Palatino Linotype" w:hAnsi="Palatino Linotype" w:cs="Palatino Linotype"/>
          <w:b/>
          <w:color w:val="000000"/>
        </w:rPr>
        <w:t>doce de junio de dos mil veinticuatro</w:t>
      </w:r>
      <w:r>
        <w:rPr>
          <w:rFonts w:ascii="Palatino Linotype" w:eastAsia="Palatino Linotype" w:hAnsi="Palatino Linotype" w:cs="Palatino Linotype"/>
          <w:color w:val="000000"/>
        </w:rPr>
        <w:t>, decretó el cierre de instrucción, por lo que no habiendo más que hacer constar, y -----------------------------------------------------------------------------------------</w:t>
      </w:r>
      <w:r w:rsidR="008F6884">
        <w:rPr>
          <w:rFonts w:ascii="Palatino Linotype" w:eastAsia="Palatino Linotype" w:hAnsi="Palatino Linotype" w:cs="Palatino Linotype"/>
          <w:color w:val="000000"/>
        </w:rPr>
        <w:t>-------------</w:t>
      </w:r>
    </w:p>
    <w:p w14:paraId="2B4EFFA3"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10B1E530" w14:textId="77777777" w:rsidR="001472B8" w:rsidRDefault="00A53610">
      <w:pPr>
        <w:pStyle w:val="Ttulo1"/>
        <w:spacing w:before="0" w:line="360" w:lineRule="auto"/>
        <w:jc w:val="center"/>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C O N S I D E R A N D O</w:t>
      </w:r>
    </w:p>
    <w:p w14:paraId="13B2152B" w14:textId="77777777" w:rsidR="001472B8" w:rsidRDefault="001472B8">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p>
    <w:p w14:paraId="31E2C4F9" w14:textId="77777777" w:rsidR="001472B8" w:rsidRDefault="00A53610">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PRIMERO. De la competencia</w:t>
      </w:r>
    </w:p>
    <w:p w14:paraId="63AB60B1"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6" w:name="_heading=h.3dy6vkm" w:colFirst="0" w:colLast="0"/>
      <w:bookmarkEnd w:id="6"/>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w:t>
      </w:r>
      <w:r>
        <w:rPr>
          <w:rFonts w:ascii="Palatino Linotype" w:eastAsia="Palatino Linotype" w:hAnsi="Palatino Linotype" w:cs="Palatino Linotype"/>
          <w:color w:val="000000"/>
        </w:rPr>
        <w:lastRenderedPageBreak/>
        <w:t>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0A95725"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B80EF0C" w14:textId="77777777" w:rsidR="001472B8" w:rsidRDefault="00A536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7" w:name="_heading=h.1t3h5sf" w:colFirst="0" w:colLast="0"/>
      <w:bookmarkEnd w:id="7"/>
      <w:r>
        <w:rPr>
          <w:rFonts w:ascii="Palatino Linotype" w:eastAsia="Palatino Linotype" w:hAnsi="Palatino Linotype" w:cs="Palatino Linotype"/>
          <w:b/>
          <w:color w:val="000000"/>
        </w:rPr>
        <w:t>SEGUNDO. De la oportunidad y procedencia.</w:t>
      </w:r>
    </w:p>
    <w:p w14:paraId="5C5F7992"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8" w:name="_heading=h.4d34og8" w:colFirst="0" w:colLast="0"/>
      <w:bookmarkEnd w:id="8"/>
      <w:r>
        <w:rPr>
          <w:rFonts w:ascii="Palatino Linotype" w:eastAsia="Palatino Linotype" w:hAnsi="Palatino Linotype" w:cs="Palatino Linotype"/>
          <w:color w:val="000000"/>
        </w:rPr>
        <w:t xml:space="preserve">Es de precisar, que la Ley de Transparencia y Acceso a la Información Pública del Estado de México y Municipios, en el artículo 178 describe la procedencia del recurso de revisión; asimismo señala que el plazo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55C7CA8D" w14:textId="77777777" w:rsidR="001472B8" w:rsidRDefault="001472B8">
      <w:pPr>
        <w:spacing w:line="360" w:lineRule="auto"/>
        <w:jc w:val="both"/>
        <w:rPr>
          <w:rFonts w:ascii="Palatino Linotype" w:eastAsia="Palatino Linotype" w:hAnsi="Palatino Linotype" w:cs="Palatino Linotype"/>
        </w:rPr>
      </w:pPr>
    </w:p>
    <w:p w14:paraId="6CB26E5E"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ende, se constituye la figura jurídica de la </w:t>
      </w:r>
      <w:r>
        <w:rPr>
          <w:rFonts w:ascii="Palatino Linotype" w:eastAsia="Palatino Linotype" w:hAnsi="Palatino Linotype" w:cs="Palatino Linotype"/>
          <w:i/>
          <w:color w:val="000000"/>
        </w:rPr>
        <w:t>negativa ficta</w:t>
      </w:r>
      <w:r>
        <w:rPr>
          <w:rFonts w:ascii="Palatino Linotype" w:eastAsia="Palatino Linotype" w:hAnsi="Palatino Linotype" w:cs="Palatino Linotype"/>
          <w:color w:val="000000"/>
        </w:rPr>
        <w:t xml:space="preserve">, cuya esencia es atribuir un efecto negativo al silencio de la autoridad administrativa frente a las instancias y solicitudes que hagan los particulares, lo cual encuentra sustento en lo que </w:t>
      </w:r>
      <w:r>
        <w:rPr>
          <w:rFonts w:ascii="Palatino Linotype" w:eastAsia="Palatino Linotype" w:hAnsi="Palatino Linotype" w:cs="Palatino Linotype"/>
          <w:color w:val="000000"/>
        </w:rPr>
        <w:lastRenderedPageBreak/>
        <w:t xml:space="preserve">establece el artículo </w:t>
      </w:r>
      <w:r>
        <w:rPr>
          <w:rFonts w:ascii="Palatino Linotype" w:eastAsia="Palatino Linotype" w:hAnsi="Palatino Linotype" w:cs="Palatino Linotype"/>
          <w:b/>
          <w:color w:val="000000"/>
        </w:rPr>
        <w:t>178</w:t>
      </w:r>
      <w:r>
        <w:rPr>
          <w:rFonts w:ascii="Palatino Linotype" w:eastAsia="Palatino Linotype" w:hAnsi="Palatino Linotype" w:cs="Palatino Linotype"/>
          <w:color w:val="000000"/>
        </w:rPr>
        <w:t xml:space="preserve"> segundo párrafo de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highlight w:val="white"/>
        </w:rPr>
        <w:t xml:space="preserve">, que dispone; ante la falta de respuesta del </w:t>
      </w:r>
      <w:r>
        <w:rPr>
          <w:rFonts w:ascii="Palatino Linotype" w:eastAsia="Palatino Linotype" w:hAnsi="Palatino Linotype" w:cs="Palatino Linotype"/>
          <w:b/>
          <w:color w:val="000000"/>
          <w:highlight w:val="white"/>
        </w:rPr>
        <w:t>SUJETO OBLIGADO,</w:t>
      </w:r>
      <w:r>
        <w:rPr>
          <w:rFonts w:ascii="Palatino Linotype" w:eastAsia="Palatino Linotype" w:hAnsi="Palatino Linotype" w:cs="Palatino Linotype"/>
          <w:color w:val="000000"/>
          <w:highlight w:val="white"/>
        </w:rPr>
        <w:t xml:space="preserve"> dentro de los plazos establecidos en esta Ley, a una solicitud de acceso a la información pública, el recurso </w:t>
      </w:r>
      <w:r>
        <w:rPr>
          <w:rFonts w:ascii="Palatino Linotype" w:eastAsia="Palatino Linotype" w:hAnsi="Palatino Linotype" w:cs="Palatino Linotype"/>
          <w:b/>
          <w:color w:val="000000"/>
          <w:highlight w:val="white"/>
        </w:rPr>
        <w:t xml:space="preserve">podrá ser interpuesto en cualquier momento. </w:t>
      </w:r>
    </w:p>
    <w:p w14:paraId="1441029D" w14:textId="77777777" w:rsidR="001472B8" w:rsidRDefault="001472B8">
      <w:pPr>
        <w:spacing w:line="360" w:lineRule="auto"/>
        <w:ind w:left="284"/>
        <w:rPr>
          <w:rFonts w:ascii="Palatino Linotype" w:eastAsia="Palatino Linotype" w:hAnsi="Palatino Linotype" w:cs="Palatino Linotype"/>
        </w:rPr>
      </w:pPr>
    </w:p>
    <w:p w14:paraId="1D0DFB42"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tratándose de la </w:t>
      </w:r>
      <w:r>
        <w:rPr>
          <w:rFonts w:ascii="Palatino Linotype" w:eastAsia="Palatino Linotype" w:hAnsi="Palatino Linotype" w:cs="Palatino Linotype"/>
          <w:i/>
          <w:color w:val="000000"/>
        </w:rPr>
        <w:t>negativa ficta</w:t>
      </w:r>
      <w:r>
        <w:rPr>
          <w:rFonts w:ascii="Palatino Linotype" w:eastAsia="Palatino Linotype" w:hAnsi="Palatino Linotype" w:cs="Palatino Linotype"/>
          <w:color w:val="000000"/>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veinticuatro de abril de dos mil quince, relativo a la interposición del recurso de revisión en cualquier tiempo cuando exista </w:t>
      </w:r>
      <w:r>
        <w:rPr>
          <w:rFonts w:ascii="Palatino Linotype" w:eastAsia="Palatino Linotype" w:hAnsi="Palatino Linotype" w:cs="Palatino Linotype"/>
          <w:i/>
          <w:color w:val="000000"/>
        </w:rPr>
        <w:t>negativa ficta</w:t>
      </w:r>
      <w:r>
        <w:rPr>
          <w:rFonts w:ascii="Palatino Linotype" w:eastAsia="Palatino Linotype" w:hAnsi="Palatino Linotype" w:cs="Palatino Linotype"/>
          <w:color w:val="000000"/>
        </w:rPr>
        <w:t>, que señala:</w:t>
      </w:r>
    </w:p>
    <w:p w14:paraId="3C6CCB9F" w14:textId="77777777" w:rsidR="001472B8" w:rsidRDefault="00A53610">
      <w:pPr>
        <w:tabs>
          <w:tab w:val="left" w:pos="7655"/>
        </w:tabs>
        <w:ind w:left="567" w:right="56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Criterio 0001-15</w:t>
      </w:r>
    </w:p>
    <w:p w14:paraId="34CC78E4" w14:textId="77777777" w:rsidR="001472B8" w:rsidRDefault="00A53610">
      <w:pPr>
        <w:tabs>
          <w:tab w:val="left" w:pos="7655"/>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w:t>
      </w:r>
      <w:r>
        <w:rPr>
          <w:rFonts w:ascii="Palatino Linotype" w:eastAsia="Palatino Linotype" w:hAnsi="Palatino Linotype" w:cs="Palatino Linotype"/>
          <w:i/>
          <w:sz w:val="22"/>
          <w:szCs w:val="22"/>
        </w:rPr>
        <w:lastRenderedPageBreak/>
        <w:t>mientras no haya respuesta por parte del Sujeto Obligado, momento a partir del cual deberá computarse el plazo previsto en el artículo 72 de la citada Ley.</w:t>
      </w:r>
    </w:p>
    <w:p w14:paraId="23468C69" w14:textId="77777777" w:rsidR="001472B8" w:rsidRDefault="001472B8">
      <w:pPr>
        <w:tabs>
          <w:tab w:val="left" w:pos="7655"/>
        </w:tabs>
        <w:spacing w:line="360" w:lineRule="auto"/>
        <w:ind w:left="567" w:right="567"/>
        <w:jc w:val="both"/>
        <w:rPr>
          <w:rFonts w:ascii="Palatino Linotype" w:eastAsia="Palatino Linotype" w:hAnsi="Palatino Linotype" w:cs="Palatino Linotype"/>
          <w:i/>
        </w:rPr>
      </w:pPr>
    </w:p>
    <w:p w14:paraId="648559DB"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anterior, se explica porque la </w:t>
      </w:r>
      <w:r>
        <w:rPr>
          <w:rFonts w:ascii="Palatino Linotype" w:eastAsia="Palatino Linotype" w:hAnsi="Palatino Linotype" w:cs="Palatino Linotype"/>
          <w:b/>
          <w:color w:val="000000"/>
          <w:u w:val="single"/>
        </w:rPr>
        <w:t>posible ausencia</w:t>
      </w:r>
      <w:r>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14:paraId="6AD50BDC"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A34E6F1"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A8C744F" w14:textId="77777777" w:rsidR="001472B8" w:rsidRDefault="00A53610">
      <w:pPr>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14:paraId="6956BC7C" w14:textId="77777777" w:rsidR="001472B8" w:rsidRDefault="001472B8">
      <w:pPr>
        <w:spacing w:line="360" w:lineRule="auto"/>
        <w:jc w:val="both"/>
        <w:rPr>
          <w:rFonts w:ascii="Palatino Linotype" w:eastAsia="Palatino Linotype" w:hAnsi="Palatino Linotype" w:cs="Palatino Linotype"/>
          <w:sz w:val="22"/>
          <w:szCs w:val="22"/>
        </w:rPr>
      </w:pPr>
    </w:p>
    <w:p w14:paraId="3F89CD52"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24968853" w14:textId="77777777" w:rsidR="001472B8" w:rsidRDefault="00A53610">
      <w:pPr>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DF8A135" w14:textId="77777777" w:rsidR="001472B8" w:rsidRDefault="00A53610">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064D4BEB" w14:textId="77777777" w:rsidR="001472B8" w:rsidRDefault="001472B8">
      <w:pPr>
        <w:ind w:left="567" w:right="476"/>
        <w:jc w:val="both"/>
        <w:rPr>
          <w:rFonts w:ascii="Palatino Linotype" w:eastAsia="Palatino Linotype" w:hAnsi="Palatino Linotype" w:cs="Palatino Linotype"/>
          <w:i/>
          <w:sz w:val="22"/>
          <w:szCs w:val="22"/>
        </w:rPr>
      </w:pPr>
    </w:p>
    <w:p w14:paraId="5E662BCB" w14:textId="77777777" w:rsidR="001472B8" w:rsidRDefault="00A53610">
      <w:pPr>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A. Para el ejercicio del derecho de acceso a la información, la Federación, los Estados y el Distrito Federal, en el ámbito de sus respectivas competencias, se regirán por los siguientes principios y bases:</w:t>
      </w:r>
    </w:p>
    <w:p w14:paraId="10AAF825" w14:textId="77777777" w:rsidR="001472B8" w:rsidRDefault="001472B8">
      <w:pPr>
        <w:ind w:left="567" w:right="476"/>
        <w:jc w:val="both"/>
        <w:rPr>
          <w:rFonts w:ascii="Palatino Linotype" w:eastAsia="Palatino Linotype" w:hAnsi="Palatino Linotype" w:cs="Palatino Linotype"/>
          <w:i/>
          <w:sz w:val="22"/>
          <w:szCs w:val="22"/>
        </w:rPr>
      </w:pPr>
    </w:p>
    <w:p w14:paraId="09FE5E6A" w14:textId="77777777" w:rsidR="001472B8" w:rsidRDefault="00A53610">
      <w:pPr>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sz w:val="22"/>
          <w:szCs w:val="22"/>
        </w:rPr>
        <w:t>(Sic)</w:t>
      </w:r>
    </w:p>
    <w:p w14:paraId="7E78BA1B" w14:textId="77777777" w:rsidR="001472B8" w:rsidRDefault="001472B8">
      <w:pPr>
        <w:spacing w:line="360" w:lineRule="auto"/>
        <w:ind w:left="567" w:right="474"/>
        <w:jc w:val="both"/>
        <w:rPr>
          <w:rFonts w:ascii="Palatino Linotype" w:eastAsia="Palatino Linotype" w:hAnsi="Palatino Linotype" w:cs="Palatino Linotype"/>
          <w:i/>
        </w:rPr>
      </w:pPr>
    </w:p>
    <w:p w14:paraId="7888A773"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2D8CDA8B" w14:textId="77777777" w:rsidR="001472B8" w:rsidRDefault="00A53610">
      <w:pPr>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0FA8D267" w14:textId="77777777" w:rsidR="001472B8" w:rsidRDefault="00A53610">
      <w:pPr>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A9C6CF8" w14:textId="77777777" w:rsidR="001472B8" w:rsidRDefault="00A53610">
      <w:pPr>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14:paraId="3E0D3EBC" w14:textId="77777777" w:rsidR="001472B8" w:rsidRDefault="00A53610">
      <w:pPr>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D2C8791" w14:textId="77777777" w:rsidR="001472B8" w:rsidRDefault="00A53610">
      <w:pPr>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14:paraId="50599446" w14:textId="77777777" w:rsidR="001472B8" w:rsidRDefault="00A53610">
      <w:pPr>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79A3007" w14:textId="77777777" w:rsidR="001472B8" w:rsidRDefault="00A53610">
      <w:pPr>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113133EB" w14:textId="77777777" w:rsidR="001472B8" w:rsidRDefault="00A53610">
      <w:pPr>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7A17AC4" w14:textId="77777777" w:rsidR="001472B8" w:rsidRDefault="00A53610">
      <w:pPr>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w:t>
      </w:r>
      <w:r>
        <w:rPr>
          <w:rFonts w:ascii="Palatino Linotype" w:eastAsia="Palatino Linotype" w:hAnsi="Palatino Linotype" w:cs="Palatino Linotype"/>
          <w:i/>
          <w:sz w:val="22"/>
          <w:szCs w:val="22"/>
        </w:rPr>
        <w:lastRenderedPageBreak/>
        <w:t xml:space="preserve">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14:paraId="78EF741C" w14:textId="77777777" w:rsidR="001472B8" w:rsidRDefault="001472B8">
      <w:pPr>
        <w:spacing w:line="360" w:lineRule="auto"/>
        <w:ind w:left="426" w:right="476"/>
        <w:jc w:val="both"/>
        <w:rPr>
          <w:rFonts w:ascii="Palatino Linotype" w:eastAsia="Palatino Linotype" w:hAnsi="Palatino Linotype" w:cs="Palatino Linotype"/>
          <w:i/>
        </w:rPr>
      </w:pPr>
    </w:p>
    <w:p w14:paraId="15465E3F"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479A44F8" w14:textId="77777777" w:rsidR="001472B8" w:rsidRDefault="00A53610">
      <w:pPr>
        <w:ind w:left="425"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454ACC6" w14:textId="77777777" w:rsidR="001472B8" w:rsidRDefault="00A53610">
      <w:pPr>
        <w:ind w:left="425"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3F74D0C4" w14:textId="77777777" w:rsidR="001472B8" w:rsidRDefault="00A53610">
      <w:pPr>
        <w:ind w:left="425"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F79C8D0" w14:textId="77777777" w:rsidR="001472B8" w:rsidRDefault="001472B8">
      <w:pPr>
        <w:ind w:left="425" w:right="476"/>
        <w:jc w:val="both"/>
        <w:rPr>
          <w:rFonts w:ascii="Palatino Linotype" w:eastAsia="Palatino Linotype" w:hAnsi="Palatino Linotype" w:cs="Palatino Linotype"/>
          <w:i/>
        </w:rPr>
      </w:pPr>
    </w:p>
    <w:p w14:paraId="7E19DD0D" w14:textId="77777777" w:rsidR="001472B8" w:rsidRDefault="00A53610">
      <w:pPr>
        <w:numPr>
          <w:ilvl w:val="0"/>
          <w:numId w:val="7"/>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14247EA" w14:textId="77777777" w:rsidR="001472B8" w:rsidRDefault="001472B8">
      <w:pPr>
        <w:spacing w:line="360" w:lineRule="auto"/>
        <w:jc w:val="both"/>
        <w:rPr>
          <w:rFonts w:ascii="Palatino Linotype" w:eastAsia="Palatino Linotype" w:hAnsi="Palatino Linotype" w:cs="Palatino Linotype"/>
        </w:rPr>
      </w:pPr>
    </w:p>
    <w:p w14:paraId="26CDB027" w14:textId="77777777" w:rsidR="001472B8" w:rsidRDefault="00A53610">
      <w:pPr>
        <w:numPr>
          <w:ilvl w:val="0"/>
          <w:numId w:val="7"/>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w:t>
      </w:r>
      <w:r>
        <w:rPr>
          <w:rFonts w:ascii="Palatino Linotype" w:eastAsia="Palatino Linotype" w:hAnsi="Palatino Linotype" w:cs="Palatino Linotype"/>
        </w:rPr>
        <w:lastRenderedPageBreak/>
        <w:t>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3BEBA155"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59991990"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176816D"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A5023D1" w14:textId="77777777" w:rsidR="001472B8" w:rsidRDefault="00A53610">
      <w:pPr>
        <w:pStyle w:val="Ttulo1"/>
        <w:spacing w:before="0" w:line="360" w:lineRule="auto"/>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0F7ACE03"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las constancias en el expediente al rubro indicado, se desprende que el particular solicitó información relativa a: “</w:t>
      </w:r>
      <w:r>
        <w:rPr>
          <w:rFonts w:ascii="Palatino Linotype" w:eastAsia="Palatino Linotype" w:hAnsi="Palatino Linotype" w:cs="Palatino Linotype"/>
          <w:i/>
          <w:color w:val="000000"/>
        </w:rPr>
        <w:t xml:space="preserve">Aunado a un cordial saludo, por este medio se les solicita sean tan amables de proporcionar información de la ex servidor público Ileana Gabriela Martínez Morales, Ex tesorera Municipal en la administración de la Lic. Esmeralda Gonzáles Lagunas, en referencia a la justificación de motivos que adjudicaron su despido, así como las diferentes pruebas de las cuales se le acuso por el incumplimiento de servicio de </w:t>
      </w:r>
      <w:proofErr w:type="spellStart"/>
      <w:r>
        <w:rPr>
          <w:rFonts w:ascii="Palatino Linotype" w:eastAsia="Palatino Linotype" w:hAnsi="Palatino Linotype" w:cs="Palatino Linotype"/>
          <w:i/>
          <w:color w:val="000000"/>
        </w:rPr>
        <w:t>computo</w:t>
      </w:r>
      <w:proofErr w:type="spellEnd"/>
      <w:r>
        <w:rPr>
          <w:rFonts w:ascii="Palatino Linotype" w:eastAsia="Palatino Linotype" w:hAnsi="Palatino Linotype" w:cs="Palatino Linotype"/>
          <w:i/>
          <w:color w:val="000000"/>
        </w:rPr>
        <w:t xml:space="preserve"> para una escuela, así como el acta de cabildo en donde se le pide su renuncia de la ex funcionaria. Sin más por el momento seguro de contar con su oportuno apoyo, les reitero mi consideración </w:t>
      </w:r>
      <w:r>
        <w:rPr>
          <w:rFonts w:ascii="Palatino Linotype" w:eastAsia="Palatino Linotype" w:hAnsi="Palatino Linotype" w:cs="Palatino Linotype"/>
          <w:i/>
          <w:color w:val="000000"/>
        </w:rPr>
        <w:lastRenderedPageBreak/>
        <w:t>distinguida.”</w:t>
      </w:r>
      <w:r>
        <w:rPr>
          <w:rFonts w:ascii="Palatino Linotype" w:eastAsia="Palatino Linotype" w:hAnsi="Palatino Linotype" w:cs="Palatino Linotype"/>
          <w:color w:val="000000"/>
        </w:rPr>
        <w:t xml:space="preserve">; derivado de la falta de respuesta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el particular interpuso el Recurso de Revisión, ante este Órgano Garante para hacer valer su derecho de acceso a la información pública.</w:t>
      </w:r>
    </w:p>
    <w:p w14:paraId="753E0EB2" w14:textId="77777777" w:rsidR="001472B8" w:rsidRDefault="001472B8">
      <w:pPr>
        <w:tabs>
          <w:tab w:val="left" w:pos="284"/>
        </w:tabs>
        <w:spacing w:line="360" w:lineRule="auto"/>
        <w:jc w:val="both"/>
        <w:rPr>
          <w:rFonts w:ascii="Palatino Linotype" w:eastAsia="Palatino Linotype" w:hAnsi="Palatino Linotype" w:cs="Palatino Linotype"/>
          <w:i/>
        </w:rPr>
      </w:pPr>
    </w:p>
    <w:p w14:paraId="68C6B90C"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dichas condiciones,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el presente recurso de revisión se circunscribe a determinar si se actualizan la causal de procedencia prevista en el artículo 179, fracción </w:t>
      </w:r>
      <w:r>
        <w:rPr>
          <w:rFonts w:ascii="Palatino Linotype" w:eastAsia="Palatino Linotype" w:hAnsi="Palatino Linotype" w:cs="Palatino Linotype"/>
          <w:b/>
          <w:color w:val="000000"/>
        </w:rPr>
        <w:t>VII</w:t>
      </w:r>
      <w:r>
        <w:rPr>
          <w:rFonts w:ascii="Palatino Linotype" w:eastAsia="Palatino Linotype" w:hAnsi="Palatino Linotype" w:cs="Palatino Linotype"/>
          <w:color w:val="000000"/>
        </w:rPr>
        <w:t xml:space="preserve">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fracción que determina la hipótesis jurídica relativa a la falta de respuesta a una solicitud de acceso a la información; contexto del cual se dolió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al momento de interponer su recurso de revisión; asimismo, determinar si se vulnera el derecho de acceso a la información de la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2AB60143"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235B4381" w14:textId="77777777" w:rsidR="001472B8" w:rsidRDefault="00A53610">
      <w:pPr>
        <w:keepNext/>
        <w:keepLines/>
        <w:spacing w:line="360" w:lineRule="auto"/>
        <w:rPr>
          <w:rFonts w:ascii="Palatino Linotype" w:eastAsia="Palatino Linotype" w:hAnsi="Palatino Linotype" w:cs="Palatino Linotype"/>
          <w:b/>
        </w:rPr>
      </w:pPr>
      <w:bookmarkStart w:id="10" w:name="_heading=h.17dp8vu" w:colFirst="0" w:colLast="0"/>
      <w:bookmarkEnd w:id="10"/>
      <w:r>
        <w:rPr>
          <w:rFonts w:ascii="Palatino Linotype" w:eastAsia="Palatino Linotype" w:hAnsi="Palatino Linotype" w:cs="Palatino Linotype"/>
          <w:b/>
        </w:rPr>
        <w:t>CUARTO. Del estudio y resolución del asunto.</w:t>
      </w:r>
    </w:p>
    <w:p w14:paraId="7F396F5F" w14:textId="77777777" w:rsidR="001472B8" w:rsidRDefault="00A53610">
      <w:pPr>
        <w:keepNext/>
        <w:keepLines/>
        <w:numPr>
          <w:ilvl w:val="1"/>
          <w:numId w:val="7"/>
        </w:numPr>
        <w:spacing w:line="360" w:lineRule="auto"/>
        <w:ind w:left="851"/>
        <w:jc w:val="both"/>
        <w:rPr>
          <w:rFonts w:ascii="Palatino Linotype" w:eastAsia="Palatino Linotype" w:hAnsi="Palatino Linotype" w:cs="Palatino Linotype"/>
          <w:b/>
        </w:rPr>
      </w:pPr>
      <w:bookmarkStart w:id="11" w:name="_heading=h.3rdcrjn" w:colFirst="0" w:colLast="0"/>
      <w:bookmarkEnd w:id="11"/>
      <w:r>
        <w:rPr>
          <w:rFonts w:ascii="Palatino Linotype" w:eastAsia="Palatino Linotype" w:hAnsi="Palatino Linotype" w:cs="Palatino Linotype"/>
          <w:b/>
        </w:rPr>
        <w:t>Del Derecho de Acceso a la Información.</w:t>
      </w:r>
    </w:p>
    <w:p w14:paraId="5972829A"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12" w:name="_heading=h.26in1rg" w:colFirst="0" w:colLast="0"/>
      <w:bookmarkEnd w:id="12"/>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190927C9" w14:textId="77777777" w:rsidR="001472B8" w:rsidRDefault="001472B8">
      <w:pPr>
        <w:spacing w:line="360" w:lineRule="auto"/>
        <w:ind w:right="49"/>
        <w:jc w:val="both"/>
        <w:rPr>
          <w:rFonts w:ascii="Palatino Linotype" w:eastAsia="Palatino Linotype" w:hAnsi="Palatino Linotype" w:cs="Palatino Linotype"/>
          <w:color w:val="000000"/>
        </w:rPr>
      </w:pPr>
    </w:p>
    <w:p w14:paraId="0F481BB2"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5C5B2EB0" w14:textId="77777777" w:rsidR="001472B8" w:rsidRDefault="001472B8">
      <w:pPr>
        <w:spacing w:line="360" w:lineRule="auto"/>
        <w:jc w:val="both"/>
        <w:rPr>
          <w:rFonts w:ascii="Palatino Linotype" w:eastAsia="Palatino Linotype" w:hAnsi="Palatino Linotype" w:cs="Palatino Linotype"/>
        </w:rPr>
      </w:pPr>
    </w:p>
    <w:p w14:paraId="311B0A87"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México, además de los derechos, están reconocidas las garantías para su protección, en ese sentido el párrafo tercero de artículo primero de la Constitución Política de los Estados Unidos Mexicanos, dispone lo siguiente:</w:t>
      </w:r>
    </w:p>
    <w:p w14:paraId="756FA8CB"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57AB6616"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5783B06"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07D37A3" w14:textId="77777777" w:rsidR="001472B8" w:rsidRDefault="00A53610">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6ECC359D" w14:textId="77777777" w:rsidR="001472B8" w:rsidRDefault="00A53610">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(Énfasis Añadido)</w:t>
      </w:r>
    </w:p>
    <w:p w14:paraId="2B31BA3A" w14:textId="77777777" w:rsidR="001472B8" w:rsidRDefault="001472B8">
      <w:pPr>
        <w:ind w:right="567"/>
        <w:jc w:val="both"/>
        <w:rPr>
          <w:rFonts w:ascii="Palatino Linotype" w:eastAsia="Palatino Linotype" w:hAnsi="Palatino Linotype" w:cs="Palatino Linotype"/>
        </w:rPr>
      </w:pPr>
    </w:p>
    <w:p w14:paraId="2DC21604"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w:t>
      </w:r>
      <w:r>
        <w:rPr>
          <w:rFonts w:ascii="Palatino Linotype" w:eastAsia="Palatino Linotype" w:hAnsi="Palatino Linotype" w:cs="Palatino Linotype"/>
        </w:rPr>
        <w:t>del mismo</w:t>
      </w:r>
      <w:r>
        <w:rPr>
          <w:rFonts w:ascii="Palatino Linotype" w:eastAsia="Palatino Linotype" w:hAnsi="Palatino Linotype" w:cs="Palatino Linotype"/>
          <w:color w:val="000000"/>
        </w:rPr>
        <w:t xml:space="preserve"> artículo.</w:t>
      </w:r>
    </w:p>
    <w:p w14:paraId="09D37438" w14:textId="77777777" w:rsidR="008F6884" w:rsidRDefault="008F6884" w:rsidP="008F68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01E36E1"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722C017E" w14:textId="77777777" w:rsidR="001472B8" w:rsidRDefault="00A53610">
      <w:pPr>
        <w:ind w:left="567" w:right="5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Constitución Política de los Estados Unidos Mexicanos</w:t>
      </w:r>
    </w:p>
    <w:p w14:paraId="1D4241FA" w14:textId="77777777" w:rsidR="001472B8" w:rsidRDefault="00A53610">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w:t>
      </w:r>
    </w:p>
    <w:p w14:paraId="11E9C966"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0DFFCA9"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3BECB87C" w14:textId="77777777" w:rsidR="001472B8" w:rsidRDefault="00A53610">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036E45C4"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8772614" w14:textId="77777777" w:rsidR="001472B8" w:rsidRDefault="00A53610">
      <w:pPr>
        <w:pBdr>
          <w:top w:val="nil"/>
          <w:left w:val="nil"/>
          <w:bottom w:val="nil"/>
          <w:right w:val="nil"/>
          <w:between w:val="nil"/>
        </w:pBdr>
        <w:tabs>
          <w:tab w:val="left" w:pos="567"/>
        </w:tabs>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4DFC97BE" w14:textId="77777777" w:rsidR="001472B8" w:rsidRDefault="00A53610">
      <w:pPr>
        <w:ind w:left="567" w:right="5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Constitución Política del Estado Libre y Soberano de México</w:t>
      </w:r>
    </w:p>
    <w:p w14:paraId="6E5642FD"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w:t>
      </w:r>
    </w:p>
    <w:p w14:paraId="7E54E47C"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9CE5D90"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1CE8222D"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073C90E" w14:textId="77777777" w:rsidR="001472B8" w:rsidRDefault="001472B8">
      <w:pPr>
        <w:ind w:left="567" w:right="567"/>
        <w:jc w:val="both"/>
        <w:rPr>
          <w:rFonts w:ascii="Palatino Linotype" w:eastAsia="Palatino Linotype" w:hAnsi="Palatino Linotype" w:cs="Palatino Linotype"/>
          <w:i/>
          <w:sz w:val="22"/>
          <w:szCs w:val="22"/>
        </w:rPr>
      </w:pPr>
    </w:p>
    <w:p w14:paraId="44F4D41C"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7F7A0E95" w14:textId="77777777" w:rsidR="001472B8" w:rsidRDefault="00A53610">
      <w:pPr>
        <w:numPr>
          <w:ilvl w:val="0"/>
          <w:numId w:val="5"/>
        </w:numPr>
        <w:pBdr>
          <w:top w:val="nil"/>
          <w:left w:val="nil"/>
          <w:bottom w:val="nil"/>
          <w:right w:val="nil"/>
          <w:between w:val="nil"/>
        </w:pBdr>
        <w:ind w:left="567" w:right="567"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Toda la información en posesión de cualquier autoridad, entidad, órgano y organismos de los</w:t>
      </w:r>
      <w:r>
        <w:rPr>
          <w:rFonts w:ascii="Palatino Linotype" w:eastAsia="Palatino Linotype" w:hAnsi="Palatino Linotype" w:cs="Palatino Linotype"/>
          <w:i/>
          <w:color w:val="000000"/>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color w:val="000000"/>
          <w:sz w:val="22"/>
          <w:szCs w:val="22"/>
        </w:rPr>
        <w:t>municipales</w:t>
      </w:r>
      <w:r>
        <w:rPr>
          <w:rFonts w:ascii="Palatino Linotype" w:eastAsia="Palatino Linotype" w:hAnsi="Palatino Linotype" w:cs="Palatino Linotype"/>
          <w:i/>
          <w:color w:val="000000"/>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color w:val="000000"/>
          <w:sz w:val="22"/>
          <w:szCs w:val="22"/>
        </w:rPr>
        <w:t>es pública</w:t>
      </w:r>
      <w:r>
        <w:rPr>
          <w:rFonts w:ascii="Palatino Linotype" w:eastAsia="Palatino Linotype" w:hAnsi="Palatino Linotype" w:cs="Palatino Linotype"/>
          <w:i/>
          <w:color w:val="000000"/>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color w:val="000000"/>
          <w:sz w:val="22"/>
          <w:szCs w:val="22"/>
        </w:rPr>
        <w:t>En la interpretación de este derecho deberá prevalecer el principio de máxima publicidad</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Los sujetos obligados deberán documentar todo acto que derive del ejercicio de sus facultades, competencias o funciones</w:t>
      </w:r>
      <w:r>
        <w:rPr>
          <w:rFonts w:ascii="Palatino Linotype" w:eastAsia="Palatino Linotype" w:hAnsi="Palatino Linotype" w:cs="Palatino Linotype"/>
          <w:i/>
          <w:color w:val="000000"/>
          <w:sz w:val="22"/>
          <w:szCs w:val="22"/>
        </w:rPr>
        <w:t>, la ley determinará los supuestos específicos bajo los cuales procederá la declaración de inexistencia de la información.”</w:t>
      </w:r>
    </w:p>
    <w:p w14:paraId="088E7739" w14:textId="77777777" w:rsidR="001472B8" w:rsidRDefault="00A53610">
      <w:pPr>
        <w:pBdr>
          <w:top w:val="nil"/>
          <w:left w:val="nil"/>
          <w:bottom w:val="nil"/>
          <w:right w:val="nil"/>
          <w:between w:val="nil"/>
        </w:pBdr>
        <w:tabs>
          <w:tab w:val="left" w:pos="567"/>
        </w:tabs>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5C807A61" w14:textId="77777777" w:rsidR="001472B8" w:rsidRDefault="001472B8">
      <w:pPr>
        <w:ind w:left="567" w:right="567"/>
        <w:jc w:val="both"/>
        <w:rPr>
          <w:rFonts w:ascii="Palatino Linotype" w:eastAsia="Palatino Linotype" w:hAnsi="Palatino Linotype" w:cs="Palatino Linotype"/>
          <w:i/>
        </w:rPr>
      </w:pPr>
    </w:p>
    <w:p w14:paraId="47E3CFAD"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color w:val="000000"/>
        </w:rPr>
        <w:t xml:space="preserve">por </w:t>
      </w:r>
      <w:r>
        <w:rPr>
          <w:rFonts w:ascii="Palatino Linotype" w:eastAsia="Palatino Linotype" w:hAnsi="Palatino Linotype" w:cs="Palatino Linotype"/>
          <w:color w:val="000000"/>
        </w:rPr>
        <w:t>los</w:t>
      </w:r>
      <w:r>
        <w:rPr>
          <w:rFonts w:ascii="Palatino Linotype" w:eastAsia="Palatino Linotype" w:hAnsi="Palatino Linotype" w:cs="Palatino Linotype"/>
          <w:i/>
          <w:color w:val="000000"/>
        </w:rPr>
        <w:t xml:space="preserve"> principios de simplicidad, rapidez gratuidad del procedimiento, auxilio y orientación a los particulares</w:t>
      </w:r>
      <w:r>
        <w:rPr>
          <w:rFonts w:ascii="Palatino Linotype" w:eastAsia="Palatino Linotype" w:hAnsi="Palatino Linotype" w:cs="Palatino Linotype"/>
          <w:color w:val="000000"/>
        </w:rPr>
        <w:t>, contemplando el derecho de las personas con discapacidad y hablantes de lengua indígena.</w:t>
      </w:r>
    </w:p>
    <w:p w14:paraId="09A30408"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DDE54C3"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Derecho de Acceso a la Información se garantiza y respeta oportunamente, y según lo que dispone la Ley, las </w:t>
      </w:r>
      <w:r>
        <w:rPr>
          <w:rFonts w:ascii="Palatino Linotype" w:eastAsia="Palatino Linotype" w:hAnsi="Palatino Linotype" w:cs="Palatino Linotype"/>
          <w:i/>
          <w:color w:val="000000"/>
        </w:rPr>
        <w:t>solicitudes de acceso a la información</w:t>
      </w:r>
      <w:r>
        <w:rPr>
          <w:rFonts w:ascii="Palatino Linotype" w:eastAsia="Palatino Linotype" w:hAnsi="Palatino Linotype" w:cs="Palatino Linotype"/>
          <w:color w:val="000000"/>
        </w:rPr>
        <w:t>.</w:t>
      </w:r>
    </w:p>
    <w:p w14:paraId="65669CF9" w14:textId="77777777" w:rsidR="001472B8" w:rsidRDefault="001472B8">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2CA0D805" w14:textId="77777777" w:rsidR="001472B8" w:rsidRDefault="00A53610">
      <w:pPr>
        <w:keepNext/>
        <w:keepLines/>
        <w:numPr>
          <w:ilvl w:val="1"/>
          <w:numId w:val="7"/>
        </w:numPr>
        <w:spacing w:line="360" w:lineRule="auto"/>
        <w:ind w:left="851"/>
        <w:jc w:val="both"/>
        <w:rPr>
          <w:rFonts w:ascii="Palatino Linotype" w:eastAsia="Palatino Linotype" w:hAnsi="Palatino Linotype" w:cs="Palatino Linotype"/>
          <w:b/>
        </w:rPr>
      </w:pPr>
      <w:bookmarkStart w:id="13" w:name="_heading=h.lnxbz9" w:colFirst="0" w:colLast="0"/>
      <w:bookmarkEnd w:id="13"/>
      <w:r>
        <w:rPr>
          <w:rFonts w:ascii="Palatino Linotype" w:eastAsia="Palatino Linotype" w:hAnsi="Palatino Linotype" w:cs="Palatino Linotype"/>
          <w:b/>
        </w:rPr>
        <w:t xml:space="preserve">Del deber de las autoridades de promover, respetar, proteger y garantizar el derecho de acceso a la información pública. </w:t>
      </w:r>
    </w:p>
    <w:p w14:paraId="318C104F"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 fundamento en el artículo 150 de la Ley de Transparencia y Acceso a la Información Pública del Estado de México y Municipios, la solicitud de información es la garantía primaria del Derecho de Acceso a la información Pública, además, establece que se regirá por los principios de simplicidad, rapidez gratuidad del procedimiento, auxilio y orientación a los particulares, contemplando el derecho de las personas con discapacidad y hablantes de lengua indígena.</w:t>
      </w:r>
    </w:p>
    <w:p w14:paraId="655A6E07"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b/>
          <w:i/>
          <w:color w:val="000000"/>
        </w:rPr>
      </w:pPr>
    </w:p>
    <w:p w14:paraId="593BFFBF"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14:paraId="6DCF303B" w14:textId="77777777" w:rsidR="001472B8" w:rsidRDefault="001472B8">
      <w:pPr>
        <w:pBdr>
          <w:top w:val="nil"/>
          <w:left w:val="nil"/>
          <w:bottom w:val="nil"/>
          <w:right w:val="nil"/>
          <w:between w:val="nil"/>
        </w:pBdr>
        <w:ind w:left="708"/>
        <w:rPr>
          <w:rFonts w:ascii="Palatino Linotype" w:eastAsia="Palatino Linotype" w:hAnsi="Palatino Linotype" w:cs="Palatino Linotype"/>
          <w:b/>
          <w:color w:val="000000"/>
        </w:rPr>
      </w:pPr>
    </w:p>
    <w:p w14:paraId="407A2C36"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de acuerdo al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14:paraId="29FEF94C" w14:textId="77777777" w:rsidR="001472B8" w:rsidRDefault="00A53610">
      <w:pPr>
        <w:pBdr>
          <w:top w:val="nil"/>
          <w:left w:val="nil"/>
          <w:bottom w:val="nil"/>
          <w:right w:val="nil"/>
          <w:between w:val="nil"/>
        </w:pBdr>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lastRenderedPageBreak/>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 </w:t>
      </w:r>
    </w:p>
    <w:p w14:paraId="35AE9EBE" w14:textId="77777777" w:rsidR="001472B8" w:rsidRDefault="00A53610">
      <w:pPr>
        <w:pBdr>
          <w:top w:val="nil"/>
          <w:left w:val="nil"/>
          <w:bottom w:val="nil"/>
          <w:right w:val="nil"/>
          <w:between w:val="nil"/>
        </w:pBdr>
        <w:ind w:left="851"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70CB977" w14:textId="77777777" w:rsidR="001472B8" w:rsidRDefault="001472B8">
      <w:pPr>
        <w:pBdr>
          <w:top w:val="nil"/>
          <w:left w:val="nil"/>
          <w:bottom w:val="nil"/>
          <w:right w:val="nil"/>
          <w:between w:val="nil"/>
        </w:pBdr>
        <w:ind w:left="851" w:right="567"/>
        <w:jc w:val="both"/>
        <w:rPr>
          <w:rFonts w:ascii="Palatino Linotype" w:eastAsia="Palatino Linotype" w:hAnsi="Palatino Linotype" w:cs="Palatino Linotype"/>
          <w:b/>
          <w:i/>
          <w:color w:val="000000"/>
          <w:sz w:val="22"/>
          <w:szCs w:val="22"/>
        </w:rPr>
      </w:pPr>
    </w:p>
    <w:p w14:paraId="0E33C6ED" w14:textId="77777777" w:rsidR="001472B8" w:rsidRDefault="00A53610">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166.</w:t>
      </w:r>
      <w:r>
        <w:rPr>
          <w:rFonts w:ascii="Palatino Linotype" w:eastAsia="Palatino Linotype" w:hAnsi="Palatino Linotype" w:cs="Palatino Linotype"/>
          <w:i/>
          <w:color w:val="000000"/>
          <w:sz w:val="22"/>
          <w:szCs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73632A84" w14:textId="77777777" w:rsidR="001472B8" w:rsidRDefault="001472B8">
      <w:pPr>
        <w:pBdr>
          <w:top w:val="nil"/>
          <w:left w:val="nil"/>
          <w:bottom w:val="nil"/>
          <w:right w:val="nil"/>
          <w:between w:val="nil"/>
        </w:pBdr>
        <w:spacing w:line="360" w:lineRule="auto"/>
        <w:ind w:left="851" w:right="567"/>
        <w:jc w:val="both"/>
        <w:rPr>
          <w:rFonts w:ascii="Palatino Linotype" w:eastAsia="Palatino Linotype" w:hAnsi="Palatino Linotype" w:cs="Palatino Linotype"/>
          <w:i/>
          <w:color w:val="000000"/>
        </w:rPr>
      </w:pPr>
    </w:p>
    <w:p w14:paraId="3E63018A"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este caso, la solicitud de información que formuló la particular como parte de su derecho de acceso a la información pública, no fue atendida, dado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fue omiso en emitir una respuesta.</w:t>
      </w:r>
    </w:p>
    <w:p w14:paraId="773EE113" w14:textId="77777777" w:rsidR="001472B8" w:rsidRDefault="001472B8">
      <w:pPr>
        <w:spacing w:line="360" w:lineRule="auto"/>
        <w:jc w:val="both"/>
        <w:rPr>
          <w:rFonts w:ascii="Palatino Linotype" w:eastAsia="Palatino Linotype" w:hAnsi="Palatino Linotype" w:cs="Palatino Linotype"/>
        </w:rPr>
      </w:pPr>
    </w:p>
    <w:p w14:paraId="424D7CDB"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tanto, en cumplimiento a las obligaciones que la Constitución Federal , la Constitución Estatal y la Ley de la materia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está constreñido a dar atención a las solicitudes de información que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o de vía directa que le sean presentadas en ejercicio del derecho humano de acceso a la información pública, lo cual, en el caso no aconteció, pues tal y como se ha acreditado de la revisión del expediente electrónico formado en el </w:t>
      </w:r>
      <w:r>
        <w:rPr>
          <w:rFonts w:ascii="Palatino Linotype" w:eastAsia="Palatino Linotype" w:hAnsi="Palatino Linotype" w:cs="Palatino Linotype"/>
          <w:b/>
          <w:color w:val="000000"/>
        </w:rPr>
        <w:t>SAIME</w:t>
      </w:r>
      <w:r>
        <w:rPr>
          <w:rFonts w:ascii="Palatino Linotype" w:eastAsia="Palatino Linotype" w:hAnsi="Palatino Linotype" w:cs="Palatino Linotype"/>
          <w:color w:val="000000"/>
        </w:rPr>
        <w:t xml:space="preserve">X,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fue omiso en dar respuesta a las solicitudes. </w:t>
      </w:r>
    </w:p>
    <w:p w14:paraId="31BBA737"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070AB1AA"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tanto, al no haber atendido ninguno de los deberes establecidos por la norma para la atención de las solicitudes de acceso a la información y al no haber respondido de ninguna manera a la solicitud, la falta de respuesta implica un incumplimiento al deber de atender las solicitudes y en consecuencia una afectación al derecho.</w:t>
      </w:r>
    </w:p>
    <w:p w14:paraId="404E8194"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1ECDD4CC"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No sobra decir que, al actuar de esta forma,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incumple con el primer mandato contenido en el párrafo tercero del artículo primero de la Constitución Política de los Estados Unidos Mexicanos que establece el deber de todas las autoridades, </w:t>
      </w:r>
      <w:r>
        <w:rPr>
          <w:rFonts w:ascii="Palatino Linotype" w:eastAsia="Palatino Linotype" w:hAnsi="Palatino Linotype" w:cs="Palatino Linotype"/>
          <w:i/>
          <w:color w:val="000000"/>
        </w:rPr>
        <w:t xml:space="preserve">en el ámbito de sus atribuciones, </w:t>
      </w:r>
      <w:r>
        <w:rPr>
          <w:rFonts w:ascii="Palatino Linotype" w:eastAsia="Palatino Linotype" w:hAnsi="Palatino Linotype" w:cs="Palatino Linotype"/>
          <w:b/>
          <w:i/>
          <w:color w:val="000000"/>
        </w:rPr>
        <w:t>de promover</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respetar, proteger y</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garantizar</w:t>
      </w:r>
      <w:r>
        <w:rPr>
          <w:rFonts w:ascii="Palatino Linotype" w:eastAsia="Palatino Linotype" w:hAnsi="Palatino Linotype" w:cs="Palatino Linotype"/>
          <w:i/>
          <w:color w:val="000000"/>
        </w:rPr>
        <w:t xml:space="preserve"> los derechos humanos.</w:t>
      </w:r>
      <w:r>
        <w:rPr>
          <w:rFonts w:ascii="Palatino Linotype" w:eastAsia="Palatino Linotype" w:hAnsi="Palatino Linotype" w:cs="Palatino Linotype"/>
          <w:color w:val="000000"/>
        </w:rPr>
        <w:t xml:space="preserve"> Por lo tanto, la falta de respuesta a una solicitud de acceso a la información constituye un incumplimiento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su deber de garantizar el derecho, lo que constituye una vulneración al mismo y resulta. </w:t>
      </w:r>
    </w:p>
    <w:p w14:paraId="59695B44"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39DF32A5"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su vez, la </w:t>
      </w:r>
      <w:r>
        <w:rPr>
          <w:rFonts w:ascii="Palatino Linotype" w:eastAsia="Palatino Linotype" w:hAnsi="Palatino Linotype" w:cs="Palatino Linotype"/>
          <w:b/>
          <w:color w:val="000000"/>
        </w:rPr>
        <w:t xml:space="preserve">Ley de Transparencia y Acceso a la Información Pública del Estado de </w:t>
      </w:r>
      <w:r>
        <w:rPr>
          <w:rFonts w:ascii="Palatino Linotype" w:eastAsia="Palatino Linotype" w:hAnsi="Palatino Linotype" w:cs="Palatino Linotype"/>
          <w:color w:val="000000"/>
        </w:rPr>
        <w:t>México</w:t>
      </w:r>
      <w:r>
        <w:rPr>
          <w:rFonts w:ascii="Palatino Linotype" w:eastAsia="Palatino Linotype" w:hAnsi="Palatino Linotype" w:cs="Palatino Linotype"/>
          <w:b/>
          <w:color w:val="000000"/>
        </w:rPr>
        <w:t xml:space="preserve"> y Municipios, </w:t>
      </w:r>
      <w:r>
        <w:rPr>
          <w:rFonts w:ascii="Palatino Linotype" w:eastAsia="Palatino Linotype" w:hAnsi="Palatino Linotype" w:cs="Palatino Linotype"/>
          <w:color w:val="000000"/>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establece que </w:t>
      </w:r>
      <w:r>
        <w:rPr>
          <w:rFonts w:ascii="Palatino Linotype" w:eastAsia="Palatino Linotype" w:hAnsi="Palatino Linotype" w:cs="Palatino Linotype"/>
          <w:b/>
          <w:i/>
          <w:color w:val="000000"/>
          <w:u w:val="single"/>
        </w:rPr>
        <w:t>el recurso de revisión es la garantía secundaria</w:t>
      </w:r>
      <w:r>
        <w:rPr>
          <w:rFonts w:ascii="Palatino Linotype" w:eastAsia="Palatino Linotype" w:hAnsi="Palatino Linotype" w:cs="Palatino Linotype"/>
          <w:b/>
          <w:i/>
          <w:color w:val="000000"/>
        </w:rPr>
        <w:t xml:space="preserve"> mediante la cual se pretende reparar cualquier posible afectación al derecho de acceso a la información pública</w:t>
      </w:r>
      <w:r>
        <w:rPr>
          <w:rFonts w:ascii="Palatino Linotype" w:eastAsia="Palatino Linotype" w:hAnsi="Palatino Linotype" w:cs="Palatino Linotype"/>
          <w:b/>
          <w:color w:val="000000"/>
        </w:rPr>
        <w:t>, s</w:t>
      </w:r>
      <w:r>
        <w:rPr>
          <w:rFonts w:ascii="Palatino Linotype" w:eastAsia="Palatino Linotype" w:hAnsi="Palatino Linotype" w:cs="Palatino Linotype"/>
          <w:color w:val="000000"/>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2A6AFD8" w14:textId="77777777" w:rsidR="001472B8" w:rsidRDefault="001472B8">
      <w:pPr>
        <w:spacing w:line="360" w:lineRule="auto"/>
        <w:jc w:val="both"/>
        <w:rPr>
          <w:rFonts w:ascii="Palatino Linotype" w:eastAsia="Palatino Linotype" w:hAnsi="Palatino Linotype" w:cs="Palatino Linotype"/>
        </w:rPr>
      </w:pPr>
    </w:p>
    <w:p w14:paraId="0FB4CB63"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acuerdo a lo dispuesto por el artículo 53 fracción II de la Ley de la materia, las unidades de transparencia tienen entre sus principales funciones la de recibir, tramitar y dar respuesta a las solicitudes de accesos a la información: </w:t>
      </w:r>
    </w:p>
    <w:p w14:paraId="25EB473E"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Unidades de Transparencia tendrán las siguientes funciones:</w:t>
      </w:r>
    </w:p>
    <w:p w14:paraId="4E18EACB"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CF43C59"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III. Auxiliar a los particulares en la elaboración de solicitudes de acceso a la información y, en su caso, orientarlos sobre los sujetos obligados competentes conforme a la normatividad aplicable;</w:t>
      </w:r>
    </w:p>
    <w:p w14:paraId="30BBEA90"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3422740D" w14:textId="77777777" w:rsidR="001472B8" w:rsidRDefault="00A53610">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28CAD31E" w14:textId="77777777" w:rsidR="001472B8" w:rsidRDefault="001472B8">
      <w:pPr>
        <w:spacing w:line="360" w:lineRule="auto"/>
        <w:jc w:val="both"/>
        <w:rPr>
          <w:rFonts w:ascii="Palatino Linotype" w:eastAsia="Palatino Linotype" w:hAnsi="Palatino Linotype" w:cs="Palatino Linotype"/>
        </w:rPr>
      </w:pPr>
    </w:p>
    <w:p w14:paraId="0811E8D0"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Establecido lo anterior, resulta evidente que las razones o motivos de inconformidad hechos valer en el recurso de revisión resultan </w:t>
      </w:r>
      <w:r>
        <w:rPr>
          <w:rFonts w:ascii="Palatino Linotype" w:eastAsia="Palatino Linotype" w:hAnsi="Palatino Linotype" w:cs="Palatino Linotype"/>
          <w:b/>
          <w:color w:val="000000"/>
        </w:rPr>
        <w:t>fundadas y procedentes</w:t>
      </w:r>
      <w:r>
        <w:rPr>
          <w:rFonts w:ascii="Palatino Linotype" w:eastAsia="Palatino Linotype" w:hAnsi="Palatino Linotype" w:cs="Palatino Linotype"/>
          <w:color w:val="000000"/>
        </w:rPr>
        <w:t xml:space="preserve">, debido 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fue omiso en responder la solicitud de información en cuestión; es decir, no proporcionó respuesta alguna, negando así el acceso a cualquier tipo de información sin ofrecer mayores explicaciones, es decir, no fundó ni motivó su omisión, su falta de actuación en relación a sus obligaciones de garantizar el acceso a la información pública. </w:t>
      </w:r>
    </w:p>
    <w:p w14:paraId="321D2EE8" w14:textId="77777777" w:rsidR="001472B8" w:rsidRDefault="001472B8">
      <w:pPr>
        <w:spacing w:line="360" w:lineRule="auto"/>
        <w:rPr>
          <w:rFonts w:ascii="Palatino Linotype" w:eastAsia="Palatino Linotype" w:hAnsi="Palatino Linotype" w:cs="Palatino Linotype"/>
        </w:rPr>
      </w:pPr>
    </w:p>
    <w:p w14:paraId="249D4EBA"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cumple con su alto deber de repararlo ordenando, en consecuencia,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responda a la solicitud de acceso a la información pública. </w:t>
      </w:r>
    </w:p>
    <w:p w14:paraId="41E2043F"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16C9B417" w14:textId="77777777" w:rsidR="001472B8" w:rsidRDefault="00A53610">
      <w:pPr>
        <w:keepNext/>
        <w:keepLines/>
        <w:numPr>
          <w:ilvl w:val="0"/>
          <w:numId w:val="2"/>
        </w:numPr>
        <w:spacing w:line="360" w:lineRule="auto"/>
        <w:ind w:left="0" w:firstLine="0"/>
        <w:rPr>
          <w:rFonts w:ascii="Palatino Linotype" w:eastAsia="Palatino Linotype" w:hAnsi="Palatino Linotype" w:cs="Palatino Linotype"/>
          <w:b/>
        </w:rPr>
      </w:pPr>
      <w:bookmarkStart w:id="14" w:name="_heading=h.35nkun2" w:colFirst="0" w:colLast="0"/>
      <w:bookmarkEnd w:id="14"/>
      <w:r>
        <w:rPr>
          <w:rFonts w:ascii="Palatino Linotype" w:eastAsia="Palatino Linotype" w:hAnsi="Palatino Linotype" w:cs="Palatino Linotype"/>
          <w:b/>
        </w:rPr>
        <w:t>Sobre la respuesta que se emita a la solicitud.</w:t>
      </w:r>
    </w:p>
    <w:p w14:paraId="530E899B"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cumplimiento a esta resolución,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dar atención a la solicitud de información, sin que sea materia de este recurso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analizar 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prejuzgar si </w:t>
      </w:r>
      <w:r>
        <w:rPr>
          <w:rFonts w:ascii="Palatino Linotype" w:eastAsia="Palatino Linotype" w:hAnsi="Palatino Linotype" w:cs="Palatino Linotype"/>
          <w:color w:val="000000"/>
        </w:rPr>
        <w:lastRenderedPageBreak/>
        <w:t>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6FC1E270" w14:textId="77777777" w:rsidR="001472B8" w:rsidRDefault="001472B8">
      <w:pPr>
        <w:spacing w:line="360" w:lineRule="auto"/>
        <w:ind w:right="49"/>
        <w:jc w:val="both"/>
        <w:rPr>
          <w:rFonts w:ascii="Palatino Linotype" w:eastAsia="Palatino Linotype" w:hAnsi="Palatino Linotype" w:cs="Palatino Linotype"/>
          <w:b/>
        </w:rPr>
      </w:pPr>
    </w:p>
    <w:p w14:paraId="7C18C870"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este caso,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de sustanciar todo el procedimiento de acceso a la información pública verificando si la información que le ha sido requerida corresponde al ejercicio de sus facultades, competencias o funciones.</w:t>
      </w:r>
    </w:p>
    <w:p w14:paraId="5DCE644D" w14:textId="77777777" w:rsidR="001472B8" w:rsidRDefault="001472B8">
      <w:pPr>
        <w:spacing w:line="360" w:lineRule="auto"/>
        <w:ind w:right="49"/>
        <w:jc w:val="both"/>
        <w:rPr>
          <w:rFonts w:ascii="Palatino Linotype" w:eastAsia="Palatino Linotype" w:hAnsi="Palatino Linotype" w:cs="Palatino Linotype"/>
          <w:b/>
        </w:rPr>
      </w:pPr>
    </w:p>
    <w:p w14:paraId="51EAC24D"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 dentro de las facultades, atribuciones y competencias no se encuentra  la de poseer la información requerida, deberá hacerlo del conocimiento de la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362CE621"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rPr>
      </w:pPr>
    </w:p>
    <w:p w14:paraId="738557E0"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está por demás señalar que la obligación constitucional de documentar todo acto que derive del ejercicio de las facultades, competencias o funciones de los Sujetos Obligados, encuentra expresión legal en los artículos 19 de la Ley General de </w:t>
      </w:r>
      <w:r>
        <w:rPr>
          <w:rFonts w:ascii="Palatino Linotype" w:eastAsia="Palatino Linotype" w:hAnsi="Palatino Linotype" w:cs="Palatino Linotype"/>
          <w:color w:val="000000"/>
        </w:rPr>
        <w:lastRenderedPageBreak/>
        <w:t>Transparencia y de la Ley de Transparencia y Acceso a la Información Pública del Estado de México y Municipios.</w:t>
      </w:r>
    </w:p>
    <w:p w14:paraId="5D892F0C"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72DED72B"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sí forma parte del marco normativo aplicable.</w:t>
      </w:r>
    </w:p>
    <w:p w14:paraId="69F17777"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6F811154"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importante también señalar que, la respuesta que dará en cumplimiento a la presente resolución, </w:t>
      </w:r>
      <w:r>
        <w:rPr>
          <w:rFonts w:ascii="Palatino Linotype" w:eastAsia="Palatino Linotype" w:hAnsi="Palatino Linotype" w:cs="Palatino Linotype"/>
          <w:b/>
          <w:color w:val="000000"/>
        </w:rPr>
        <w:t>deberá ajustarse a lo dispuesto a los criterios y precedentes que este Órgano Garante ha resuelto y aprobado;</w:t>
      </w:r>
      <w:r>
        <w:rPr>
          <w:rFonts w:ascii="Palatino Linotype" w:eastAsia="Palatino Linotype" w:hAnsi="Palatino Linotype" w:cs="Palatino Linotype"/>
          <w:color w:val="000000"/>
        </w:rPr>
        <w:t xml:space="preserve"> es decir, por lo que constituye una alta responsabilidad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proporcionar la información que atienda la presente, ajustándose a la normatividad establecida y a los distintos asuntos de los cuales este órgano colegiado ha conocido. </w:t>
      </w:r>
    </w:p>
    <w:p w14:paraId="4582C272" w14:textId="77777777" w:rsidR="001472B8" w:rsidRDefault="001472B8">
      <w:pPr>
        <w:spacing w:line="360" w:lineRule="auto"/>
        <w:rPr>
          <w:rFonts w:ascii="Palatino Linotype" w:eastAsia="Palatino Linotype" w:hAnsi="Palatino Linotype" w:cs="Palatino Linotype"/>
        </w:rPr>
      </w:pPr>
    </w:p>
    <w:p w14:paraId="446A5DDD"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lo que tratándose del tema o temas que se requieran en las solicitudes,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en todo momento ajustarse además de la normatividad aplicable a los asuntos, a las resoluciones aprobadas.</w:t>
      </w:r>
    </w:p>
    <w:p w14:paraId="3F9FC7F1"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6FC64E87"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consecuencia, para responder a la solicitud de acceso a la información en cuestión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áreas competentes que cuenten o deban tener la información, con objeto de que realicen una búsqueda exhaustiva y razonable de la información solicitada.</w:t>
      </w:r>
    </w:p>
    <w:p w14:paraId="25BF730D" w14:textId="77777777" w:rsidR="001472B8" w:rsidRDefault="001472B8">
      <w:pPr>
        <w:spacing w:line="360" w:lineRule="auto"/>
        <w:jc w:val="both"/>
        <w:rPr>
          <w:rFonts w:ascii="Palatino Linotype" w:eastAsia="Palatino Linotype" w:hAnsi="Palatino Linotype" w:cs="Palatino Linotype"/>
        </w:rPr>
      </w:pPr>
    </w:p>
    <w:p w14:paraId="3CAD83AD"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Una vez que la información sea localizada, los servidores públicos habilitados deberán de valorar si se entrega en su totalidad, en versión pública o si es susceptible de clasificarse, según lo que se describe en la sección siguiente.</w:t>
      </w:r>
    </w:p>
    <w:p w14:paraId="67A16866"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362F081E"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obstante, también debe considerarse que aun cuando la información requerida corresponda a alguna función, facultad o competencia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es posible que esta información no se localice, bien porque no se haya generado o porque no se encuentre disponible, en el momento de su búsqueda.</w:t>
      </w:r>
    </w:p>
    <w:p w14:paraId="4557326D" w14:textId="77777777" w:rsidR="001472B8" w:rsidRDefault="001472B8">
      <w:pPr>
        <w:spacing w:line="360" w:lineRule="auto"/>
        <w:rPr>
          <w:rFonts w:ascii="Palatino Linotype" w:eastAsia="Palatino Linotype" w:hAnsi="Palatino Linotype" w:cs="Palatino Linotype"/>
        </w:rPr>
      </w:pPr>
    </w:p>
    <w:p w14:paraId="3D365D09"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w:t>
      </w:r>
    </w:p>
    <w:p w14:paraId="699BE926" w14:textId="77777777" w:rsidR="001472B8" w:rsidRDefault="00A53610">
      <w:pPr>
        <w:tabs>
          <w:tab w:val="left" w:pos="8080"/>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19.</w:t>
      </w:r>
      <w:r>
        <w:rPr>
          <w:rFonts w:ascii="Palatino Linotype" w:eastAsia="Palatino Linotype" w:hAnsi="Palatino Linotype" w:cs="Palatino Linotype"/>
          <w:i/>
          <w:sz w:val="22"/>
          <w:szCs w:val="22"/>
        </w:rPr>
        <w:t xml:space="preserve"> Se presume que la información debe existir si se refiere a las facultades, competencias y funciones que los ordenamientos jurídicos aplicables otorgan a los sujetos obligados.</w:t>
      </w:r>
    </w:p>
    <w:p w14:paraId="1D4C5091" w14:textId="77777777" w:rsidR="001472B8" w:rsidRDefault="001472B8">
      <w:pPr>
        <w:tabs>
          <w:tab w:val="left" w:pos="8080"/>
        </w:tabs>
        <w:ind w:left="567" w:right="567"/>
        <w:jc w:val="both"/>
        <w:rPr>
          <w:rFonts w:ascii="Palatino Linotype" w:eastAsia="Palatino Linotype" w:hAnsi="Palatino Linotype" w:cs="Palatino Linotype"/>
          <w:i/>
          <w:sz w:val="22"/>
          <w:szCs w:val="22"/>
        </w:rPr>
      </w:pPr>
    </w:p>
    <w:p w14:paraId="13BB8486" w14:textId="77777777" w:rsidR="001472B8" w:rsidRDefault="00A53610">
      <w:pPr>
        <w:tabs>
          <w:tab w:val="left" w:pos="8080"/>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En los casos en que ciertas facultades, competencias o funciones no se hayan ejercido, se debe motivar la respuesta en función de las causas que motiven tal circunstancia. </w:t>
      </w:r>
    </w:p>
    <w:p w14:paraId="1BD7C4DA" w14:textId="77777777" w:rsidR="001472B8" w:rsidRDefault="001472B8">
      <w:pPr>
        <w:tabs>
          <w:tab w:val="left" w:pos="8080"/>
        </w:tabs>
        <w:ind w:left="567" w:right="567"/>
        <w:jc w:val="both"/>
        <w:rPr>
          <w:rFonts w:ascii="Palatino Linotype" w:eastAsia="Palatino Linotype" w:hAnsi="Palatino Linotype" w:cs="Palatino Linotype"/>
          <w:i/>
          <w:sz w:val="22"/>
          <w:szCs w:val="22"/>
        </w:rPr>
      </w:pPr>
    </w:p>
    <w:p w14:paraId="3FA78D34" w14:textId="77777777" w:rsidR="001472B8" w:rsidRDefault="00A53610">
      <w:pPr>
        <w:tabs>
          <w:tab w:val="left" w:pos="8080"/>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9E0CB9A" w14:textId="77777777" w:rsidR="001472B8" w:rsidRDefault="00A53610">
      <w:pPr>
        <w:tabs>
          <w:tab w:val="left" w:pos="8080"/>
        </w:tabs>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5FEF7FE7" w14:textId="77777777" w:rsidR="001472B8" w:rsidRDefault="001472B8">
      <w:pPr>
        <w:tabs>
          <w:tab w:val="left" w:pos="8080"/>
        </w:tabs>
        <w:ind w:left="567" w:right="567"/>
        <w:jc w:val="both"/>
        <w:rPr>
          <w:rFonts w:ascii="Palatino Linotype" w:eastAsia="Palatino Linotype" w:hAnsi="Palatino Linotype" w:cs="Palatino Linotype"/>
        </w:rPr>
      </w:pPr>
    </w:p>
    <w:p w14:paraId="020A9A29"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primer supuesto, que corresponde a lo señalado en su segundo párrafo, alude a actos no realizados y contemplados en alguna hipótesis jurídica: </w:t>
      </w:r>
    </w:p>
    <w:p w14:paraId="6BC8D72E" w14:textId="77777777" w:rsidR="001472B8" w:rsidRDefault="00A53610">
      <w:pPr>
        <w:numPr>
          <w:ilvl w:val="0"/>
          <w:numId w:val="3"/>
        </w:numPr>
        <w:spacing w:line="360" w:lineRule="auto"/>
        <w:ind w:right="70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Cuya realización dependa de que un tercero demande la emisión de un acto de autoridad, la expedición de una licencia, por ejemplo; </w:t>
      </w:r>
    </w:p>
    <w:p w14:paraId="12F3FA13" w14:textId="77777777" w:rsidR="001472B8" w:rsidRDefault="00A53610">
      <w:pPr>
        <w:numPr>
          <w:ilvl w:val="0"/>
          <w:numId w:val="3"/>
        </w:numPr>
        <w:spacing w:line="360" w:lineRule="auto"/>
        <w:ind w:right="70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un acontecimiento de realización probable, la Cuenta Pública correspondiente a un ejercicio fiscal en curso; o</w:t>
      </w:r>
    </w:p>
    <w:p w14:paraId="34CD66C5" w14:textId="77777777" w:rsidR="001472B8" w:rsidRDefault="00A53610">
      <w:pPr>
        <w:numPr>
          <w:ilvl w:val="0"/>
          <w:numId w:val="3"/>
        </w:numPr>
        <w:spacing w:line="360" w:lineRule="auto"/>
        <w:ind w:right="70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Una facultad potestativa, la firma de convenios de colaboración.</w:t>
      </w:r>
    </w:p>
    <w:p w14:paraId="46EC726D" w14:textId="77777777" w:rsidR="001472B8" w:rsidRDefault="001472B8">
      <w:pPr>
        <w:spacing w:line="360" w:lineRule="auto"/>
        <w:ind w:right="709"/>
        <w:jc w:val="both"/>
        <w:rPr>
          <w:rFonts w:ascii="Palatino Linotype" w:eastAsia="Palatino Linotype" w:hAnsi="Palatino Linotype" w:cs="Palatino Linotype"/>
        </w:rPr>
      </w:pPr>
    </w:p>
    <w:p w14:paraId="77EE97C9"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En estos casos,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al emitir su respuesta o cumplir con una resolución emitida por este Órgano Garante, deberá manifestar, de manera precisa </w:t>
      </w:r>
      <w:r>
        <w:rPr>
          <w:rFonts w:ascii="Palatino Linotype" w:eastAsia="Palatino Linotype" w:hAnsi="Palatino Linotype" w:cs="Palatino Linotype"/>
          <w:color w:val="000000"/>
        </w:rPr>
        <w:lastRenderedPageBreak/>
        <w:t>y clara, las razones que expliquen las causas por las que no se ha realizado el acto de autoridad y, en consecuencia, no se ha documentado decisión alguna.</w:t>
      </w:r>
    </w:p>
    <w:p w14:paraId="1741F235" w14:textId="77777777" w:rsidR="001472B8" w:rsidRDefault="001472B8">
      <w:pPr>
        <w:spacing w:line="360" w:lineRule="auto"/>
        <w:jc w:val="both"/>
        <w:rPr>
          <w:rFonts w:ascii="Palatino Linotype" w:eastAsia="Palatino Linotype" w:hAnsi="Palatino Linotype" w:cs="Palatino Linotype"/>
        </w:rPr>
      </w:pPr>
    </w:p>
    <w:p w14:paraId="57F59C37"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segundo supuesto, que corresponde a lo señalado en su último párrafo del artículo antes referido, alude a: </w:t>
      </w:r>
    </w:p>
    <w:p w14:paraId="0476D655" w14:textId="77777777" w:rsidR="001472B8" w:rsidRDefault="00A53610">
      <w:pPr>
        <w:tabs>
          <w:tab w:val="left" w:pos="7655"/>
        </w:tabs>
        <w:spacing w:line="360" w:lineRule="auto"/>
        <w:ind w:left="851" w:right="709"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Actos realizados sobre los cuales: </w:t>
      </w:r>
    </w:p>
    <w:p w14:paraId="5E092104" w14:textId="77777777" w:rsidR="001472B8" w:rsidRDefault="00A53610">
      <w:pPr>
        <w:numPr>
          <w:ilvl w:val="0"/>
          <w:numId w:val="4"/>
        </w:numPr>
        <w:tabs>
          <w:tab w:val="left" w:pos="7655"/>
        </w:tabs>
        <w:spacing w:line="360" w:lineRule="auto"/>
        <w:ind w:left="851" w:right="709"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se generó, poseyó o administró el documento que registre la información solicitada; </w:t>
      </w:r>
    </w:p>
    <w:p w14:paraId="1F4481C1" w14:textId="77777777" w:rsidR="001472B8" w:rsidRDefault="00A53610">
      <w:pPr>
        <w:tabs>
          <w:tab w:val="left" w:pos="7655"/>
        </w:tabs>
        <w:spacing w:line="360" w:lineRule="auto"/>
        <w:ind w:left="851" w:right="709"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 Habiendo sido generada, poseída o administrada, no se cuenta con la información solicitada.</w:t>
      </w:r>
    </w:p>
    <w:p w14:paraId="223280CA" w14:textId="77777777" w:rsidR="001472B8" w:rsidRDefault="001472B8">
      <w:pPr>
        <w:tabs>
          <w:tab w:val="left" w:pos="7655"/>
        </w:tabs>
        <w:spacing w:line="360" w:lineRule="auto"/>
        <w:ind w:left="851" w:right="709" w:hanging="284"/>
        <w:jc w:val="both"/>
        <w:rPr>
          <w:rFonts w:ascii="Palatino Linotype" w:eastAsia="Palatino Linotype" w:hAnsi="Palatino Linotype" w:cs="Palatino Linotype"/>
          <w:sz w:val="22"/>
          <w:szCs w:val="22"/>
        </w:rPr>
      </w:pPr>
    </w:p>
    <w:p w14:paraId="0683774A" w14:textId="77777777" w:rsidR="001472B8" w:rsidRDefault="00A53610">
      <w:pPr>
        <w:tabs>
          <w:tab w:val="left" w:pos="7655"/>
        </w:tabs>
        <w:spacing w:line="360" w:lineRule="auto"/>
        <w:ind w:left="851" w:right="567"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 El sujeto obligado fue omiso en el ejercicio de una facultad, competencia o atribución inexcusable.</w:t>
      </w:r>
    </w:p>
    <w:p w14:paraId="7C84044E" w14:textId="77777777" w:rsidR="001472B8" w:rsidRDefault="001472B8">
      <w:pPr>
        <w:tabs>
          <w:tab w:val="left" w:pos="7655"/>
        </w:tabs>
        <w:spacing w:line="360" w:lineRule="auto"/>
        <w:ind w:left="851" w:right="567" w:hanging="284"/>
        <w:jc w:val="both"/>
        <w:rPr>
          <w:rFonts w:ascii="Palatino Linotype" w:eastAsia="Palatino Linotype" w:hAnsi="Palatino Linotype" w:cs="Palatino Linotype"/>
        </w:rPr>
      </w:pPr>
    </w:p>
    <w:p w14:paraId="6FA62DE7"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553BE3A3"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rPr>
      </w:pPr>
    </w:p>
    <w:p w14:paraId="7598D3A1"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cualquiera de los casos, imperativamente,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clasificándose en su totalidad por los supuestos que se señalan en la sección siguiente </w:t>
      </w:r>
      <w:r>
        <w:rPr>
          <w:rFonts w:ascii="Palatino Linotype" w:eastAsia="Palatino Linotype" w:hAnsi="Palatino Linotype" w:cs="Palatino Linotype"/>
          <w:color w:val="000000"/>
        </w:rPr>
        <w:lastRenderedPageBreak/>
        <w:t xml:space="preserve">o, en su defecto, </w:t>
      </w:r>
      <w:r>
        <w:rPr>
          <w:rFonts w:ascii="Palatino Linotype" w:eastAsia="Palatino Linotype" w:hAnsi="Palatino Linotype" w:cs="Palatino Linotype"/>
          <w:b/>
          <w:color w:val="000000"/>
        </w:rPr>
        <w:t>de no localizar la información que debía tener, procediendo según lo refieren los párrafos segundo o tercero del artículo 19 de la Ley de Transparencia y Acceso a la Información Pública</w:t>
      </w:r>
      <w:r>
        <w:rPr>
          <w:rFonts w:ascii="Palatino Linotype" w:eastAsia="Palatino Linotype" w:hAnsi="Palatino Linotype" w:cs="Palatino Linotype"/>
          <w:color w:val="000000"/>
        </w:rPr>
        <w:t>, pero emitiendo una respuesta.</w:t>
      </w:r>
    </w:p>
    <w:p w14:paraId="02FBCB84"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10BB3C88" w14:textId="77777777" w:rsidR="001472B8" w:rsidRDefault="00A53610">
      <w:pPr>
        <w:keepNext/>
        <w:keepLines/>
        <w:spacing w:line="360" w:lineRule="auto"/>
        <w:rPr>
          <w:rFonts w:ascii="Palatino Linotype" w:eastAsia="Palatino Linotype" w:hAnsi="Palatino Linotype" w:cs="Palatino Linotype"/>
          <w:b/>
        </w:rPr>
      </w:pPr>
      <w:bookmarkStart w:id="15" w:name="_heading=h.1ksv4uv" w:colFirst="0" w:colLast="0"/>
      <w:bookmarkEnd w:id="15"/>
      <w:r>
        <w:rPr>
          <w:rFonts w:ascii="Palatino Linotype" w:eastAsia="Palatino Linotype" w:hAnsi="Palatino Linotype" w:cs="Palatino Linotype"/>
          <w:b/>
        </w:rPr>
        <w:t>IV. Análisis al que debe someterse la información antes de su entrega.</w:t>
      </w:r>
    </w:p>
    <w:p w14:paraId="7A0DDC03"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00BE4F30"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FF08DBA"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6A79CF44"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E115FF8"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w:t>
      </w:r>
      <w:r>
        <w:rPr>
          <w:rFonts w:ascii="Palatino Linotype" w:eastAsia="Palatino Linotype" w:hAnsi="Palatino Linotype" w:cs="Palatino Linotype"/>
          <w:i/>
          <w:sz w:val="22"/>
          <w:szCs w:val="22"/>
        </w:rPr>
        <w:lastRenderedPageBreak/>
        <w:t>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B9BA3C7"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CE6FEB4"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4C6316E" w14:textId="77777777" w:rsidR="001472B8" w:rsidRDefault="001472B8">
      <w:pPr>
        <w:ind w:left="567" w:right="618"/>
        <w:jc w:val="both"/>
        <w:rPr>
          <w:rFonts w:ascii="Palatino Linotype" w:eastAsia="Palatino Linotype" w:hAnsi="Palatino Linotype" w:cs="Palatino Linotype"/>
          <w:i/>
          <w:sz w:val="22"/>
          <w:szCs w:val="22"/>
        </w:rPr>
      </w:pPr>
    </w:p>
    <w:p w14:paraId="0263347D"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122.</w:t>
      </w:r>
      <w:r>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Pr>
          <w:rFonts w:ascii="Palatino Linotype" w:eastAsia="Palatino Linotype" w:hAnsi="Palatino Linotype" w:cs="Palatino Linotype"/>
          <w:i/>
          <w:sz w:val="22"/>
          <w:szCs w:val="22"/>
        </w:rPr>
        <w:t>actualiza</w:t>
      </w:r>
      <w:proofErr w:type="spellEnd"/>
      <w:r>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32E145A0"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0738D709"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2A9E1876"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E1D3672" w14:textId="77777777" w:rsidR="001472B8" w:rsidRDefault="001472B8">
      <w:pPr>
        <w:ind w:left="567" w:right="618"/>
        <w:jc w:val="both"/>
        <w:rPr>
          <w:rFonts w:ascii="Palatino Linotype" w:eastAsia="Palatino Linotype" w:hAnsi="Palatino Linotype" w:cs="Palatino Linotype"/>
          <w:i/>
          <w:sz w:val="22"/>
          <w:szCs w:val="22"/>
        </w:rPr>
      </w:pPr>
    </w:p>
    <w:p w14:paraId="11BE6326"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140.</w:t>
      </w:r>
      <w:r>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w:t>
      </w:r>
    </w:p>
    <w:p w14:paraId="4FEE50F7"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Comprometa la seguridad pública y cuente con un propósito genuino y un efecto demostrable;</w:t>
      </w:r>
    </w:p>
    <w:p w14:paraId="04A4FB5C"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Pueda menoscabar la conducción de las negociaciones y relaciones internacionales;</w:t>
      </w:r>
    </w:p>
    <w:p w14:paraId="484BB3EA"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B41FA64"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Ponga en riesgo la vida, la seguridad o la salud de una persona física;</w:t>
      </w:r>
    </w:p>
    <w:p w14:paraId="4D2F94C3"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Aquella cuya divulgación obstruya o pueda causar un serio perjuicio a:</w:t>
      </w:r>
    </w:p>
    <w:p w14:paraId="356ACCCA"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Las actividades de fiscalización, verificación, inspección, comprobación y auditoría sobre el cumplimiento de las Leyes; o</w:t>
      </w:r>
    </w:p>
    <w:p w14:paraId="5D3F33F4"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La recaudación de las contribuciones.</w:t>
      </w:r>
    </w:p>
    <w:p w14:paraId="5CB8F7EC"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w:t>
      </w:r>
      <w:r>
        <w:rPr>
          <w:rFonts w:ascii="Palatino Linotype" w:eastAsia="Palatino Linotype" w:hAnsi="Palatino Linotype" w:cs="Palatino Linotype"/>
          <w:i/>
          <w:sz w:val="22"/>
          <w:szCs w:val="22"/>
        </w:rPr>
        <w:lastRenderedPageBreak/>
        <w:t>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F0C023C"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que contengan las opiniones, recomendaciones o puntos de vista que formen parte del proceso deliberativo de los servidores públicos, hasta en tanto sea adoptada la decisión definitiva, la cual deberá estar documentada;</w:t>
      </w:r>
    </w:p>
    <w:p w14:paraId="4ABE880B"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Vulnere la conducción de los expedientes judiciales o de los procedimientos administrativos seguidos en forma de juicio, en tanto no hayan quedado firmes;</w:t>
      </w:r>
    </w:p>
    <w:p w14:paraId="0A75FC72"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IX. Se encuentre contenida dentro de las investigaciones de hechos que la Ley señale como delitos y se tramiten ante el Ministerio Público;</w:t>
      </w:r>
    </w:p>
    <w:p w14:paraId="6B624AD9"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4DE51D5"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4FF61A8A" w14:textId="77777777" w:rsidR="001472B8" w:rsidRDefault="00A53610">
      <w:pPr>
        <w:ind w:left="567"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 Las que por disposición expresa de una ley tengan tal carácter, siempre que sean acordes con las bases, principios y disposiciones establecidos en esta Ley y no la contravengan; así como las previstas en tratados internacionales.”</w:t>
      </w:r>
    </w:p>
    <w:p w14:paraId="2F6508E2" w14:textId="77777777" w:rsidR="001472B8" w:rsidRDefault="001472B8">
      <w:pPr>
        <w:ind w:left="567" w:right="618"/>
        <w:jc w:val="both"/>
        <w:rPr>
          <w:rFonts w:ascii="Palatino Linotype" w:eastAsia="Palatino Linotype" w:hAnsi="Palatino Linotype" w:cs="Palatino Linotype"/>
          <w:i/>
          <w:sz w:val="22"/>
          <w:szCs w:val="22"/>
        </w:rPr>
      </w:pPr>
    </w:p>
    <w:p w14:paraId="52129D64" w14:textId="77777777" w:rsidR="001472B8" w:rsidRDefault="00A53610">
      <w:pPr>
        <w:ind w:left="567" w:right="618"/>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141.</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Las causales de reserva previstas en este Capítulo se deberán fundar y motivar, a través de la aplicación de la prueba de daño a la que se hace referencia en el presente Título.”</w:t>
      </w:r>
    </w:p>
    <w:p w14:paraId="2F2CF69F" w14:textId="77777777" w:rsidR="001472B8" w:rsidRDefault="00A53610">
      <w:pPr>
        <w:ind w:left="567" w:right="61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(Énfasis añadido) </w:t>
      </w:r>
    </w:p>
    <w:p w14:paraId="6AFDFDD0" w14:textId="77777777" w:rsidR="001472B8" w:rsidRDefault="001472B8">
      <w:pPr>
        <w:spacing w:line="360" w:lineRule="auto"/>
        <w:ind w:right="50" w:firstLine="1418"/>
        <w:jc w:val="both"/>
        <w:rPr>
          <w:rFonts w:ascii="Palatino Linotype" w:eastAsia="Palatino Linotype" w:hAnsi="Palatino Linotype" w:cs="Palatino Linotype"/>
        </w:rPr>
      </w:pPr>
    </w:p>
    <w:p w14:paraId="2CFEFC6A"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4D263F0E"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4F4DE00A"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rPr>
      </w:pPr>
    </w:p>
    <w:p w14:paraId="7998C54F"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74D65431" w14:textId="77777777" w:rsidR="001472B8" w:rsidRDefault="001472B8">
      <w:pPr>
        <w:spacing w:line="360" w:lineRule="auto"/>
        <w:ind w:right="49"/>
        <w:jc w:val="both"/>
        <w:rPr>
          <w:rFonts w:ascii="Palatino Linotype" w:eastAsia="Palatino Linotype" w:hAnsi="Palatino Linotype" w:cs="Palatino Linotype"/>
        </w:rPr>
      </w:pPr>
    </w:p>
    <w:p w14:paraId="5D68DC9A"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1AE3E314" w14:textId="77777777" w:rsidR="001472B8" w:rsidRDefault="001472B8">
      <w:pPr>
        <w:spacing w:line="360" w:lineRule="auto"/>
        <w:jc w:val="both"/>
        <w:rPr>
          <w:rFonts w:ascii="Palatino Linotype" w:eastAsia="Palatino Linotype" w:hAnsi="Palatino Linotype" w:cs="Palatino Linotype"/>
        </w:rPr>
      </w:pPr>
    </w:p>
    <w:p w14:paraId="338B35A8"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7E963B21"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64675DAB"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tal manera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dar atención a la solicitud de información, lo cual deberá realizar con arreglo al procedimiento establecido en la Ley que ha sido descrito en esta resolución y de manera fundada y motivada.</w:t>
      </w:r>
    </w:p>
    <w:p w14:paraId="6C814C8C" w14:textId="77777777" w:rsidR="001472B8" w:rsidRDefault="001472B8">
      <w:pPr>
        <w:spacing w:line="360" w:lineRule="auto"/>
        <w:jc w:val="both"/>
        <w:rPr>
          <w:rFonts w:ascii="Palatino Linotype" w:eastAsia="Palatino Linotype" w:hAnsi="Palatino Linotype" w:cs="Palatino Linotype"/>
        </w:rPr>
      </w:pPr>
    </w:p>
    <w:p w14:paraId="3762987C"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5C80B02D"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w:t>
      </w:r>
      <w:r>
        <w:rPr>
          <w:rFonts w:ascii="Palatino Linotype" w:eastAsia="Palatino Linotype" w:hAnsi="Palatino Linotype" w:cs="Palatino Linotype"/>
          <w:i/>
          <w:sz w:val="22"/>
          <w:szCs w:val="22"/>
        </w:rPr>
        <w:t xml:space="preserve"> Nadie puede ser molestado en su persona, familia, domicilio, papeles o posesiones, </w:t>
      </w:r>
      <w:r>
        <w:rPr>
          <w:rFonts w:ascii="Palatino Linotype" w:eastAsia="Palatino Linotype" w:hAnsi="Palatino Linotype" w:cs="Palatino Linotype"/>
          <w:b/>
          <w:i/>
          <w:sz w:val="22"/>
          <w:szCs w:val="22"/>
        </w:rPr>
        <w:t>sino en virtud de mandamiento escrito de la autoridad competente, que funde y motive la causa legal del procedimiento</w:t>
      </w:r>
      <w:r>
        <w:rPr>
          <w:rFonts w:ascii="Palatino Linotype" w:eastAsia="Palatino Linotype" w:hAnsi="Palatino Linotype" w:cs="Palatino Linotype"/>
          <w:i/>
          <w:sz w:val="22"/>
          <w:szCs w:val="22"/>
        </w:rPr>
        <w:t>.”</w:t>
      </w:r>
    </w:p>
    <w:p w14:paraId="4FF3941A" w14:textId="77777777" w:rsidR="001472B8" w:rsidRDefault="00A53610">
      <w:pPr>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(Énfasis añadido) </w:t>
      </w:r>
    </w:p>
    <w:p w14:paraId="4E85768C" w14:textId="77777777" w:rsidR="001472B8" w:rsidRDefault="001472B8">
      <w:pPr>
        <w:spacing w:line="360" w:lineRule="auto"/>
        <w:ind w:left="567" w:right="567"/>
        <w:jc w:val="both"/>
        <w:rPr>
          <w:rFonts w:ascii="Palatino Linotype" w:eastAsia="Palatino Linotype" w:hAnsi="Palatino Linotype" w:cs="Palatino Linotype"/>
        </w:rPr>
      </w:pPr>
    </w:p>
    <w:p w14:paraId="7121AF2D"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44A34C7"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Entonces, la fundamentación y motivación consiste en la obligación que tiene todo ente público de expresar los preceptos jurídicos aplicables al asunto motivo del acto y las razones o argumentos de su actuar.</w:t>
      </w:r>
    </w:p>
    <w:p w14:paraId="1DD791A2" w14:textId="77777777" w:rsidR="001472B8" w:rsidRDefault="001472B8">
      <w:pPr>
        <w:spacing w:line="360" w:lineRule="auto"/>
        <w:jc w:val="both"/>
        <w:rPr>
          <w:rFonts w:ascii="Palatino Linotype" w:eastAsia="Palatino Linotype" w:hAnsi="Palatino Linotype" w:cs="Palatino Linotype"/>
        </w:rPr>
      </w:pPr>
    </w:p>
    <w:p w14:paraId="71FAB76F"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A5C1762" w14:textId="77777777" w:rsidR="001472B8" w:rsidRDefault="001472B8">
      <w:pPr>
        <w:spacing w:line="360" w:lineRule="auto"/>
        <w:rPr>
          <w:rFonts w:ascii="Palatino Linotype" w:eastAsia="Palatino Linotype" w:hAnsi="Palatino Linotype" w:cs="Palatino Linotype"/>
        </w:rPr>
      </w:pPr>
    </w:p>
    <w:p w14:paraId="79F9E064"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a través de la presente resolución, se hace del conocimiento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02225BB6" w14:textId="77777777" w:rsidR="001472B8" w:rsidRDefault="001472B8">
      <w:pPr>
        <w:spacing w:line="360" w:lineRule="auto"/>
        <w:ind w:right="49"/>
        <w:jc w:val="both"/>
        <w:rPr>
          <w:rFonts w:ascii="Palatino Linotype" w:eastAsia="Palatino Linotype" w:hAnsi="Palatino Linotype" w:cs="Palatino Linotype"/>
        </w:rPr>
      </w:pPr>
    </w:p>
    <w:p w14:paraId="7B25007F" w14:textId="77777777" w:rsidR="001472B8" w:rsidRDefault="00A53610">
      <w:pPr>
        <w:keepNext/>
        <w:keepLines/>
        <w:spacing w:line="360" w:lineRule="auto"/>
        <w:rPr>
          <w:rFonts w:ascii="Palatino Linotype" w:eastAsia="Palatino Linotype" w:hAnsi="Palatino Linotype" w:cs="Palatino Linotype"/>
          <w:b/>
        </w:rPr>
      </w:pPr>
      <w:bookmarkStart w:id="16" w:name="_heading=h.44sinio" w:colFirst="0" w:colLast="0"/>
      <w:bookmarkEnd w:id="16"/>
      <w:r>
        <w:rPr>
          <w:rFonts w:ascii="Palatino Linotype" w:eastAsia="Palatino Linotype" w:hAnsi="Palatino Linotype" w:cs="Palatino Linotype"/>
          <w:b/>
        </w:rPr>
        <w:t>QUINTO. El cumplimiento a esta resolución es susceptible de ser impugnado.</w:t>
      </w:r>
    </w:p>
    <w:p w14:paraId="55910EDC"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38F3EF1B"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128A8D8"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La respuesta que den los sujetos obligados derivada </w:t>
      </w:r>
      <w:r>
        <w:rPr>
          <w:rFonts w:ascii="Palatino Linotype" w:eastAsia="Palatino Linotype" w:hAnsi="Palatino Linotype" w:cs="Palatino Linotype"/>
          <w:b/>
          <w:i/>
          <w:sz w:val="22"/>
          <w:szCs w:val="22"/>
          <w:u w:val="single"/>
        </w:rPr>
        <w:t>de la resolución</w:t>
      </w:r>
      <w:r>
        <w:rPr>
          <w:rFonts w:ascii="Palatino Linotype" w:eastAsia="Palatino Linotype" w:hAnsi="Palatino Linotype" w:cs="Palatino Linotype"/>
          <w:i/>
          <w:sz w:val="22"/>
          <w:szCs w:val="22"/>
        </w:rPr>
        <w:t xml:space="preserve"> a un recurso de revisión que proceda por las causales señaladas en las fracciones </w:t>
      </w:r>
      <w:r>
        <w:rPr>
          <w:rFonts w:ascii="Palatino Linotype" w:eastAsia="Palatino Linotype" w:hAnsi="Palatino Linotype" w:cs="Palatino Linotype"/>
          <w:i/>
          <w:sz w:val="22"/>
          <w:szCs w:val="22"/>
          <w:u w:val="single"/>
        </w:rPr>
        <w:t xml:space="preserve">IV, VII, IX, X, XI y XII </w:t>
      </w:r>
      <w:r>
        <w:rPr>
          <w:rFonts w:ascii="Palatino Linotype" w:eastAsia="Palatino Linotype" w:hAnsi="Palatino Linotype" w:cs="Palatino Linotype"/>
          <w:i/>
          <w:sz w:val="22"/>
          <w:szCs w:val="22"/>
        </w:rPr>
        <w:t xml:space="preserve">es </w:t>
      </w:r>
      <w:r>
        <w:rPr>
          <w:rFonts w:ascii="Palatino Linotype" w:eastAsia="Palatino Linotype" w:hAnsi="Palatino Linotype" w:cs="Palatino Linotype"/>
          <w:i/>
          <w:sz w:val="22"/>
          <w:szCs w:val="22"/>
          <w:u w:val="single"/>
        </w:rPr>
        <w:lastRenderedPageBreak/>
        <w:t>susceptible de ser impugnada</w:t>
      </w:r>
      <w:r>
        <w:rPr>
          <w:rFonts w:ascii="Palatino Linotype" w:eastAsia="Palatino Linotype" w:hAnsi="Palatino Linotype" w:cs="Palatino Linotype"/>
          <w:i/>
          <w:sz w:val="22"/>
          <w:szCs w:val="22"/>
        </w:rPr>
        <w:t xml:space="preserve"> de nueva cuenta, mediante recurso de revisión, ante el Instituto. “</w:t>
      </w:r>
    </w:p>
    <w:p w14:paraId="0FE20544" w14:textId="77777777" w:rsidR="001472B8" w:rsidRDefault="001472B8">
      <w:pPr>
        <w:spacing w:line="360" w:lineRule="auto"/>
        <w:ind w:left="360"/>
        <w:jc w:val="both"/>
        <w:rPr>
          <w:rFonts w:ascii="Palatino Linotype" w:eastAsia="Palatino Linotype" w:hAnsi="Palatino Linotype" w:cs="Palatino Linotype"/>
        </w:rPr>
      </w:pPr>
    </w:p>
    <w:p w14:paraId="6CF0CE47"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Es así que en este asunto en el que se está ante la presencia de una falta de respuesta y una falta de trámite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se encuadra en los supuestos que contempla el artículo 179 en sus fracciones VII y XI, mismas que señalan lo siguiente:</w:t>
      </w:r>
    </w:p>
    <w:p w14:paraId="6D26778F"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7C5919F"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1707785" w14:textId="77777777" w:rsidR="001472B8" w:rsidRDefault="00A53610">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VII. La falta de respuesta a una solicitud de acceso a la información;</w:t>
      </w:r>
    </w:p>
    <w:p w14:paraId="02A625C7"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B03EB88" w14:textId="77777777" w:rsidR="001472B8" w:rsidRDefault="00A53610">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XI. La falta de trámite a una solicitud;</w:t>
      </w:r>
    </w:p>
    <w:p w14:paraId="206F88A4" w14:textId="77777777" w:rsidR="001472B8" w:rsidRDefault="00A53610">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1D9C9F3" w14:textId="77777777" w:rsidR="001472B8" w:rsidRDefault="00A53610">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4B256F54" w14:textId="77777777" w:rsidR="001472B8" w:rsidRDefault="001472B8">
      <w:pPr>
        <w:ind w:left="567" w:right="567"/>
        <w:jc w:val="both"/>
        <w:rPr>
          <w:rFonts w:ascii="Palatino Linotype" w:eastAsia="Palatino Linotype" w:hAnsi="Palatino Linotype" w:cs="Palatino Linotype"/>
        </w:rPr>
      </w:pPr>
    </w:p>
    <w:p w14:paraId="762CD3B0"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tenor, en el asunto particular derivado de la negativa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dar trámite a la solicitud por parte del Titular de la Unidad de Transparencia,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30C1EF8A" w14:textId="77777777" w:rsidR="001472B8" w:rsidRDefault="001472B8">
      <w:pPr>
        <w:spacing w:line="360" w:lineRule="auto"/>
        <w:jc w:val="both"/>
        <w:rPr>
          <w:rFonts w:ascii="Palatino Linotype" w:eastAsia="Palatino Linotype" w:hAnsi="Palatino Linotype" w:cs="Palatino Linotype"/>
        </w:rPr>
      </w:pPr>
    </w:p>
    <w:p w14:paraId="1B0F4A7D"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17" w:name="_heading=h.2jxsxqh" w:colFirst="0" w:colLast="0"/>
      <w:bookmarkEnd w:id="17"/>
      <w:r>
        <w:rPr>
          <w:rFonts w:ascii="Palatino Linotype" w:eastAsia="Palatino Linotype" w:hAnsi="Palatino Linotype" w:cs="Palatino Linotype"/>
          <w:color w:val="000000"/>
        </w:rPr>
        <w:t xml:space="preserve">El último párrafo del artículo 179 de la ley de la materia, se configura entonces en aquellos casos en donde los </w:t>
      </w:r>
      <w:r>
        <w:rPr>
          <w:rFonts w:ascii="Palatino Linotype" w:eastAsia="Palatino Linotype" w:hAnsi="Palatino Linotype" w:cs="Palatino Linotype"/>
          <w:b/>
          <w:color w:val="000000"/>
          <w:u w:val="single"/>
        </w:rPr>
        <w:t xml:space="preserve">sujetos obligados emiten respuesta derivada de una </w:t>
      </w:r>
      <w:r>
        <w:rPr>
          <w:rFonts w:ascii="Palatino Linotype" w:eastAsia="Palatino Linotype" w:hAnsi="Palatino Linotype" w:cs="Palatino Linotype"/>
          <w:color w:val="000000"/>
        </w:rPr>
        <w:t>resolución</w:t>
      </w:r>
      <w:r>
        <w:rPr>
          <w:rFonts w:ascii="Palatino Linotype" w:eastAsia="Palatino Linotype" w:hAnsi="Palatino Linotype" w:cs="Palatino Linotype"/>
          <w:b/>
          <w:color w:val="000000"/>
          <w:u w:val="single"/>
        </w:rPr>
        <w:t xml:space="preserve"> a un recurso de revisión que proceda por la causal prevista en las fracciones VII y XI de la Ley en cita como es este el caso</w:t>
      </w:r>
      <w:r>
        <w:rPr>
          <w:rFonts w:ascii="Palatino Linotype" w:eastAsia="Palatino Linotype" w:hAnsi="Palatino Linotype" w:cs="Palatino Linotype"/>
          <w:color w:val="000000"/>
        </w:rPr>
        <w:t xml:space="preserve">, dicha respuesta es susceptible de ser </w:t>
      </w:r>
      <w:r>
        <w:rPr>
          <w:rFonts w:ascii="Palatino Linotype" w:eastAsia="Palatino Linotype" w:hAnsi="Palatino Linotype" w:cs="Palatino Linotype"/>
          <w:color w:val="000000"/>
        </w:rPr>
        <w:lastRenderedPageBreak/>
        <w:t xml:space="preserve">impugnada de nueva cuenta, mediante recurso de revisión ante el Instituto. Esto es, que el acto que genere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Pr>
          <w:rFonts w:ascii="Palatino Linotype" w:eastAsia="Palatino Linotype" w:hAnsi="Palatino Linotype" w:cs="Palatino Linotype"/>
          <w:b/>
          <w:color w:val="000000"/>
        </w:rPr>
        <w:t>queda al alcance de la persona la interposición de un nuevo recurso de revisión</w:t>
      </w:r>
      <w:r>
        <w:rPr>
          <w:rFonts w:ascii="Palatino Linotype" w:eastAsia="Palatino Linotype" w:hAnsi="Palatino Linotype" w:cs="Palatino Linotype"/>
          <w:color w:val="000000"/>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34A97095" w14:textId="77777777" w:rsidR="001472B8" w:rsidRDefault="001472B8">
      <w:pPr>
        <w:spacing w:line="360" w:lineRule="auto"/>
        <w:jc w:val="both"/>
        <w:rPr>
          <w:rFonts w:ascii="Palatino Linotype" w:eastAsia="Palatino Linotype" w:hAnsi="Palatino Linotype" w:cs="Palatino Linotype"/>
        </w:rPr>
      </w:pPr>
    </w:p>
    <w:p w14:paraId="6350CF6E" w14:textId="77777777" w:rsidR="001472B8" w:rsidRDefault="00A53610">
      <w:pPr>
        <w:keepNext/>
        <w:keepLines/>
        <w:spacing w:line="360" w:lineRule="auto"/>
        <w:rPr>
          <w:rFonts w:ascii="Palatino Linotype" w:eastAsia="Palatino Linotype" w:hAnsi="Palatino Linotype" w:cs="Palatino Linotype"/>
          <w:b/>
        </w:rPr>
      </w:pPr>
      <w:bookmarkStart w:id="18" w:name="_heading=h.z337ya" w:colFirst="0" w:colLast="0"/>
      <w:bookmarkEnd w:id="18"/>
      <w:r>
        <w:rPr>
          <w:rFonts w:ascii="Palatino Linotype" w:eastAsia="Palatino Linotype" w:hAnsi="Palatino Linotype" w:cs="Palatino Linotype"/>
          <w:b/>
        </w:rPr>
        <w:t>SEXTO. Vista al órgano de interno de control competente.</w:t>
      </w:r>
    </w:p>
    <w:p w14:paraId="2E329DDB"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Ley de Transparencia y Acceso a la Información Pública del Estado de México y Municipios en los artículos 222 fracción I y II, 162 y 59 fracción I y II establecen los siguientes:</w:t>
      </w:r>
    </w:p>
    <w:p w14:paraId="66DEADCD" w14:textId="77777777" w:rsidR="001472B8" w:rsidRDefault="00A53610">
      <w:pPr>
        <w:spacing w:line="360" w:lineRule="auto"/>
        <w:ind w:left="426" w:right="333"/>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222. Son causas de responsabilidad administrativa de los servidores públicos de los sujetos obligados, por incumplimiento de las obligaciones establecidas en la materia de la presente Ley, las siguientes:</w:t>
      </w:r>
    </w:p>
    <w:p w14:paraId="07BE8A1C" w14:textId="77777777" w:rsidR="001472B8" w:rsidRDefault="00A53610">
      <w:pPr>
        <w:spacing w:line="360" w:lineRule="auto"/>
        <w:ind w:left="426" w:right="333"/>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Cualquier acto u omisión que provoque la suspensión o deficiencia en la atención de las solicitudes de información; </w:t>
      </w:r>
    </w:p>
    <w:p w14:paraId="33C51895" w14:textId="77777777" w:rsidR="001472B8" w:rsidRDefault="00A53610">
      <w:pPr>
        <w:spacing w:line="360" w:lineRule="auto"/>
        <w:ind w:left="426" w:right="333"/>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falta de respuesta a las solicitudes de información en los plazos señalados en la normatividad aplicable;</w:t>
      </w:r>
    </w:p>
    <w:p w14:paraId="2B4CDFC0" w14:textId="77777777" w:rsidR="001472B8" w:rsidRDefault="00A53610">
      <w:pPr>
        <w:spacing w:line="360" w:lineRule="auto"/>
        <w:ind w:left="426" w:right="333"/>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a XXI. …</w:t>
      </w:r>
    </w:p>
    <w:p w14:paraId="3F309780" w14:textId="77777777" w:rsidR="001472B8" w:rsidRDefault="00A53610">
      <w:pPr>
        <w:spacing w:line="360" w:lineRule="auto"/>
        <w:ind w:left="426" w:right="333"/>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630DFAB" w14:textId="77777777" w:rsidR="001472B8" w:rsidRDefault="001472B8">
      <w:pPr>
        <w:spacing w:line="360" w:lineRule="auto"/>
        <w:ind w:left="426" w:right="333"/>
        <w:rPr>
          <w:rFonts w:ascii="Palatino Linotype" w:eastAsia="Palatino Linotype" w:hAnsi="Palatino Linotype" w:cs="Palatino Linotype"/>
          <w:i/>
          <w:sz w:val="22"/>
          <w:szCs w:val="22"/>
        </w:rPr>
      </w:pPr>
    </w:p>
    <w:p w14:paraId="5C01789D" w14:textId="77777777" w:rsidR="001472B8" w:rsidRDefault="00A53610">
      <w:pPr>
        <w:spacing w:line="360" w:lineRule="auto"/>
        <w:ind w:left="426" w:right="333"/>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59. Los servidores públicos habilitados tendrán las funciones siguientes:</w:t>
      </w:r>
    </w:p>
    <w:p w14:paraId="3F7D028A" w14:textId="77777777" w:rsidR="001472B8" w:rsidRDefault="001472B8">
      <w:pPr>
        <w:spacing w:line="360" w:lineRule="auto"/>
        <w:ind w:left="426" w:right="333"/>
        <w:rPr>
          <w:rFonts w:ascii="Palatino Linotype" w:eastAsia="Palatino Linotype" w:hAnsi="Palatino Linotype" w:cs="Palatino Linotype"/>
          <w:i/>
          <w:sz w:val="22"/>
          <w:szCs w:val="22"/>
        </w:rPr>
      </w:pPr>
    </w:p>
    <w:p w14:paraId="39D74A5D" w14:textId="77777777" w:rsidR="001472B8" w:rsidRDefault="00A53610">
      <w:pPr>
        <w:spacing w:line="360" w:lineRule="auto"/>
        <w:ind w:left="426" w:right="333"/>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Localizar la información que le solicite la Unidad de Transparencia; </w:t>
      </w:r>
    </w:p>
    <w:p w14:paraId="134CB0A6" w14:textId="77777777" w:rsidR="001472B8" w:rsidRDefault="00A53610">
      <w:pPr>
        <w:spacing w:line="360" w:lineRule="auto"/>
        <w:ind w:left="426" w:right="333"/>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Proporcionar la información que obre en los archivos y que le sea solicitada por la Unidad de Transparencia;</w:t>
      </w:r>
    </w:p>
    <w:p w14:paraId="00218223" w14:textId="77777777" w:rsidR="001472B8" w:rsidRDefault="00A53610">
      <w:pPr>
        <w:spacing w:line="360" w:lineRule="auto"/>
        <w:ind w:left="426" w:right="333"/>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III. a VII. …”</w:t>
      </w:r>
    </w:p>
    <w:p w14:paraId="208A242D" w14:textId="77777777" w:rsidR="001472B8" w:rsidRDefault="001472B8">
      <w:pPr>
        <w:spacing w:line="360" w:lineRule="auto"/>
        <w:rPr>
          <w:rFonts w:ascii="Palatino Linotype" w:eastAsia="Palatino Linotype" w:hAnsi="Palatino Linotype" w:cs="Palatino Linotype"/>
        </w:rPr>
      </w:pPr>
    </w:p>
    <w:p w14:paraId="6E9A934F"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w:t>
      </w:r>
      <w:r>
        <w:rPr>
          <w:rFonts w:ascii="Palatino Linotype" w:eastAsia="Palatino Linotype" w:hAnsi="Palatino Linotype" w:cs="Palatino Linotype"/>
        </w:rPr>
        <w:t>proporcionar al</w:t>
      </w:r>
      <w:r>
        <w:rPr>
          <w:rFonts w:ascii="Palatino Linotype" w:eastAsia="Palatino Linotype" w:hAnsi="Palatino Linotype" w:cs="Palatino Linotype"/>
          <w:color w:val="000000"/>
        </w:rPr>
        <w:t xml:space="preserve"> recurrente.</w:t>
      </w:r>
    </w:p>
    <w:p w14:paraId="3B12386F" w14:textId="77777777" w:rsidR="001472B8" w:rsidRDefault="001472B8">
      <w:pPr>
        <w:spacing w:line="360" w:lineRule="auto"/>
        <w:rPr>
          <w:rFonts w:ascii="Palatino Linotype" w:eastAsia="Palatino Linotype" w:hAnsi="Palatino Linotype" w:cs="Palatino Linotype"/>
        </w:rPr>
      </w:pPr>
    </w:p>
    <w:p w14:paraId="450BC22E"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6F253FF7" w14:textId="77777777" w:rsidR="001472B8" w:rsidRDefault="001472B8">
      <w:pPr>
        <w:spacing w:line="360" w:lineRule="auto"/>
        <w:rPr>
          <w:rFonts w:ascii="Palatino Linotype" w:eastAsia="Palatino Linotype" w:hAnsi="Palatino Linotype" w:cs="Palatino Linotype"/>
        </w:rPr>
      </w:pPr>
    </w:p>
    <w:p w14:paraId="0313DE18"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el presente asunto en particular, se tiene que el Titular de la Unidad de Transparencia no </w:t>
      </w:r>
      <w:r>
        <w:rPr>
          <w:rFonts w:ascii="Palatino Linotype" w:eastAsia="Palatino Linotype" w:hAnsi="Palatino Linotype" w:cs="Palatino Linotype"/>
        </w:rPr>
        <w:t>turnar</w:t>
      </w:r>
      <w:r>
        <w:rPr>
          <w:rFonts w:ascii="Palatino Linotype" w:eastAsia="Palatino Linotype" w:hAnsi="Palatino Linotype" w:cs="Palatino Linotype"/>
          <w:color w:val="000000"/>
        </w:rPr>
        <w:t xml:space="preserve"> la solicitud al Servidor Público Habilitado.</w:t>
      </w:r>
    </w:p>
    <w:p w14:paraId="2C3BFFD5" w14:textId="77777777" w:rsidR="001472B8" w:rsidRDefault="001472B8">
      <w:pPr>
        <w:spacing w:line="360" w:lineRule="auto"/>
        <w:rPr>
          <w:rFonts w:ascii="Palatino Linotype" w:eastAsia="Palatino Linotype" w:hAnsi="Palatino Linotype" w:cs="Palatino Linotype"/>
        </w:rPr>
      </w:pPr>
    </w:p>
    <w:p w14:paraId="14D2624E"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tiene que el Titular de la Unidad de Transparencia incumplió con sus funciones, atribuciones y competencias, al no dar trámite a la solicitud, lo cual tuvo como consecuencia la falta de respuesta a ambas solicitudes.</w:t>
      </w:r>
    </w:p>
    <w:p w14:paraId="6611FF3C" w14:textId="77777777" w:rsidR="001472B8" w:rsidRDefault="001472B8">
      <w:pPr>
        <w:spacing w:line="360" w:lineRule="auto"/>
        <w:rPr>
          <w:rFonts w:ascii="Palatino Linotype" w:eastAsia="Palatino Linotype" w:hAnsi="Palatino Linotype" w:cs="Palatino Linotype"/>
        </w:rPr>
      </w:pPr>
    </w:p>
    <w:p w14:paraId="5B7983C7"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Entonces, la falta de respuesta a las solicitudes de acceso a la información pública por parte del Sujeto Obligado actualiza una causa de responsabilidad, por lo que, de acuerdo a los artículos 190 y 36 fracción X, de la Ley de </w:t>
      </w:r>
      <w:r>
        <w:rPr>
          <w:rFonts w:ascii="Palatino Linotype" w:eastAsia="Palatino Linotype" w:hAnsi="Palatino Linotype" w:cs="Palatino Linotype"/>
        </w:rPr>
        <w:t>Transparencia</w:t>
      </w:r>
      <w:r>
        <w:rPr>
          <w:rFonts w:ascii="Palatino Linotype" w:eastAsia="Palatino Linotype" w:hAnsi="Palatino Linotype" w:cs="Palatino Linotype"/>
          <w:color w:val="000000"/>
        </w:rPr>
        <w:t xml:space="preserve"> y Acceso a la Información Pública del Estado de México y Municipios, la Secretaría Técnica del Pleno hará del conocimiento del órgano de </w:t>
      </w:r>
      <w:r>
        <w:rPr>
          <w:rFonts w:ascii="Palatino Linotype" w:eastAsia="Palatino Linotype" w:hAnsi="Palatino Linotype" w:cs="Palatino Linotype"/>
        </w:rPr>
        <w:t>interno</w:t>
      </w:r>
      <w:r>
        <w:rPr>
          <w:rFonts w:ascii="Palatino Linotype" w:eastAsia="Palatino Linotype" w:hAnsi="Palatino Linotype" w:cs="Palatino Linotype"/>
          <w:color w:val="000000"/>
        </w:rPr>
        <w:t xml:space="preserve"> de control competente, para que inicie, en su caso, el procedimiento de responsabilidad respectivo.</w:t>
      </w:r>
    </w:p>
    <w:p w14:paraId="5FC1411B" w14:textId="77777777" w:rsidR="001472B8" w:rsidRDefault="001472B8">
      <w:pPr>
        <w:spacing w:line="360" w:lineRule="auto"/>
        <w:ind w:right="49"/>
        <w:jc w:val="both"/>
        <w:rPr>
          <w:rFonts w:ascii="Palatino Linotype" w:eastAsia="Palatino Linotype" w:hAnsi="Palatino Linotype" w:cs="Palatino Linotype"/>
        </w:rPr>
      </w:pPr>
    </w:p>
    <w:p w14:paraId="13EBA485" w14:textId="77777777" w:rsidR="001472B8" w:rsidRDefault="00A53610">
      <w:pPr>
        <w:pStyle w:val="Ttulo2"/>
        <w:spacing w:before="0" w:line="360" w:lineRule="auto"/>
        <w:rPr>
          <w:rFonts w:ascii="Palatino Linotype" w:eastAsia="Palatino Linotype" w:hAnsi="Palatino Linotype" w:cs="Palatino Linotype"/>
          <w:b/>
          <w:color w:val="000000"/>
          <w:sz w:val="24"/>
          <w:szCs w:val="24"/>
        </w:rPr>
      </w:pPr>
      <w:bookmarkStart w:id="19" w:name="_heading=h.3j2qqm3" w:colFirst="0" w:colLast="0"/>
      <w:bookmarkEnd w:id="19"/>
      <w:r>
        <w:rPr>
          <w:rFonts w:ascii="Palatino Linotype" w:eastAsia="Palatino Linotype" w:hAnsi="Palatino Linotype" w:cs="Palatino Linotype"/>
          <w:b/>
          <w:color w:val="000000"/>
          <w:sz w:val="24"/>
          <w:szCs w:val="24"/>
        </w:rPr>
        <w:t>SÉPTIMO. De la versión pública.</w:t>
      </w:r>
    </w:p>
    <w:p w14:paraId="52133185"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w:t>
      </w:r>
      <w:r>
        <w:rPr>
          <w:rFonts w:ascii="Palatino Linotype" w:eastAsia="Palatino Linotype" w:hAnsi="Palatino Linotype" w:cs="Palatino Linotype"/>
          <w:b/>
          <w:color w:val="000000"/>
          <w:u w:val="single"/>
        </w:rPr>
        <w:t>versión pública</w:t>
      </w:r>
      <w:r>
        <w:rPr>
          <w:rFonts w:ascii="Palatino Linotype" w:eastAsia="Palatino Linotype" w:hAnsi="Palatino Linotype" w:cs="Palatino Linotype"/>
          <w:color w:val="000000"/>
        </w:rPr>
        <w:t xml:space="preserve"> de los documentos por las consideraciones que se estimen pertinentes.</w:t>
      </w:r>
    </w:p>
    <w:p w14:paraId="455FA5CA" w14:textId="77777777" w:rsidR="001472B8" w:rsidRDefault="001472B8">
      <w:pPr>
        <w:pBdr>
          <w:top w:val="nil"/>
          <w:left w:val="nil"/>
          <w:bottom w:val="nil"/>
          <w:right w:val="nil"/>
          <w:between w:val="nil"/>
        </w:pBdr>
        <w:tabs>
          <w:tab w:val="left" w:pos="0"/>
          <w:tab w:val="left" w:pos="142"/>
        </w:tabs>
        <w:spacing w:line="360" w:lineRule="auto"/>
        <w:jc w:val="both"/>
        <w:rPr>
          <w:rFonts w:ascii="Palatino Linotype" w:eastAsia="Palatino Linotype" w:hAnsi="Palatino Linotype" w:cs="Palatino Linotype"/>
          <w:color w:val="000000"/>
        </w:rPr>
      </w:pPr>
    </w:p>
    <w:p w14:paraId="0168147F"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La 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color w:val="000000"/>
        </w:rPr>
        <w:t>,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w:t>
      </w:r>
      <w:r>
        <w:rPr>
          <w:rFonts w:ascii="Palatino Linotype" w:eastAsia="Palatino Linotype" w:hAnsi="Palatino Linotype" w:cs="Palatino Linotype"/>
          <w:color w:val="000000"/>
          <w:vertAlign w:val="superscript"/>
        </w:rPr>
        <w:footnoteReference w:id="6"/>
      </w:r>
      <w:r>
        <w:rPr>
          <w:rFonts w:ascii="Palatino Linotype" w:eastAsia="Palatino Linotype" w:hAnsi="Palatino Linotype" w:cs="Palatino Linotype"/>
          <w:color w:val="000000"/>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10E70503"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 grave problema que enfrentamos en general, los acuerdos de clasificación de la información que emiten los sujetos obligados, siguen sin observar los requisitos, tanto por la complejidad del procedimiento como por la falta de atención de los operadores jurídicos.</w:t>
      </w:r>
    </w:p>
    <w:p w14:paraId="09B7F266" w14:textId="77777777" w:rsidR="001472B8" w:rsidRDefault="001472B8">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70DAFBC5" w14:textId="77777777" w:rsidR="001472B8" w:rsidRDefault="00A53610">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bookmarkStart w:id="20" w:name="_heading=h.1y810tw" w:colFirst="0" w:colLast="0"/>
      <w:bookmarkEnd w:id="20"/>
      <w:r>
        <w:rPr>
          <w:rFonts w:ascii="Palatino Linotype" w:eastAsia="Palatino Linotype" w:hAnsi="Palatino Linotype" w:cs="Palatino Linotype"/>
          <w:b/>
          <w:color w:val="000000"/>
        </w:rPr>
        <w:t>I. Requisitos previos.</w:t>
      </w:r>
    </w:p>
    <w:p w14:paraId="1BF9AC6B"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545839B2"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rPr>
      </w:pPr>
    </w:p>
    <w:p w14:paraId="57AA3DAD"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390CF1C9"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40A480FD"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último de estos requisitos previos consiste en que no se pueden emitir acuerdos de carácter general ni particular, según lo disponen los artículos 134 y 108 de </w:t>
      </w:r>
      <w:r>
        <w:rPr>
          <w:rFonts w:ascii="Palatino Linotype" w:eastAsia="Palatino Linotype" w:hAnsi="Palatino Linotype" w:cs="Palatino Linotype"/>
          <w:color w:val="000000"/>
        </w:rPr>
        <w:lastRenderedPageBreak/>
        <w:t xml:space="preserve">la Ley Estatal y de la Ley General, respectivamente, esto es, </w:t>
      </w:r>
      <w:r>
        <w:rPr>
          <w:rFonts w:ascii="Palatino Linotype" w:eastAsia="Palatino Linotype" w:hAnsi="Palatino Linotype" w:cs="Palatino Linotype"/>
          <w:b/>
          <w:color w:val="000000"/>
          <w:u w:val="single"/>
        </w:rPr>
        <w:t>no se puede hacer un acuerdo para clasificar de manera general todos los documentos de un expediente o área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sin individualizar su análisis y tampoco se puede hacer un acuerdo por cada dato que se vaya a clasificar dentro de un documento con diez datos, por ejemplo, susceptibles de ser clasificados.</w:t>
      </w:r>
    </w:p>
    <w:p w14:paraId="01F54301" w14:textId="77777777" w:rsidR="001472B8" w:rsidRDefault="001472B8">
      <w:pPr>
        <w:pBdr>
          <w:top w:val="nil"/>
          <w:left w:val="nil"/>
          <w:bottom w:val="nil"/>
          <w:right w:val="nil"/>
          <w:between w:val="nil"/>
        </w:pBdr>
        <w:ind w:left="708"/>
        <w:rPr>
          <w:rFonts w:ascii="Palatino Linotype" w:eastAsia="Palatino Linotype" w:hAnsi="Palatino Linotype" w:cs="Palatino Linotype"/>
        </w:rPr>
      </w:pPr>
    </w:p>
    <w:p w14:paraId="39182FB7" w14:textId="77777777" w:rsidR="001472B8" w:rsidRDefault="00A53610">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bookmarkStart w:id="21" w:name="_heading=h.4i7ojhp" w:colFirst="0" w:colLast="0"/>
      <w:bookmarkEnd w:id="21"/>
      <w:r>
        <w:rPr>
          <w:rFonts w:ascii="Palatino Linotype" w:eastAsia="Palatino Linotype" w:hAnsi="Palatino Linotype" w:cs="Palatino Linotype"/>
          <w:b/>
          <w:color w:val="000000"/>
        </w:rPr>
        <w:t>II. Supuestos de clasificación.</w:t>
      </w:r>
    </w:p>
    <w:p w14:paraId="6FEB5BB8"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332A8354"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0FCED22"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artículos 143 y 116 de la Ley Estatal y de la Ley General, respectivamente, señalan los supuestos para que la información pueda ser clasificada como confidencial:</w:t>
      </w:r>
    </w:p>
    <w:p w14:paraId="0221ED00" w14:textId="77777777" w:rsidR="001472B8" w:rsidRDefault="00A53610">
      <w:pPr>
        <w:widowControl w:val="0"/>
        <w:tabs>
          <w:tab w:val="left" w:pos="8222"/>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 refiera a la información privada y los datos personales concernientes a una persona física o jurídico colectiva identificada o identificable; </w:t>
      </w:r>
    </w:p>
    <w:p w14:paraId="6A8DBC97" w14:textId="77777777" w:rsidR="001472B8" w:rsidRDefault="00A53610">
      <w:pPr>
        <w:widowControl w:val="0"/>
        <w:tabs>
          <w:tab w:val="left" w:pos="8222"/>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Los secretos bancario, fiduciario, industrial, comercial, fiscal, bursátil y postal, cuya titularidad corresponda a particulares, sujetos de derecho internacional o a sujetos obligados cuando no involucren el ejercicio de recursos públicos; y </w:t>
      </w:r>
    </w:p>
    <w:p w14:paraId="5A88DCE8" w14:textId="77777777" w:rsidR="001472B8" w:rsidRDefault="00A53610">
      <w:pPr>
        <w:widowControl w:val="0"/>
        <w:tabs>
          <w:tab w:val="left" w:pos="8222"/>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La que presenten los particulares a los sujetos obligados, de conformidad con lo dispuesto por las leyes o los tratados internacionales. </w:t>
      </w:r>
    </w:p>
    <w:p w14:paraId="4F8F9F06" w14:textId="77777777" w:rsidR="001472B8" w:rsidRDefault="00A53610">
      <w:pPr>
        <w:widowControl w:val="0"/>
        <w:tabs>
          <w:tab w:val="left" w:pos="8222"/>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información confidencial no estará sujeta a temporalidad alguna y sólo podrán tener acceso a ella los titulares de la misma, sus representantes y los servidores públicos facultados para ello. </w:t>
      </w:r>
    </w:p>
    <w:p w14:paraId="53D494DA" w14:textId="77777777" w:rsidR="001472B8" w:rsidRDefault="00A53610">
      <w:pPr>
        <w:widowControl w:val="0"/>
        <w:tabs>
          <w:tab w:val="left" w:pos="8222"/>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 se considerará confidencial la información que se encuentre en los registros públicos o en fuentes de acceso público, ni tampoco la que sea considerada por la presente ley como información pública. “</w:t>
      </w:r>
    </w:p>
    <w:p w14:paraId="1D5F49B6" w14:textId="77777777" w:rsidR="001472B8" w:rsidRDefault="001472B8">
      <w:pPr>
        <w:widowControl w:val="0"/>
        <w:tabs>
          <w:tab w:val="left" w:pos="8222"/>
        </w:tabs>
        <w:ind w:left="567" w:right="567"/>
        <w:jc w:val="both"/>
        <w:rPr>
          <w:rFonts w:ascii="Palatino Linotype" w:eastAsia="Palatino Linotype" w:hAnsi="Palatino Linotype" w:cs="Palatino Linotype"/>
          <w:i/>
          <w:color w:val="000000"/>
        </w:rPr>
      </w:pPr>
    </w:p>
    <w:p w14:paraId="6B9B8EC6"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Mientras que los artículos 130 y 105 de la Ley Estatal y de la Ley General, respectivamente, señalan que la aplicación de estos supuestos debe de realizarse de manera restrictiva y limitada, por lo que debe acreditarse que se cumple con esta </w:t>
      </w:r>
      <w:r>
        <w:rPr>
          <w:rFonts w:ascii="Palatino Linotype" w:eastAsia="Palatino Linotype" w:hAnsi="Palatino Linotype" w:cs="Palatino Linotype"/>
          <w:color w:val="000000"/>
        </w:rPr>
        <w:lastRenderedPageBreak/>
        <w:t>condición y no se pueden ampliar las excepciones o supuestos de clasificación aduciendo analogía o mayoría de razón.</w:t>
      </w:r>
    </w:p>
    <w:p w14:paraId="49C142F5" w14:textId="77777777" w:rsidR="001472B8" w:rsidRDefault="001472B8">
      <w:pPr>
        <w:pBdr>
          <w:top w:val="nil"/>
          <w:left w:val="nil"/>
          <w:bottom w:val="nil"/>
          <w:right w:val="nil"/>
          <w:between w:val="nil"/>
        </w:pBdr>
        <w:tabs>
          <w:tab w:val="left" w:pos="0"/>
          <w:tab w:val="left" w:pos="142"/>
        </w:tabs>
        <w:spacing w:line="360" w:lineRule="auto"/>
        <w:jc w:val="both"/>
        <w:rPr>
          <w:rFonts w:ascii="Palatino Linotype" w:eastAsia="Palatino Linotype" w:hAnsi="Palatino Linotype" w:cs="Palatino Linotype"/>
          <w:color w:val="000000"/>
        </w:rPr>
      </w:pPr>
    </w:p>
    <w:p w14:paraId="163282C1"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consecuencia de lo anterior,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w:t>
      </w:r>
      <w:r>
        <w:rPr>
          <w:rFonts w:ascii="Palatino Linotype" w:eastAsia="Palatino Linotype" w:hAnsi="Palatino Linotype" w:cs="Palatino Linotype"/>
          <w:color w:val="000000"/>
          <w:vertAlign w:val="superscript"/>
        </w:rPr>
        <w:footnoteReference w:id="7"/>
      </w:r>
      <w:r>
        <w:rPr>
          <w:rFonts w:ascii="Palatino Linotype" w:eastAsia="Palatino Linotype" w:hAnsi="Palatino Linotype" w:cs="Palatino Linotype"/>
          <w:color w:val="000000"/>
        </w:rPr>
        <w:t xml:space="preserve"> para acreditar que el supuesto de hecho corresponde estrictamente con la hipótesis jurídica. Esto también lo debe de realizar el servidor público habilitado y el titular del área que administra la información.</w:t>
      </w:r>
    </w:p>
    <w:p w14:paraId="2ACEE01C" w14:textId="77777777" w:rsidR="001472B8" w:rsidRDefault="001472B8">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5D785C46"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los Lineamientos Generales en Materia de Clasificación y Desclasificación de la Información, así Como para la Elaboración de Versiones Públicas, por cuanto hace a la clasificación de la información, señalan lo siguiente:</w:t>
      </w:r>
    </w:p>
    <w:p w14:paraId="6D78DBEB" w14:textId="77777777" w:rsidR="001472B8" w:rsidRDefault="00A53610">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Quincuagésimo.</w:t>
      </w:r>
      <w:r>
        <w:rPr>
          <w:rFonts w:ascii="Palatino Linotype" w:eastAsia="Palatino Linotype" w:hAnsi="Palatino Linotype" w:cs="Palatino Linotype"/>
          <w:i/>
          <w:color w:val="000000"/>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5099B530" w14:textId="77777777" w:rsidR="001472B8" w:rsidRDefault="001472B8">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p>
    <w:p w14:paraId="33C8E527" w14:textId="77777777" w:rsidR="001472B8" w:rsidRDefault="00A53610">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primero.</w:t>
      </w:r>
      <w:r>
        <w:rPr>
          <w:rFonts w:ascii="Palatino Linotype" w:eastAsia="Palatino Linotype" w:hAnsi="Palatino Linotype" w:cs="Palatino Linotype"/>
          <w:i/>
          <w:color w:val="000000"/>
          <w:sz w:val="22"/>
          <w:szCs w:val="22"/>
        </w:rPr>
        <w:t xml:space="preserve"> La leyenda en los documentos clasificados indicará:</w:t>
      </w:r>
    </w:p>
    <w:p w14:paraId="3D0BE687" w14:textId="77777777" w:rsidR="001472B8" w:rsidRDefault="00A53610">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 La fecha de sesión del Comité de Transparencia en donde se confirmó la clasificación, en su caso;</w:t>
      </w:r>
    </w:p>
    <w:p w14:paraId="0C97AF53" w14:textId="77777777" w:rsidR="001472B8" w:rsidRDefault="00A53610">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El nombre del área;</w:t>
      </w:r>
    </w:p>
    <w:p w14:paraId="322DB44E" w14:textId="77777777" w:rsidR="001472B8" w:rsidRDefault="00A53610">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La palabra reservado o confidencial;</w:t>
      </w:r>
    </w:p>
    <w:p w14:paraId="1E6AF42C" w14:textId="77777777" w:rsidR="001472B8" w:rsidRDefault="00A53610">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Las partes o secciones reservadas o confidenciales, en su caso;</w:t>
      </w:r>
    </w:p>
    <w:p w14:paraId="0825FBAD" w14:textId="77777777" w:rsidR="001472B8" w:rsidRDefault="00A53610">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El fundamento legal;</w:t>
      </w:r>
    </w:p>
    <w:p w14:paraId="3434DE76" w14:textId="77777777" w:rsidR="001472B8" w:rsidRDefault="00A53610">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El periodo de reserva, y</w:t>
      </w:r>
    </w:p>
    <w:p w14:paraId="6B471AB3" w14:textId="77777777" w:rsidR="001472B8" w:rsidRDefault="00A53610">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La rúbrica del titular del área.</w:t>
      </w:r>
    </w:p>
    <w:p w14:paraId="21D829F5" w14:textId="77777777" w:rsidR="001472B8" w:rsidRDefault="001472B8">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p>
    <w:p w14:paraId="7CCE6940" w14:textId="77777777" w:rsidR="001472B8" w:rsidRDefault="00A53610">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segundo.</w:t>
      </w:r>
      <w:r>
        <w:rPr>
          <w:rFonts w:ascii="Palatino Linotype" w:eastAsia="Palatino Linotype" w:hAnsi="Palatino Linotype" w:cs="Palatino Linotype"/>
          <w:i/>
          <w:color w:val="000000"/>
          <w:sz w:val="22"/>
          <w:szCs w:val="22"/>
        </w:rPr>
        <w:t xml:space="preserve"> Los sujetos obligados elaborarán los formatos a que se refiere este Capítulo en medios impresos o electrónicos, entre otros, debiendo ubicarse la leyenda de clasificación en la esquina superior derecha del documento.</w:t>
      </w:r>
    </w:p>
    <w:p w14:paraId="15A8C6DF" w14:textId="77777777" w:rsidR="001472B8" w:rsidRDefault="00A53610">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06E20DFD" w14:textId="77777777" w:rsidR="001472B8" w:rsidRDefault="001472B8">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p>
    <w:p w14:paraId="293F667F" w14:textId="77777777" w:rsidR="001472B8" w:rsidRDefault="00A53610">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tercero.</w:t>
      </w:r>
      <w:r>
        <w:rPr>
          <w:rFonts w:ascii="Palatino Linotype" w:eastAsia="Palatino Linotype" w:hAnsi="Palatino Linotype" w:cs="Palatino Linotype"/>
          <w:i/>
          <w:color w:val="000000"/>
          <w:sz w:val="22"/>
          <w:szCs w:val="22"/>
        </w:rPr>
        <w:t xml:space="preserve"> El formato para señalar la clasificación parcial de un documento, es el siguiente: </w:t>
      </w:r>
    </w:p>
    <w:p w14:paraId="004BE9D6" w14:textId="77777777" w:rsidR="001472B8" w:rsidRDefault="001472B8">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p>
    <w:p w14:paraId="7B566618" w14:textId="77777777" w:rsidR="001472B8" w:rsidRDefault="00A53610">
      <w:pPr>
        <w:pBdr>
          <w:top w:val="nil"/>
          <w:left w:val="nil"/>
          <w:bottom w:val="nil"/>
          <w:right w:val="nil"/>
          <w:between w:val="nil"/>
        </w:pBdr>
        <w:tabs>
          <w:tab w:val="left" w:pos="0"/>
          <w:tab w:val="left" w:pos="142"/>
        </w:tabs>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i/>
          <w:noProof/>
          <w:color w:val="000000"/>
          <w:sz w:val="22"/>
          <w:szCs w:val="22"/>
          <w:lang w:val="es-MX"/>
        </w:rPr>
        <w:drawing>
          <wp:inline distT="0" distB="0" distL="0" distR="0" wp14:anchorId="245C4F9A" wp14:editId="04667FE5">
            <wp:extent cx="3660680" cy="3541310"/>
            <wp:effectExtent l="9525" t="9525" r="9525" b="9525"/>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0680" cy="3541310"/>
                    </a:xfrm>
                    <a:prstGeom prst="rect">
                      <a:avLst/>
                    </a:prstGeom>
                    <a:ln w="9525">
                      <a:solidFill>
                        <a:srgbClr val="000000"/>
                      </a:solidFill>
                      <a:prstDash val="solid"/>
                    </a:ln>
                  </pic:spPr>
                </pic:pic>
              </a:graphicData>
            </a:graphic>
          </wp:inline>
        </w:drawing>
      </w:r>
    </w:p>
    <w:p w14:paraId="3C979F21"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Una vez hecho lo anterior, se remite la información al Titular de la Unidad de Transparencia, con el acuerdo de clasificación correspondiente, para que sea </w:t>
      </w:r>
      <w:r>
        <w:rPr>
          <w:rFonts w:ascii="Palatino Linotype" w:eastAsia="Palatino Linotype" w:hAnsi="Palatino Linotype" w:cs="Palatino Linotype"/>
        </w:rPr>
        <w:t>sometido</w:t>
      </w:r>
      <w:r>
        <w:rPr>
          <w:rFonts w:ascii="Palatino Linotype" w:eastAsia="Palatino Linotype" w:hAnsi="Palatino Linotype" w:cs="Palatino Linotype"/>
          <w:color w:val="000000"/>
        </w:rPr>
        <w:t xml:space="preserve"> al conocimiento del Comité de Transparencia.</w:t>
      </w:r>
    </w:p>
    <w:p w14:paraId="1FC09952" w14:textId="77777777" w:rsidR="001472B8" w:rsidRDefault="001472B8">
      <w:pPr>
        <w:pBdr>
          <w:top w:val="nil"/>
          <w:left w:val="nil"/>
          <w:bottom w:val="nil"/>
          <w:right w:val="nil"/>
          <w:between w:val="nil"/>
        </w:pBdr>
        <w:tabs>
          <w:tab w:val="left" w:pos="0"/>
          <w:tab w:val="left" w:pos="142"/>
        </w:tabs>
        <w:spacing w:line="360" w:lineRule="auto"/>
        <w:jc w:val="both"/>
        <w:rPr>
          <w:rFonts w:ascii="Palatino Linotype" w:eastAsia="Palatino Linotype" w:hAnsi="Palatino Linotype" w:cs="Palatino Linotype"/>
          <w:color w:val="000000"/>
        </w:rPr>
      </w:pPr>
    </w:p>
    <w:p w14:paraId="3AC69A95" w14:textId="77777777" w:rsidR="001472B8" w:rsidRDefault="00A53610">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bookmarkStart w:id="22" w:name="_heading=h.2xcytpi" w:colFirst="0" w:colLast="0"/>
      <w:bookmarkEnd w:id="22"/>
      <w:r>
        <w:rPr>
          <w:rFonts w:ascii="Palatino Linotype" w:eastAsia="Palatino Linotype" w:hAnsi="Palatino Linotype" w:cs="Palatino Linotype"/>
          <w:b/>
          <w:color w:val="000000"/>
        </w:rPr>
        <w:t>III. La intervención del Comité de Transparencia.</w:t>
      </w:r>
    </w:p>
    <w:p w14:paraId="70251E04" w14:textId="77777777" w:rsidR="001472B8" w:rsidRDefault="00A53610">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Formalidades para emitir el Acuerdo de Clasificación.</w:t>
      </w:r>
    </w:p>
    <w:p w14:paraId="5AFD8220"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Pr>
          <w:rFonts w:ascii="Palatino Linotype" w:eastAsia="Palatino Linotype" w:hAnsi="Palatino Linotype" w:cs="Palatino Linotype"/>
          <w:b/>
          <w:color w:val="000000"/>
          <w:u w:val="single"/>
        </w:rPr>
        <w:t>confirmar, modificar o revocar</w:t>
      </w:r>
      <w:r>
        <w:rPr>
          <w:rFonts w:ascii="Palatino Linotype" w:eastAsia="Palatino Linotype" w:hAnsi="Palatino Linotype" w:cs="Palatino Linotype"/>
          <w:color w:val="000000"/>
        </w:rPr>
        <w:t xml:space="preserve"> la clasificación de la información que ha hecho el titular del área que administra la información. Por lo tanto, el Comité </w:t>
      </w:r>
      <w:r>
        <w:rPr>
          <w:rFonts w:ascii="Palatino Linotype" w:eastAsia="Palatino Linotype" w:hAnsi="Palatino Linotype" w:cs="Palatino Linotype"/>
          <w:b/>
          <w:color w:val="000000"/>
          <w:u w:val="single"/>
        </w:rPr>
        <w:t>no aprueba</w:t>
      </w:r>
      <w:r>
        <w:rPr>
          <w:rFonts w:ascii="Palatino Linotype" w:eastAsia="Palatino Linotype" w:hAnsi="Palatino Linotype" w:cs="Palatino Linotype"/>
          <w:color w:val="000000"/>
        </w:rPr>
        <w:t xml:space="preserve"> la clasificación, sino que revisa lo que ha hecho el titular del área y confirma, modifica o revoca la decisión a través de un acuerdo.</w:t>
      </w:r>
    </w:p>
    <w:p w14:paraId="4A75FD6F" w14:textId="77777777" w:rsidR="001472B8" w:rsidRDefault="001472B8">
      <w:pPr>
        <w:pBdr>
          <w:top w:val="nil"/>
          <w:left w:val="nil"/>
          <w:bottom w:val="nil"/>
          <w:right w:val="nil"/>
          <w:between w:val="nil"/>
        </w:pBdr>
        <w:tabs>
          <w:tab w:val="left" w:pos="0"/>
          <w:tab w:val="left" w:pos="142"/>
        </w:tabs>
        <w:spacing w:line="360" w:lineRule="auto"/>
        <w:jc w:val="both"/>
        <w:rPr>
          <w:rFonts w:ascii="Palatino Linotype" w:eastAsia="Palatino Linotype" w:hAnsi="Palatino Linotype" w:cs="Palatino Linotype"/>
          <w:color w:val="000000"/>
        </w:rPr>
      </w:pPr>
    </w:p>
    <w:p w14:paraId="2B88762C"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Evidentemente, esta decisión implica una restricción a un derecho humano, por lo tanto, puede generar un agravio al particular y, en consecuencia, 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xml:space="preserve">,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w:t>
      </w:r>
      <w:r>
        <w:rPr>
          <w:rFonts w:ascii="Palatino Linotype" w:eastAsia="Palatino Linotype" w:hAnsi="Palatino Linotype" w:cs="Palatino Linotype"/>
          <w:color w:val="000000"/>
        </w:rPr>
        <w:lastRenderedPageBreak/>
        <w:t>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2D2A5093"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4B61E208"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05292374" w14:textId="77777777" w:rsidR="001472B8" w:rsidRDefault="001472B8">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14:paraId="1641C4C0" w14:textId="77777777" w:rsidR="001472B8" w:rsidRDefault="00A53610">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b) Requisitos de fondo del Acuerdo de Clasificación.</w:t>
      </w:r>
    </w:p>
    <w:p w14:paraId="7425C8A6"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688F6C68" w14:textId="77777777" w:rsidR="008F6884" w:rsidRDefault="008F6884" w:rsidP="008F68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3EC565"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02797F2"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49FCFA1A"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Han sido vastos los estudios doctrinarios relativos a estos derechos fundamentales y al principio de legalidad en ellos contenidos; como ejemplo, el procesalista José Ovalle Fabela, en su obra “Garantías Constitucionales del Proceso”, refiere que “...</w:t>
      </w:r>
      <w:r>
        <w:rPr>
          <w:rFonts w:ascii="Palatino Linotype" w:eastAsia="Palatino Linotype" w:hAnsi="Palatino Linotype" w:cs="Palatino Linotype"/>
          <w:i/>
          <w:color w:val="000000"/>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Pr>
          <w:rFonts w:ascii="Palatino Linotype" w:eastAsia="Palatino Linotype" w:hAnsi="Palatino Linotype" w:cs="Palatino Linotype"/>
          <w:color w:val="000000"/>
        </w:rPr>
        <w:t>...”</w:t>
      </w:r>
      <w:r>
        <w:rPr>
          <w:rFonts w:ascii="Palatino Linotype" w:eastAsia="Palatino Linotype" w:hAnsi="Palatino Linotype" w:cs="Palatino Linotype"/>
          <w:color w:val="000000"/>
          <w:vertAlign w:val="superscript"/>
        </w:rPr>
        <w:footnoteReference w:id="8"/>
      </w:r>
    </w:p>
    <w:p w14:paraId="09139376"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4F0CCB71"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intérprete judicial del país ha establecido una jurisprudencia respecto a qué debe entenderse por fundamentación y motivación, en los siguientes términos:</w:t>
      </w:r>
    </w:p>
    <w:p w14:paraId="38E58305" w14:textId="77777777" w:rsidR="001472B8" w:rsidRDefault="00A53610">
      <w:pP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FUNDAMENTACIÓN Y MOTIVACIÓN.</w:t>
      </w:r>
      <w:r>
        <w:rPr>
          <w:rFonts w:ascii="Palatino Linotype" w:eastAsia="Palatino Linotype" w:hAnsi="Palatino Linotype" w:cs="Palatino Linotype"/>
          <w:i/>
          <w:color w:val="000000"/>
          <w:sz w:val="22"/>
          <w:szCs w:val="22"/>
        </w:rPr>
        <w:t xml:space="preserve"> “La </w:t>
      </w:r>
      <w:r>
        <w:rPr>
          <w:rFonts w:ascii="Palatino Linotype" w:eastAsia="Palatino Linotype" w:hAnsi="Palatino Linotype" w:cs="Palatino Linotype"/>
          <w:i/>
          <w:color w:val="000000"/>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Pr>
          <w:rFonts w:ascii="Palatino Linotype" w:eastAsia="Palatino Linotype" w:hAnsi="Palatino Linotype" w:cs="Palatino Linotype"/>
          <w:i/>
          <w:color w:val="000000"/>
          <w:sz w:val="22"/>
          <w:szCs w:val="22"/>
        </w:rPr>
        <w:t>.”</w:t>
      </w:r>
    </w:p>
    <w:p w14:paraId="57E02FE8" w14:textId="77777777" w:rsidR="001472B8" w:rsidRDefault="001472B8">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4E9AAFFF"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1F5EA5E0" w14:textId="77777777" w:rsidR="001472B8" w:rsidRDefault="001472B8">
      <w:pPr>
        <w:pBdr>
          <w:top w:val="nil"/>
          <w:left w:val="nil"/>
          <w:bottom w:val="nil"/>
          <w:right w:val="nil"/>
          <w:between w:val="nil"/>
        </w:pBdr>
        <w:tabs>
          <w:tab w:val="left" w:pos="0"/>
          <w:tab w:val="left" w:pos="142"/>
        </w:tabs>
        <w:spacing w:line="360" w:lineRule="auto"/>
        <w:jc w:val="both"/>
        <w:rPr>
          <w:rFonts w:ascii="Palatino Linotype" w:eastAsia="Palatino Linotype" w:hAnsi="Palatino Linotype" w:cs="Palatino Linotype"/>
          <w:color w:val="000000"/>
        </w:rPr>
      </w:pPr>
    </w:p>
    <w:p w14:paraId="0D0E4CDB"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78A73629"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41D5C379"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40B8C71C"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0BBB41F6"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xml:space="preserve">, se debe identificar con claridad </w:t>
      </w:r>
      <w:r>
        <w:rPr>
          <w:rFonts w:ascii="Palatino Linotype" w:eastAsia="Palatino Linotype" w:hAnsi="Palatino Linotype" w:cs="Palatino Linotype"/>
        </w:rPr>
        <w:t>qué</w:t>
      </w:r>
      <w:r>
        <w:rPr>
          <w:rFonts w:ascii="Palatino Linotype" w:eastAsia="Palatino Linotype" w:hAnsi="Palatino Linotype" w:cs="Palatino Linotype"/>
          <w:color w:val="000000"/>
        </w:rPr>
        <w:t xml:space="preserve"> datos contenidos en las documentales que son susceptibles de suprimirse, por ejemplo, si una documental de naturaleza pública como lo es la nómina general, si bien el dato de sus remuneraciones es eminentemente público, no así todos los datos </w:t>
      </w:r>
      <w:r>
        <w:rPr>
          <w:rFonts w:ascii="Palatino Linotype" w:eastAsia="Palatino Linotype" w:hAnsi="Palatino Linotype" w:cs="Palatino Linotype"/>
          <w:color w:val="000000"/>
        </w:rPr>
        <w:lastRenderedPageBreak/>
        <w:t>contenidos en dicho documento que son datos personales</w:t>
      </w:r>
      <w:r>
        <w:rPr>
          <w:rFonts w:ascii="Palatino Linotype" w:eastAsia="Palatino Linotype" w:hAnsi="Palatino Linotype" w:cs="Palatino Linotype"/>
          <w:color w:val="000000"/>
          <w:vertAlign w:val="superscript"/>
        </w:rPr>
        <w:footnoteReference w:id="9"/>
      </w:r>
      <w:r>
        <w:rPr>
          <w:rFonts w:ascii="Palatino Linotype" w:eastAsia="Palatino Linotype" w:hAnsi="Palatino Linotype" w:cs="Palatino Linotype"/>
          <w:color w:val="000000"/>
        </w:rPr>
        <w:t xml:space="preserve"> del servidor público que no tienen ninguna injerencia en el tema de la transparencia y la rendición de cuentas.</w:t>
      </w:r>
    </w:p>
    <w:p w14:paraId="29DE241B" w14:textId="77777777" w:rsidR="001472B8" w:rsidRDefault="001472B8">
      <w:pPr>
        <w:pBdr>
          <w:top w:val="nil"/>
          <w:left w:val="nil"/>
          <w:bottom w:val="nil"/>
          <w:right w:val="nil"/>
          <w:between w:val="nil"/>
        </w:pBdr>
        <w:ind w:left="708"/>
        <w:rPr>
          <w:rFonts w:ascii="Palatino Linotype" w:eastAsia="Palatino Linotype" w:hAnsi="Palatino Linotype" w:cs="Palatino Linotype"/>
          <w:color w:val="000000"/>
        </w:rPr>
      </w:pPr>
    </w:p>
    <w:p w14:paraId="4A1BD9F4" w14:textId="77777777" w:rsidR="001472B8" w:rsidRDefault="00A53610">
      <w:pPr>
        <w:keepNext/>
        <w:keepLines/>
        <w:spacing w:line="360" w:lineRule="auto"/>
        <w:rPr>
          <w:rFonts w:ascii="Palatino Linotype" w:eastAsia="Palatino Linotype" w:hAnsi="Palatino Linotype" w:cs="Palatino Linotype"/>
          <w:b/>
        </w:rPr>
      </w:pPr>
      <w:bookmarkStart w:id="23" w:name="_heading=h.1ci93xb" w:colFirst="0" w:colLast="0"/>
      <w:bookmarkEnd w:id="23"/>
      <w:r>
        <w:rPr>
          <w:rFonts w:ascii="Palatino Linotype" w:eastAsia="Palatino Linotype" w:hAnsi="Palatino Linotype" w:cs="Palatino Linotype"/>
          <w:b/>
        </w:rPr>
        <w:t xml:space="preserve">OCTAVO. De la Decisión </w:t>
      </w:r>
    </w:p>
    <w:p w14:paraId="29853DAF"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se atendió ninguno de los deberes establecidos por la norma para la atención de las solicitudes de acceso a la información y al no haber respondido de ninguna manera a la solicitud, la falta de respuesta implica un incumplimiento al deber de atender las solicitudes y en consecuencia una afectación al derecho.</w:t>
      </w:r>
    </w:p>
    <w:p w14:paraId="779C2675"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C7C4613"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Esta falta de respuesta, propició que se vulnerará el derecho de acceso a la información, lo que puede ser causa de responsabilidad administrativa por no atender lo que establece la ley, por lo cual se dará vista al Órgano Interno de Control.</w:t>
      </w:r>
    </w:p>
    <w:p w14:paraId="06990C37" w14:textId="77777777" w:rsidR="001472B8" w:rsidRDefault="001472B8">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38764E22"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con fundamento en el artículo 186, fracción IV, de la Ley de Transparencia a Acceso a la información Pública del Estado de México y Municipios, este Órgano Garante determina procedente </w:t>
      </w:r>
      <w:r>
        <w:rPr>
          <w:rFonts w:ascii="Palatino Linotype" w:eastAsia="Palatino Linotype" w:hAnsi="Palatino Linotype" w:cs="Palatino Linotype"/>
          <w:b/>
          <w:color w:val="000000"/>
        </w:rPr>
        <w:t>ORDENAR</w:t>
      </w:r>
      <w:r>
        <w:rPr>
          <w:rFonts w:ascii="Palatino Linotype" w:eastAsia="Palatino Linotype" w:hAnsi="Palatino Linotype" w:cs="Palatino Linotype"/>
          <w:color w:val="000000"/>
        </w:rPr>
        <w:t xml:space="preserve">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que, dé trámite y respuesta a la solicitud de información número </w:t>
      </w:r>
      <w:r>
        <w:rPr>
          <w:rFonts w:ascii="Palatino Linotype" w:eastAsia="Palatino Linotype" w:hAnsi="Palatino Linotype" w:cs="Palatino Linotype"/>
          <w:b/>
          <w:color w:val="000000"/>
        </w:rPr>
        <w:t xml:space="preserve"> 00082/ALMORI/IP/2024.</w:t>
      </w:r>
    </w:p>
    <w:p w14:paraId="2DA03203" w14:textId="77777777" w:rsidR="001472B8" w:rsidRDefault="001472B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5AB77C0" w14:textId="77777777" w:rsidR="001472B8" w:rsidRDefault="00A53610">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4E1DF8B6" w14:textId="77777777" w:rsidR="001472B8" w:rsidRDefault="00A53610">
      <w:pPr>
        <w:keepNext/>
        <w:keepLines/>
        <w:spacing w:line="360" w:lineRule="auto"/>
        <w:jc w:val="center"/>
        <w:rPr>
          <w:rFonts w:ascii="Palatino Linotype" w:eastAsia="Palatino Linotype" w:hAnsi="Palatino Linotype" w:cs="Palatino Linotype"/>
          <w:b/>
        </w:rPr>
      </w:pPr>
      <w:bookmarkStart w:id="24" w:name="_heading=h.3whwml4" w:colFirst="0" w:colLast="0"/>
      <w:bookmarkEnd w:id="24"/>
      <w:r>
        <w:rPr>
          <w:rFonts w:ascii="Palatino Linotype" w:eastAsia="Palatino Linotype" w:hAnsi="Palatino Linotype" w:cs="Palatino Linotype"/>
          <w:b/>
        </w:rPr>
        <w:lastRenderedPageBreak/>
        <w:t xml:space="preserve">R E S O L U T I V O S </w:t>
      </w:r>
    </w:p>
    <w:p w14:paraId="6EDB309C" w14:textId="77777777" w:rsidR="001472B8" w:rsidRDefault="001472B8">
      <w:pPr>
        <w:keepNext/>
        <w:keepLines/>
        <w:spacing w:line="360" w:lineRule="auto"/>
        <w:jc w:val="center"/>
        <w:rPr>
          <w:rFonts w:ascii="Palatino Linotype" w:eastAsia="Palatino Linotype" w:hAnsi="Palatino Linotype" w:cs="Palatino Linotype"/>
        </w:rPr>
      </w:pPr>
    </w:p>
    <w:p w14:paraId="69E4D059" w14:textId="77777777" w:rsidR="001472B8" w:rsidRDefault="00A5361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razones y motivos de inconformidad hechos valer en el recurso de revisión</w:t>
      </w:r>
      <w:r>
        <w:rPr>
          <w:rFonts w:ascii="Palatino Linotype" w:eastAsia="Palatino Linotype" w:hAnsi="Palatino Linotype" w:cs="Palatino Linotype"/>
          <w:b/>
        </w:rPr>
        <w:t xml:space="preserve"> 03373/INFOEM/IP/RR/2024</w:t>
      </w:r>
      <w:r>
        <w:rPr>
          <w:rFonts w:ascii="Palatino Linotype" w:eastAsia="Palatino Linotype" w:hAnsi="Palatino Linotype" w:cs="Palatino Linotype"/>
        </w:rPr>
        <w:t xml:space="preserve"> en términos de los </w:t>
      </w:r>
      <w:r>
        <w:rPr>
          <w:rFonts w:ascii="Palatino Linotype" w:eastAsia="Palatino Linotype" w:hAnsi="Palatino Linotype" w:cs="Palatino Linotype"/>
          <w:b/>
        </w:rPr>
        <w:t xml:space="preserve">Considerandos Cuarto y Séptimo </w:t>
      </w:r>
      <w:r>
        <w:rPr>
          <w:rFonts w:ascii="Palatino Linotype" w:eastAsia="Palatino Linotype" w:hAnsi="Palatino Linotype" w:cs="Palatino Linotype"/>
        </w:rPr>
        <w:t>de la presente resolución.</w:t>
      </w:r>
    </w:p>
    <w:p w14:paraId="0A19D3F5" w14:textId="77777777" w:rsidR="001472B8" w:rsidRDefault="001472B8">
      <w:pPr>
        <w:spacing w:line="360" w:lineRule="auto"/>
        <w:jc w:val="both"/>
        <w:rPr>
          <w:rFonts w:ascii="Palatino Linotype" w:eastAsia="Palatino Linotype" w:hAnsi="Palatino Linotype" w:cs="Palatino Linotype"/>
        </w:rPr>
      </w:pPr>
    </w:p>
    <w:p w14:paraId="1BE50784" w14:textId="77777777" w:rsidR="001472B8" w:rsidRDefault="00A53610">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Ayuntamiento de Almoloya del Río</w:t>
      </w:r>
      <w:r>
        <w:rPr>
          <w:rFonts w:ascii="Palatino Linotype" w:eastAsia="Palatino Linotype" w:hAnsi="Palatino Linotype" w:cs="Palatino Linotype"/>
        </w:rPr>
        <w:t xml:space="preserve"> dar atención a la solicitud de información </w:t>
      </w:r>
      <w:r>
        <w:rPr>
          <w:rFonts w:ascii="Palatino Linotype" w:eastAsia="Palatino Linotype" w:hAnsi="Palatino Linotype" w:cs="Palatino Linotype"/>
          <w:b/>
        </w:rPr>
        <w:t xml:space="preserve"> 00082/ALMORI/IP/2024 </w:t>
      </w:r>
      <w:r>
        <w:rPr>
          <w:rFonts w:ascii="Palatino Linotype" w:eastAsia="Palatino Linotype" w:hAnsi="Palatino Linotype" w:cs="Palatino Linotype"/>
        </w:rPr>
        <w:t xml:space="preserve">y en su caso, entregar la información vía Sistema de Acceso 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3C5E1E8E" w14:textId="77777777" w:rsidR="001472B8" w:rsidRDefault="001472B8">
      <w:pPr>
        <w:spacing w:line="360" w:lineRule="auto"/>
        <w:jc w:val="both"/>
        <w:rPr>
          <w:rFonts w:ascii="Palatino Linotype" w:eastAsia="Palatino Linotype" w:hAnsi="Palatino Linotype" w:cs="Palatino Linotype"/>
        </w:rPr>
      </w:pPr>
    </w:p>
    <w:p w14:paraId="01C711FE" w14:textId="77777777" w:rsidR="001472B8" w:rsidRDefault="00A53610">
      <w:pPr>
        <w:tabs>
          <w:tab w:val="left" w:pos="8080"/>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D0A0009" w14:textId="77777777" w:rsidR="008F6884" w:rsidRPr="0003239F" w:rsidRDefault="008F6884">
      <w:pPr>
        <w:tabs>
          <w:tab w:val="left" w:pos="8080"/>
        </w:tabs>
        <w:spacing w:line="360" w:lineRule="auto"/>
        <w:ind w:right="49"/>
        <w:jc w:val="both"/>
        <w:rPr>
          <w:rFonts w:ascii="Palatino Linotype" w:eastAsia="Palatino Linotype" w:hAnsi="Palatino Linotype" w:cs="Palatino Linotype"/>
          <w:b/>
          <w:sz w:val="18"/>
        </w:rPr>
      </w:pPr>
    </w:p>
    <w:p w14:paraId="13B02D0B" w14:textId="77777777" w:rsidR="001472B8" w:rsidRDefault="00A53610">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Notifíquese a</w:t>
      </w:r>
      <w:r>
        <w:rPr>
          <w:rFonts w:ascii="Palatino Linotype" w:eastAsia="Palatino Linotype" w:hAnsi="Palatino Linotype" w:cs="Palatino Linotype"/>
          <w:b/>
        </w:rPr>
        <w:t xml:space="preserve"> EL RECURRENTE </w:t>
      </w:r>
      <w:r>
        <w:rPr>
          <w:rFonts w:ascii="Palatino Linotype" w:eastAsia="Palatino Linotype" w:hAnsi="Palatino Linotype" w:cs="Palatino Linotype"/>
        </w:rPr>
        <w:t>la presente resolución, vía</w:t>
      </w:r>
      <w:r>
        <w:rPr>
          <w:rFonts w:ascii="Palatino Linotype" w:eastAsia="Palatino Linotype" w:hAnsi="Palatino Linotype" w:cs="Palatino Linotype"/>
          <w:b/>
        </w:rPr>
        <w:t xml:space="preserve"> SAIMEX</w:t>
      </w:r>
      <w:r>
        <w:rPr>
          <w:rFonts w:ascii="Palatino Linotype" w:eastAsia="Palatino Linotype" w:hAnsi="Palatino Linotype" w:cs="Palatino Linotype"/>
        </w:rPr>
        <w:t>.</w:t>
      </w:r>
    </w:p>
    <w:p w14:paraId="68BCCC52" w14:textId="77777777" w:rsidR="001472B8" w:rsidRDefault="00A53610">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 xml:space="preserve">que de conformidad con lo establecido en el artículo 196 de la Ley de Transparencia y Acceso a la Información </w:t>
      </w:r>
      <w:r>
        <w:rPr>
          <w:rFonts w:ascii="Palatino Linotype" w:eastAsia="Palatino Linotype" w:hAnsi="Palatino Linotype" w:cs="Palatino Linotype"/>
        </w:rPr>
        <w:lastRenderedPageBreak/>
        <w:t>Pública del Estado de México y Municipios, en caso de que considere que la resolución le cause algún perjuicio podrá impugnarla vía juicio de amparo en los términos de las leyes aplicables.</w:t>
      </w:r>
    </w:p>
    <w:p w14:paraId="2DF75103" w14:textId="77777777" w:rsidR="001472B8" w:rsidRPr="0003239F" w:rsidRDefault="001472B8">
      <w:pPr>
        <w:shd w:val="clear" w:color="auto" w:fill="FFFFFF"/>
        <w:spacing w:line="360" w:lineRule="auto"/>
        <w:jc w:val="both"/>
        <w:rPr>
          <w:rFonts w:ascii="Palatino Linotype" w:eastAsia="Palatino Linotype" w:hAnsi="Palatino Linotype" w:cs="Palatino Linotype"/>
          <w:sz w:val="18"/>
        </w:rPr>
      </w:pPr>
    </w:p>
    <w:p w14:paraId="03EBB729" w14:textId="77777777" w:rsidR="001472B8" w:rsidRDefault="00A5361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 xml:space="preserve">Hágase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la respuesta que dé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4DE55EC" w14:textId="77777777" w:rsidR="001472B8" w:rsidRPr="0003239F" w:rsidRDefault="001472B8">
      <w:pPr>
        <w:spacing w:line="360" w:lineRule="auto"/>
        <w:jc w:val="both"/>
        <w:rPr>
          <w:rFonts w:ascii="Palatino Linotype" w:eastAsia="Palatino Linotype" w:hAnsi="Palatino Linotype" w:cs="Palatino Linotype"/>
          <w:b/>
          <w:sz w:val="18"/>
        </w:rPr>
      </w:pPr>
    </w:p>
    <w:p w14:paraId="6092F0C9" w14:textId="77777777" w:rsidR="001472B8" w:rsidRDefault="00A53610">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SÉPTIMO. </w:t>
      </w:r>
      <w:r>
        <w:rPr>
          <w:rFonts w:ascii="Palatino Linotype" w:eastAsia="Palatino Linotype" w:hAnsi="Palatino Linotype" w:cs="Palatino Linotype"/>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Pr>
          <w:rFonts w:ascii="Palatino Linotype" w:eastAsia="Palatino Linotype" w:hAnsi="Palatino Linotype" w:cs="Palatino Linotype"/>
          <w:b/>
        </w:rPr>
        <w:t>SEXTO</w:t>
      </w:r>
      <w:r>
        <w:rPr>
          <w:rFonts w:ascii="Palatino Linotype" w:eastAsia="Palatino Linotype" w:hAnsi="Palatino Linotype" w:cs="Palatino Linotype"/>
        </w:rPr>
        <w:t xml:space="preserve"> de la presente Resolución.</w:t>
      </w:r>
    </w:p>
    <w:p w14:paraId="002C35C0" w14:textId="77777777" w:rsidR="001472B8" w:rsidRPr="0003239F" w:rsidRDefault="001472B8" w:rsidP="0003239F">
      <w:pPr>
        <w:spacing w:line="360" w:lineRule="auto"/>
        <w:ind w:firstLine="720"/>
        <w:jc w:val="both"/>
        <w:rPr>
          <w:rFonts w:ascii="Palatino Linotype" w:eastAsia="Palatino Linotype" w:hAnsi="Palatino Linotype" w:cs="Palatino Linotype"/>
          <w:b/>
          <w:sz w:val="6"/>
        </w:rPr>
      </w:pPr>
    </w:p>
    <w:p w14:paraId="3B16BB5A" w14:textId="77777777" w:rsidR="008F6884" w:rsidRPr="008F6884" w:rsidRDefault="008F6884" w:rsidP="0003239F">
      <w:pPr>
        <w:spacing w:before="240" w:after="240" w:line="276" w:lineRule="auto"/>
        <w:ind w:firstLine="1"/>
        <w:jc w:val="both"/>
        <w:rPr>
          <w:rStyle w:val="Referenciasutil"/>
          <w:rFonts w:ascii="Palatino Linotype" w:hAnsi="Palatino Linotype"/>
          <w:color w:val="auto"/>
        </w:rPr>
      </w:pPr>
      <w:bookmarkStart w:id="25" w:name="_heading=h.2bn6wsx" w:colFirst="0" w:colLast="0"/>
      <w:bookmarkStart w:id="26" w:name="_Hlk129792997"/>
      <w:bookmarkEnd w:id="25"/>
      <w:r w:rsidRPr="008F6884">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SEGUNDA SESIÓN ORDINARIA CELEBRADA EL DIECINUEVE (19) DE JUNIO DE DOS MIL VEINTICUATRO, ANTE EL SECRETARIO TÉCNICO DEL PLENO ALEXIS TAPIA RAMÍREZ. </w:t>
      </w:r>
      <w:bookmarkEnd w:id="26"/>
    </w:p>
    <w:p w14:paraId="721E32CD" w14:textId="77777777" w:rsidR="001472B8" w:rsidRDefault="001472B8">
      <w:pPr>
        <w:tabs>
          <w:tab w:val="left" w:pos="0"/>
        </w:tabs>
        <w:spacing w:line="360" w:lineRule="auto"/>
        <w:ind w:right="49"/>
        <w:jc w:val="both"/>
        <w:rPr>
          <w:rFonts w:ascii="Palatino Linotype" w:eastAsia="Palatino Linotype" w:hAnsi="Palatino Linotype" w:cs="Palatino Linotype"/>
        </w:rPr>
      </w:pPr>
    </w:p>
    <w:p w14:paraId="0B8FD92A" w14:textId="77777777" w:rsidR="001472B8" w:rsidRDefault="001472B8">
      <w:pPr>
        <w:spacing w:line="360" w:lineRule="auto"/>
        <w:rPr>
          <w:rFonts w:ascii="Palatino Linotype" w:eastAsia="Palatino Linotype" w:hAnsi="Palatino Linotype" w:cs="Palatino Linotype"/>
        </w:rPr>
      </w:pPr>
    </w:p>
    <w:p w14:paraId="288AC8F2" w14:textId="77777777" w:rsidR="001472B8" w:rsidRDefault="001472B8">
      <w:pPr>
        <w:spacing w:line="360" w:lineRule="auto"/>
        <w:rPr>
          <w:rFonts w:ascii="Palatino Linotype" w:eastAsia="Palatino Linotype" w:hAnsi="Palatino Linotype" w:cs="Palatino Linotype"/>
        </w:rPr>
      </w:pPr>
    </w:p>
    <w:p w14:paraId="6F4BB797" w14:textId="77777777" w:rsidR="001472B8" w:rsidRDefault="001472B8">
      <w:pPr>
        <w:spacing w:line="360" w:lineRule="auto"/>
        <w:rPr>
          <w:rFonts w:ascii="Palatino Linotype" w:eastAsia="Palatino Linotype" w:hAnsi="Palatino Linotype" w:cs="Palatino Linotype"/>
        </w:rPr>
      </w:pPr>
    </w:p>
    <w:p w14:paraId="46CF073A" w14:textId="77777777" w:rsidR="001472B8" w:rsidRDefault="001472B8">
      <w:pPr>
        <w:spacing w:line="360" w:lineRule="auto"/>
        <w:rPr>
          <w:rFonts w:ascii="Palatino Linotype" w:eastAsia="Palatino Linotype" w:hAnsi="Palatino Linotype" w:cs="Palatino Linotype"/>
        </w:rPr>
      </w:pPr>
    </w:p>
    <w:p w14:paraId="0F552127" w14:textId="77777777" w:rsidR="001472B8" w:rsidRDefault="001472B8">
      <w:pPr>
        <w:spacing w:line="360" w:lineRule="auto"/>
        <w:rPr>
          <w:rFonts w:ascii="Palatino Linotype" w:eastAsia="Palatino Linotype" w:hAnsi="Palatino Linotype" w:cs="Palatino Linotype"/>
        </w:rPr>
      </w:pPr>
    </w:p>
    <w:p w14:paraId="4FE589EB" w14:textId="77777777" w:rsidR="001472B8" w:rsidRDefault="001472B8">
      <w:pPr>
        <w:spacing w:line="360" w:lineRule="auto"/>
        <w:rPr>
          <w:rFonts w:ascii="Palatino Linotype" w:eastAsia="Palatino Linotype" w:hAnsi="Palatino Linotype" w:cs="Palatino Linotype"/>
        </w:rPr>
      </w:pPr>
    </w:p>
    <w:p w14:paraId="33E8D16A" w14:textId="77777777" w:rsidR="001472B8" w:rsidRDefault="001472B8">
      <w:pPr>
        <w:spacing w:line="360" w:lineRule="auto"/>
        <w:rPr>
          <w:rFonts w:ascii="Palatino Linotype" w:eastAsia="Palatino Linotype" w:hAnsi="Palatino Linotype" w:cs="Palatino Linotype"/>
        </w:rPr>
      </w:pPr>
    </w:p>
    <w:p w14:paraId="05B6AF92" w14:textId="77777777" w:rsidR="001472B8" w:rsidRDefault="001472B8">
      <w:pPr>
        <w:spacing w:line="360" w:lineRule="auto"/>
        <w:rPr>
          <w:rFonts w:ascii="Palatino Linotype" w:eastAsia="Palatino Linotype" w:hAnsi="Palatino Linotype" w:cs="Palatino Linotype"/>
        </w:rPr>
      </w:pPr>
    </w:p>
    <w:p w14:paraId="4C7A2245" w14:textId="77777777" w:rsidR="001472B8" w:rsidRDefault="001472B8">
      <w:pPr>
        <w:spacing w:line="360" w:lineRule="auto"/>
        <w:rPr>
          <w:rFonts w:ascii="Palatino Linotype" w:eastAsia="Palatino Linotype" w:hAnsi="Palatino Linotype" w:cs="Palatino Linotype"/>
        </w:rPr>
      </w:pPr>
    </w:p>
    <w:p w14:paraId="04818DAF" w14:textId="77777777" w:rsidR="001472B8" w:rsidRDefault="001472B8">
      <w:pPr>
        <w:spacing w:line="360" w:lineRule="auto"/>
        <w:rPr>
          <w:rFonts w:ascii="Palatino Linotype" w:eastAsia="Palatino Linotype" w:hAnsi="Palatino Linotype" w:cs="Palatino Linotype"/>
        </w:rPr>
      </w:pPr>
    </w:p>
    <w:p w14:paraId="7925132A" w14:textId="77777777" w:rsidR="001472B8" w:rsidRDefault="001472B8">
      <w:pPr>
        <w:spacing w:line="360" w:lineRule="auto"/>
        <w:rPr>
          <w:rFonts w:ascii="Palatino Linotype" w:eastAsia="Palatino Linotype" w:hAnsi="Palatino Linotype" w:cs="Palatino Linotype"/>
        </w:rPr>
      </w:pPr>
    </w:p>
    <w:p w14:paraId="1E5D32FD" w14:textId="77777777" w:rsidR="001472B8" w:rsidRDefault="001472B8">
      <w:pPr>
        <w:spacing w:line="360" w:lineRule="auto"/>
        <w:rPr>
          <w:rFonts w:ascii="Palatino Linotype" w:eastAsia="Palatino Linotype" w:hAnsi="Palatino Linotype" w:cs="Palatino Linotype"/>
        </w:rPr>
      </w:pPr>
    </w:p>
    <w:p w14:paraId="7879C9C8" w14:textId="77777777" w:rsidR="001472B8" w:rsidRDefault="001472B8">
      <w:pPr>
        <w:spacing w:line="360" w:lineRule="auto"/>
        <w:rPr>
          <w:rFonts w:ascii="Palatino Linotype" w:eastAsia="Palatino Linotype" w:hAnsi="Palatino Linotype" w:cs="Palatino Linotype"/>
        </w:rPr>
      </w:pPr>
    </w:p>
    <w:p w14:paraId="733EEE7F" w14:textId="77777777" w:rsidR="001472B8" w:rsidRDefault="001472B8">
      <w:pPr>
        <w:spacing w:line="360" w:lineRule="auto"/>
        <w:rPr>
          <w:rFonts w:ascii="Palatino Linotype" w:eastAsia="Palatino Linotype" w:hAnsi="Palatino Linotype" w:cs="Palatino Linotype"/>
        </w:rPr>
      </w:pPr>
    </w:p>
    <w:p w14:paraId="50506D41" w14:textId="77777777" w:rsidR="001472B8" w:rsidRDefault="001472B8">
      <w:pPr>
        <w:spacing w:line="360" w:lineRule="auto"/>
        <w:rPr>
          <w:rFonts w:ascii="Palatino Linotype" w:eastAsia="Palatino Linotype" w:hAnsi="Palatino Linotype" w:cs="Palatino Linotype"/>
        </w:rPr>
      </w:pPr>
    </w:p>
    <w:p w14:paraId="387C3ED7" w14:textId="77777777" w:rsidR="001472B8" w:rsidRDefault="001472B8">
      <w:pPr>
        <w:spacing w:line="360" w:lineRule="auto"/>
        <w:rPr>
          <w:rFonts w:ascii="Palatino Linotype" w:eastAsia="Palatino Linotype" w:hAnsi="Palatino Linotype" w:cs="Palatino Linotype"/>
        </w:rPr>
      </w:pPr>
    </w:p>
    <w:p w14:paraId="11838AFC" w14:textId="77777777" w:rsidR="001472B8" w:rsidRDefault="001472B8">
      <w:pPr>
        <w:spacing w:line="360" w:lineRule="auto"/>
        <w:rPr>
          <w:rFonts w:ascii="Palatino Linotype" w:eastAsia="Palatino Linotype" w:hAnsi="Palatino Linotype" w:cs="Palatino Linotype"/>
        </w:rPr>
      </w:pPr>
    </w:p>
    <w:p w14:paraId="7E77A6F5" w14:textId="77777777" w:rsidR="001472B8" w:rsidRDefault="001472B8">
      <w:pPr>
        <w:spacing w:line="360" w:lineRule="auto"/>
        <w:rPr>
          <w:rFonts w:ascii="Palatino Linotype" w:eastAsia="Palatino Linotype" w:hAnsi="Palatino Linotype" w:cs="Palatino Linotype"/>
        </w:rPr>
      </w:pPr>
    </w:p>
    <w:p w14:paraId="4F4CF4CC" w14:textId="77777777" w:rsidR="001472B8" w:rsidRDefault="001472B8">
      <w:pPr>
        <w:rPr>
          <w:rFonts w:ascii="Palatino Linotype" w:eastAsia="Palatino Linotype" w:hAnsi="Palatino Linotype" w:cs="Palatino Linotype"/>
        </w:rPr>
      </w:pPr>
    </w:p>
    <w:p w14:paraId="5658103F" w14:textId="77777777" w:rsidR="001472B8" w:rsidRDefault="001472B8">
      <w:pPr>
        <w:rPr>
          <w:rFonts w:ascii="Palatino Linotype" w:eastAsia="Palatino Linotype" w:hAnsi="Palatino Linotype" w:cs="Palatino Linotype"/>
        </w:rPr>
      </w:pPr>
    </w:p>
    <w:p w14:paraId="0B742E6F" w14:textId="77777777" w:rsidR="001472B8" w:rsidRDefault="001472B8">
      <w:pPr>
        <w:rPr>
          <w:rFonts w:ascii="Palatino Linotype" w:eastAsia="Palatino Linotype" w:hAnsi="Palatino Linotype" w:cs="Palatino Linotype"/>
        </w:rPr>
      </w:pPr>
    </w:p>
    <w:p w14:paraId="0326213C" w14:textId="77777777" w:rsidR="001472B8" w:rsidRDefault="001472B8">
      <w:pPr>
        <w:rPr>
          <w:rFonts w:ascii="Palatino Linotype" w:eastAsia="Palatino Linotype" w:hAnsi="Palatino Linotype" w:cs="Palatino Linotype"/>
        </w:rPr>
      </w:pPr>
    </w:p>
    <w:p w14:paraId="68D5A428" w14:textId="77777777" w:rsidR="001472B8" w:rsidRDefault="001472B8">
      <w:pPr>
        <w:rPr>
          <w:rFonts w:ascii="Palatino Linotype" w:eastAsia="Palatino Linotype" w:hAnsi="Palatino Linotype" w:cs="Palatino Linotype"/>
        </w:rPr>
      </w:pPr>
    </w:p>
    <w:p w14:paraId="67077690" w14:textId="77777777" w:rsidR="001472B8" w:rsidRDefault="001472B8">
      <w:pPr>
        <w:rPr>
          <w:rFonts w:ascii="Palatino Linotype" w:eastAsia="Palatino Linotype" w:hAnsi="Palatino Linotype" w:cs="Palatino Linotype"/>
        </w:rPr>
      </w:pPr>
    </w:p>
    <w:sectPr w:rsidR="001472B8" w:rsidSect="008F6884">
      <w:headerReference w:type="default" r:id="rId10"/>
      <w:footerReference w:type="default" r:id="rId11"/>
      <w:headerReference w:type="first" r:id="rId12"/>
      <w:footerReference w:type="first" r:id="rId13"/>
      <w:pgSz w:w="12240" w:h="15840"/>
      <w:pgMar w:top="2410" w:right="1325" w:bottom="1985"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6E98" w14:textId="77777777" w:rsidR="00920574" w:rsidRDefault="00920574">
      <w:r>
        <w:separator/>
      </w:r>
    </w:p>
  </w:endnote>
  <w:endnote w:type="continuationSeparator" w:id="0">
    <w:p w14:paraId="1E945A34" w14:textId="77777777" w:rsidR="00920574" w:rsidRDefault="0092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44DA" w14:textId="77777777" w:rsidR="001472B8" w:rsidRDefault="00A5361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3239F">
      <w:rPr>
        <w:rFonts w:ascii="Arial" w:eastAsia="Arial" w:hAnsi="Arial" w:cs="Arial"/>
        <w:b/>
        <w:noProof/>
        <w:color w:val="000000"/>
        <w:sz w:val="20"/>
        <w:szCs w:val="20"/>
      </w:rPr>
      <w:t>43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3239F">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6BA504BB" w14:textId="77777777" w:rsidR="001472B8" w:rsidRDefault="001472B8">
    <w:pPr>
      <w:pBdr>
        <w:top w:val="nil"/>
        <w:left w:val="nil"/>
        <w:bottom w:val="nil"/>
        <w:right w:val="nil"/>
        <w:between w:val="nil"/>
      </w:pBdr>
      <w:tabs>
        <w:tab w:val="center" w:pos="4252"/>
        <w:tab w:val="right" w:pos="8504"/>
      </w:tabs>
      <w:rPr>
        <w:color w:val="000000"/>
      </w:rPr>
    </w:pPr>
  </w:p>
  <w:p w14:paraId="34B37A36" w14:textId="77777777" w:rsidR="001472B8" w:rsidRDefault="001472B8">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F1AE" w14:textId="77777777" w:rsidR="001472B8" w:rsidRDefault="00A5361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3239F">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3239F">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129B88F7" w14:textId="77777777" w:rsidR="001472B8" w:rsidRDefault="001472B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351C" w14:textId="77777777" w:rsidR="00920574" w:rsidRDefault="00920574">
      <w:r>
        <w:separator/>
      </w:r>
    </w:p>
  </w:footnote>
  <w:footnote w:type="continuationSeparator" w:id="0">
    <w:p w14:paraId="340A176D" w14:textId="77777777" w:rsidR="00920574" w:rsidRDefault="00920574">
      <w:r>
        <w:continuationSeparator/>
      </w:r>
    </w:p>
  </w:footnote>
  <w:footnote w:id="1">
    <w:p w14:paraId="2C9772F4" w14:textId="77777777" w:rsidR="001472B8" w:rsidRDefault="00A5361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4921C0C6" w14:textId="77777777" w:rsidR="001472B8" w:rsidRDefault="00A5361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2EED465F" w14:textId="77777777" w:rsidR="001472B8" w:rsidRDefault="00A5361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5FB16734" w14:textId="77777777" w:rsidR="001472B8" w:rsidRDefault="00A5361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14:paraId="33D114AD" w14:textId="77777777" w:rsidR="001472B8" w:rsidRDefault="00A53610">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w:t>
      </w:r>
      <w:r>
        <w:rPr>
          <w:rFonts w:ascii="Palatino Linotype" w:eastAsia="Palatino Linotype" w:hAnsi="Palatino Linotype" w:cs="Palatino Linotype"/>
          <w:b/>
          <w:color w:val="000000"/>
          <w:sz w:val="14"/>
          <w:szCs w:val="14"/>
        </w:rPr>
        <w:t>RESTRICCIONES A LOS DERECHOS FUNDAMENTALES. ELEMENTOS QUE EL JUEZ CONSTITUCIONAL DEBE TOMAR EN CUENTA PARA CONSIDERARLAS VÁLIDAS.</w:t>
      </w:r>
      <w:r>
        <w:rPr>
          <w:rFonts w:ascii="Palatino Linotype" w:eastAsia="Palatino Linotype" w:hAnsi="Palatino Linotype" w:cs="Palatino Linotype"/>
          <w:color w:val="000000"/>
          <w:sz w:val="14"/>
          <w:szCs w:val="14"/>
        </w:rPr>
        <w:t xml:space="preserve"> Ningún derecho fundamental es absoluto y en esa medida todos admiten restricciones. Sin embargo, la regulación de dichas restricciones no puede ser arbitraria. Para que las medidas emitidas por el legislador ordinario con el propósito de restringir los derechos fundamentales sean válidas, deben satisfacer al menos los siguientes requisitos: a) ser admisibles dentro del ámbito constitucional, esto es, el legislador ordinario sólo puede restringir o suspender el ejercicio de las garantías individuales con objetivos que puedan enmarcarse dentro de las previsiones de la Carta Magna; b) ser necesarias para asegurar la obtención de los fines que fundamentan la restricción constitucional, es decir, no basta que la restricción sea en términos amplios útil para la obtención de esos objetivos, sino que debe ser la idónea para su realización,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persecución de un objetivo constitucional no puede hacerse a costa de una afectación innecesaria o desmedida a otros bienes y derechos constitucionalmente protegidos. Así, el juzgador debe determinar en cada caso si la restricción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distinción legislativa se encuentra dentro de las opciones de tratamiento que pueden considerarse proporcionales. De igual manera, las restricciones deberán estar en consonancia con la ley, incluidas las normas internacionales de derechos humanos, y ser compatibles con la naturaleza de los derechos amparados por la Constitución, en aras de la consecución de los objetivos legítimos perseguidos, y ser estrictamente necesarias para promover el bienestar general en una sociedad democrática. </w:t>
      </w:r>
    </w:p>
    <w:p w14:paraId="77130211" w14:textId="77777777" w:rsidR="001472B8" w:rsidRDefault="00A53610">
      <w:pPr>
        <w:pBdr>
          <w:top w:val="nil"/>
          <w:left w:val="nil"/>
          <w:bottom w:val="nil"/>
          <w:right w:val="nil"/>
          <w:between w:val="nil"/>
        </w:pBdr>
        <w:jc w:val="both"/>
        <w:rPr>
          <w:rFonts w:ascii="Palatino Linotype" w:eastAsia="Palatino Linotype" w:hAnsi="Palatino Linotype" w:cs="Palatino Linotype"/>
          <w:color w:val="000000"/>
          <w:sz w:val="14"/>
          <w:szCs w:val="14"/>
        </w:rPr>
      </w:pPr>
      <w:r>
        <w:rPr>
          <w:rFonts w:ascii="Palatino Linotype" w:eastAsia="Palatino Linotype" w:hAnsi="Palatino Linotype" w:cs="Palatino Linotype"/>
          <w:color w:val="000000"/>
          <w:sz w:val="14"/>
          <w:szCs w:val="14"/>
        </w:rPr>
        <w:t xml:space="preserve">1a./J. 2/2012 (9a.). Primera Sala. Décima Época. Semanario Judicial de la Federación y su Gaceta. Libro V, Febrero de 2012, Pág. 533.  </w:t>
      </w:r>
    </w:p>
  </w:footnote>
  <w:footnote w:id="6">
    <w:p w14:paraId="2F43427C" w14:textId="77777777" w:rsidR="001472B8" w:rsidRDefault="00A53610">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Pr>
          <w:rFonts w:ascii="Palatino Linotype" w:eastAsia="Palatino Linotype" w:hAnsi="Palatino Linotype" w:cs="Palatino Linotype"/>
          <w:i/>
          <w:color w:val="000000"/>
          <w:sz w:val="14"/>
          <w:szCs w:val="14"/>
        </w:rPr>
        <w:t>Marco jurídico interamericano sobre el derecho a la libertad de expresión</w:t>
      </w:r>
      <w:r>
        <w:rPr>
          <w:rFonts w:ascii="Palatino Linotype" w:eastAsia="Palatino Linotype" w:hAnsi="Palatino Linotype" w:cs="Palatino Linotype"/>
          <w:color w:val="000000"/>
          <w:sz w:val="14"/>
          <w:szCs w:val="14"/>
        </w:rPr>
        <w:t xml:space="preserve">. Párr. 67. </w:t>
      </w:r>
    </w:p>
  </w:footnote>
  <w:footnote w:id="7">
    <w:p w14:paraId="425A4FB6" w14:textId="77777777" w:rsidR="001472B8" w:rsidRDefault="00A53610">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1DB0C998" w14:textId="77777777" w:rsidR="001472B8" w:rsidRDefault="00A53610">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223282D8" w14:textId="77777777" w:rsidR="001472B8" w:rsidRDefault="00A53610">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Pp 1-19. </w:t>
      </w:r>
    </w:p>
  </w:footnote>
  <w:footnote w:id="8">
    <w:p w14:paraId="06D25BE8" w14:textId="77777777" w:rsidR="001472B8" w:rsidRDefault="00A53610">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Tribunales Colegiados de Circuito. Novena Epoca. Semanario Judicial de la Federación y su Gaceta. Tomo III, marzo de 1996. Pág 769. Consultado en http://sjf.scjn.gob.mx/sjfsist/Documentos/Tesis/203/203143.pdf  el viernes 16 de junio de 2017.</w:t>
      </w:r>
    </w:p>
  </w:footnote>
  <w:footnote w:id="9">
    <w:p w14:paraId="4F1C990A" w14:textId="77777777" w:rsidR="001472B8" w:rsidRDefault="00A53610">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Artículo 3. Para los efectos de la presente Ley se entenderá por:</w:t>
      </w:r>
    </w:p>
    <w:p w14:paraId="1727F299" w14:textId="77777777" w:rsidR="001472B8" w:rsidRDefault="00A53610">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w:t>
      </w:r>
    </w:p>
    <w:p w14:paraId="72928283" w14:textId="77777777" w:rsidR="001472B8" w:rsidRDefault="00A53610">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IX. Datos personales: La información concerniente a una persona, identificada o identificable según lo dispuesto por la Ley de Protección de Datos Personales del Estado de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5AA0" w14:textId="77777777" w:rsidR="001472B8" w:rsidRDefault="001472B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bl>
    <w:tblPr>
      <w:tblStyle w:val="a"/>
      <w:tblW w:w="6930" w:type="dxa"/>
      <w:tblInd w:w="2977" w:type="dxa"/>
      <w:tblLayout w:type="fixed"/>
      <w:tblLook w:val="0400" w:firstRow="0" w:lastRow="0" w:firstColumn="0" w:lastColumn="0" w:noHBand="0" w:noVBand="1"/>
    </w:tblPr>
    <w:tblGrid>
      <w:gridCol w:w="2550"/>
      <w:gridCol w:w="4380"/>
    </w:tblGrid>
    <w:tr w:rsidR="001472B8" w14:paraId="7E6B68A7" w14:textId="77777777">
      <w:tc>
        <w:tcPr>
          <w:tcW w:w="2550" w:type="dxa"/>
          <w:vAlign w:val="center"/>
        </w:tcPr>
        <w:p w14:paraId="1F6497CD" w14:textId="77777777" w:rsidR="001472B8" w:rsidRDefault="00A5361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80" w:type="dxa"/>
          <w:vAlign w:val="center"/>
        </w:tcPr>
        <w:p w14:paraId="712047B2" w14:textId="77777777" w:rsidR="001472B8" w:rsidRDefault="00A53610">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03373/INFOEM/IP/RR/2024</w:t>
          </w:r>
        </w:p>
      </w:tc>
    </w:tr>
    <w:tr w:rsidR="001472B8" w14:paraId="5A6549B8" w14:textId="77777777">
      <w:trPr>
        <w:trHeight w:val="228"/>
      </w:trPr>
      <w:tc>
        <w:tcPr>
          <w:tcW w:w="2550" w:type="dxa"/>
          <w:vAlign w:val="center"/>
        </w:tcPr>
        <w:p w14:paraId="799ACB92" w14:textId="77777777" w:rsidR="001472B8" w:rsidRDefault="00A5361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80" w:type="dxa"/>
          <w:vAlign w:val="center"/>
        </w:tcPr>
        <w:p w14:paraId="42809873" w14:textId="77777777" w:rsidR="001472B8" w:rsidRDefault="00A53610">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Almoloya del Río</w:t>
          </w:r>
        </w:p>
      </w:tc>
    </w:tr>
    <w:tr w:rsidR="001472B8" w14:paraId="7484E537" w14:textId="77777777">
      <w:tc>
        <w:tcPr>
          <w:tcW w:w="2550" w:type="dxa"/>
          <w:vAlign w:val="center"/>
        </w:tcPr>
        <w:p w14:paraId="7AC9FECB" w14:textId="77777777" w:rsidR="001472B8" w:rsidRDefault="00A5361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80" w:type="dxa"/>
          <w:vAlign w:val="center"/>
        </w:tcPr>
        <w:p w14:paraId="3240A19D" w14:textId="77777777" w:rsidR="001472B8" w:rsidRDefault="00A53610">
          <w:pPr>
            <w:ind w:right="-53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295A5F60" w14:textId="77777777" w:rsidR="001472B8" w:rsidRDefault="00A5361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rPr>
      <w:drawing>
        <wp:anchor distT="0" distB="0" distL="0" distR="0" simplePos="0" relativeHeight="251658240" behindDoc="1" locked="0" layoutInCell="1" hidden="0" allowOverlap="1" wp14:anchorId="6F9A1E34" wp14:editId="068598BF">
          <wp:simplePos x="0" y="0"/>
          <wp:positionH relativeFrom="column">
            <wp:posOffset>-1071901</wp:posOffset>
          </wp:positionH>
          <wp:positionV relativeFrom="paragraph">
            <wp:posOffset>-997298</wp:posOffset>
          </wp:positionV>
          <wp:extent cx="7809876" cy="10165823"/>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B33E" w14:textId="77777777" w:rsidR="001472B8" w:rsidRDefault="00A53610">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lang w:val="es-MX"/>
      </w:rPr>
      <w:drawing>
        <wp:anchor distT="0" distB="0" distL="0" distR="0" simplePos="0" relativeHeight="251659264" behindDoc="1" locked="0" layoutInCell="1" hidden="0" allowOverlap="1" wp14:anchorId="4E418192" wp14:editId="4214A1FE">
          <wp:simplePos x="0" y="0"/>
          <wp:positionH relativeFrom="column">
            <wp:posOffset>-1078864</wp:posOffset>
          </wp:positionH>
          <wp:positionV relativeFrom="paragraph">
            <wp:posOffset>-411479</wp:posOffset>
          </wp:positionV>
          <wp:extent cx="7813085" cy="101700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0"/>
      <w:tblW w:w="6795" w:type="dxa"/>
      <w:tblInd w:w="3119" w:type="dxa"/>
      <w:tblLayout w:type="fixed"/>
      <w:tblLook w:val="0400" w:firstRow="0" w:lastRow="0" w:firstColumn="0" w:lastColumn="0" w:noHBand="0" w:noVBand="1"/>
    </w:tblPr>
    <w:tblGrid>
      <w:gridCol w:w="2550"/>
      <w:gridCol w:w="4245"/>
    </w:tblGrid>
    <w:tr w:rsidR="001472B8" w14:paraId="2468DE30" w14:textId="77777777">
      <w:tc>
        <w:tcPr>
          <w:tcW w:w="2550" w:type="dxa"/>
          <w:vAlign w:val="center"/>
        </w:tcPr>
        <w:p w14:paraId="673F467C" w14:textId="77777777" w:rsidR="001472B8" w:rsidRDefault="00A5361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45" w:type="dxa"/>
          <w:vAlign w:val="center"/>
        </w:tcPr>
        <w:p w14:paraId="017FF1B8" w14:textId="77777777" w:rsidR="001472B8" w:rsidRDefault="00A53610">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03373/INFOEM/IP/RR/2024</w:t>
          </w:r>
        </w:p>
      </w:tc>
    </w:tr>
    <w:tr w:rsidR="001472B8" w14:paraId="55DA15B6" w14:textId="77777777">
      <w:tc>
        <w:tcPr>
          <w:tcW w:w="2550" w:type="dxa"/>
          <w:vAlign w:val="center"/>
        </w:tcPr>
        <w:p w14:paraId="66208FB5" w14:textId="77777777" w:rsidR="001472B8" w:rsidRDefault="00A53610">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45" w:type="dxa"/>
          <w:vAlign w:val="center"/>
        </w:tcPr>
        <w:p w14:paraId="0A3607E8" w14:textId="40714F35" w:rsidR="001472B8" w:rsidRDefault="009327ED">
          <w:pPr>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1472B8" w14:paraId="75E81CB0" w14:textId="77777777">
      <w:trPr>
        <w:trHeight w:val="228"/>
      </w:trPr>
      <w:tc>
        <w:tcPr>
          <w:tcW w:w="2550" w:type="dxa"/>
          <w:vAlign w:val="center"/>
        </w:tcPr>
        <w:p w14:paraId="2A7FDD6E" w14:textId="77777777" w:rsidR="001472B8" w:rsidRDefault="00A5361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45" w:type="dxa"/>
          <w:vAlign w:val="center"/>
        </w:tcPr>
        <w:p w14:paraId="065E9789" w14:textId="77777777" w:rsidR="001472B8" w:rsidRDefault="00A53610">
          <w:pPr>
            <w:ind w:left="35" w:hanging="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Almoloya del Río</w:t>
          </w:r>
        </w:p>
      </w:tc>
    </w:tr>
    <w:tr w:rsidR="001472B8" w14:paraId="5AA6D444" w14:textId="77777777">
      <w:tc>
        <w:tcPr>
          <w:tcW w:w="2550" w:type="dxa"/>
          <w:vAlign w:val="center"/>
        </w:tcPr>
        <w:p w14:paraId="64A1756F" w14:textId="77777777" w:rsidR="001472B8" w:rsidRDefault="00A5361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45" w:type="dxa"/>
          <w:vAlign w:val="center"/>
        </w:tcPr>
        <w:p w14:paraId="212319F0" w14:textId="77777777" w:rsidR="001472B8" w:rsidRDefault="00A53610">
          <w:pPr>
            <w:ind w:right="-53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4D2A2ADD" w14:textId="77777777" w:rsidR="001472B8" w:rsidRDefault="001472B8">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26F"/>
    <w:multiLevelType w:val="multilevel"/>
    <w:tmpl w:val="A8402EAE"/>
    <w:lvl w:ilvl="0">
      <w:start w:val="1"/>
      <w:numFmt w:val="decimal"/>
      <w:lvlText w:val="%1."/>
      <w:lvlJc w:val="left"/>
      <w:pPr>
        <w:ind w:left="644" w:hanging="359"/>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F4BF7"/>
    <w:multiLevelType w:val="multilevel"/>
    <w:tmpl w:val="2A26711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EF21EB6"/>
    <w:multiLevelType w:val="multilevel"/>
    <w:tmpl w:val="C4546ECC"/>
    <w:lvl w:ilvl="0">
      <w:start w:val="2"/>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4BF07C9"/>
    <w:multiLevelType w:val="multilevel"/>
    <w:tmpl w:val="9A08B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B23EE1"/>
    <w:multiLevelType w:val="multilevel"/>
    <w:tmpl w:val="DB304ED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57C448A5"/>
    <w:multiLevelType w:val="multilevel"/>
    <w:tmpl w:val="277C4D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23C2BC1"/>
    <w:multiLevelType w:val="multilevel"/>
    <w:tmpl w:val="78BC599E"/>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684819013">
    <w:abstractNumId w:val="3"/>
  </w:num>
  <w:num w:numId="2" w16cid:durableId="336887604">
    <w:abstractNumId w:val="2"/>
  </w:num>
  <w:num w:numId="3" w16cid:durableId="1452474741">
    <w:abstractNumId w:val="1"/>
  </w:num>
  <w:num w:numId="4" w16cid:durableId="1357001891">
    <w:abstractNumId w:val="5"/>
  </w:num>
  <w:num w:numId="5" w16cid:durableId="1566145496">
    <w:abstractNumId w:val="6"/>
  </w:num>
  <w:num w:numId="6" w16cid:durableId="597099870">
    <w:abstractNumId w:val="4"/>
  </w:num>
  <w:num w:numId="7" w16cid:durableId="78187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B8"/>
    <w:rsid w:val="0003239F"/>
    <w:rsid w:val="001472B8"/>
    <w:rsid w:val="00440300"/>
    <w:rsid w:val="004815D7"/>
    <w:rsid w:val="007D58A6"/>
    <w:rsid w:val="008F6884"/>
    <w:rsid w:val="00920574"/>
    <w:rsid w:val="009327ED"/>
    <w:rsid w:val="00A53610"/>
    <w:rsid w:val="00AA30AA"/>
    <w:rsid w:val="00C02C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F3DA"/>
  <w15:docId w15:val="{63D7F990-EF59-43D4-B19E-81037FEE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1F"/>
  </w:style>
  <w:style w:type="paragraph" w:styleId="Ttulo1">
    <w:name w:val="heading 1"/>
    <w:basedOn w:val="Normal"/>
    <w:next w:val="Normal"/>
    <w:link w:val="Ttulo1Car"/>
    <w:uiPriority w:val="9"/>
    <w:qFormat/>
    <w:rsid w:val="0063221F"/>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63221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63221F"/>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63221F"/>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63221F"/>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63221F"/>
    <w:rPr>
      <w:rFonts w:eastAsiaTheme="minorEastAsia"/>
      <w:sz w:val="24"/>
      <w:szCs w:val="24"/>
      <w:lang w:val="es-ES_tradnl" w:eastAsia="es-ES"/>
    </w:rPr>
  </w:style>
  <w:style w:type="paragraph" w:styleId="Piedepgina">
    <w:name w:val="footer"/>
    <w:basedOn w:val="Normal"/>
    <w:link w:val="PiedepginaCar"/>
    <w:uiPriority w:val="99"/>
    <w:unhideWhenUsed/>
    <w:rsid w:val="0063221F"/>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63221F"/>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3221F"/>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3221F"/>
    <w:pPr>
      <w:ind w:left="708"/>
    </w:pPr>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3221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3221F"/>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3221F"/>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8F688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e/jZaLS7kFYfaSCI3I5s+EGyY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WguMmJuNndzeDgAciExcGJmS0pnNzBSY2xCOTlHN3FzU0lfZzVHekRLNkhnb1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D42F1D-9F7A-48C3-8238-55BA575C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45</Pages>
  <Words>10978</Words>
  <Characters>60381</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6</cp:revision>
  <cp:lastPrinted>2024-06-20T19:48:00Z</cp:lastPrinted>
  <dcterms:created xsi:type="dcterms:W3CDTF">2024-05-30T02:09:00Z</dcterms:created>
  <dcterms:modified xsi:type="dcterms:W3CDTF">2024-07-09T16:27:00Z</dcterms:modified>
</cp:coreProperties>
</file>