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EE79"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B95BD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B95BDF">
        <w:rPr>
          <w:rFonts w:ascii="Palatino Linotype" w:eastAsia="Palatino Linotype" w:hAnsi="Palatino Linotype" w:cs="Palatino Linotype"/>
          <w:b/>
          <w:sz w:val="22"/>
          <w:szCs w:val="22"/>
        </w:rPr>
        <w:t>veinticinco de septiembre de dos mil veinticuatro</w:t>
      </w:r>
      <w:r w:rsidRPr="00B95BDF">
        <w:rPr>
          <w:rFonts w:ascii="Palatino Linotype" w:eastAsia="Palatino Linotype" w:hAnsi="Palatino Linotype" w:cs="Palatino Linotype"/>
          <w:sz w:val="22"/>
          <w:szCs w:val="22"/>
        </w:rPr>
        <w:t xml:space="preserve">. </w:t>
      </w:r>
    </w:p>
    <w:p w14:paraId="02DB5DA5" w14:textId="71796E18"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Visto</w:t>
      </w:r>
      <w:r w:rsidRPr="00B95BDF">
        <w:rPr>
          <w:rFonts w:ascii="Palatino Linotype" w:eastAsia="Palatino Linotype" w:hAnsi="Palatino Linotype" w:cs="Palatino Linotype"/>
          <w:sz w:val="22"/>
          <w:szCs w:val="22"/>
        </w:rPr>
        <w:t xml:space="preserve"> el expediente formado con motivo del recurso de revisión </w:t>
      </w:r>
      <w:r w:rsidRPr="00B95BDF">
        <w:rPr>
          <w:rFonts w:ascii="Palatino Linotype" w:eastAsia="Palatino Linotype" w:hAnsi="Palatino Linotype" w:cs="Palatino Linotype"/>
          <w:b/>
          <w:sz w:val="22"/>
          <w:szCs w:val="22"/>
        </w:rPr>
        <w:t>03004/INFOEM/IP/RR/2024</w:t>
      </w:r>
      <w:r w:rsidRPr="00B95BDF">
        <w:rPr>
          <w:rFonts w:ascii="Palatino Linotype" w:eastAsia="Palatino Linotype" w:hAnsi="Palatino Linotype" w:cs="Palatino Linotype"/>
          <w:sz w:val="22"/>
          <w:szCs w:val="22"/>
        </w:rPr>
        <w:t>, interpuesto por</w:t>
      </w:r>
      <w:r w:rsidRPr="00B95BDF">
        <w:rPr>
          <w:rFonts w:ascii="Palatino Linotype" w:eastAsia="Palatino Linotype" w:hAnsi="Palatino Linotype" w:cs="Palatino Linotype"/>
          <w:b/>
          <w:sz w:val="22"/>
          <w:szCs w:val="22"/>
        </w:rPr>
        <w:t xml:space="preserve"> </w:t>
      </w:r>
      <w:r w:rsidR="00631116" w:rsidRPr="00631116">
        <w:rPr>
          <w:rFonts w:ascii="Palatino Linotype" w:eastAsia="Palatino Linotype" w:hAnsi="Palatino Linotype" w:cs="Palatino Linotype"/>
          <w:b/>
          <w:sz w:val="22"/>
          <w:szCs w:val="22"/>
        </w:rPr>
        <w:t>XXXXXXXXXXX X XXXXXX</w:t>
      </w:r>
      <w:r w:rsidRPr="00B95BDF">
        <w:rPr>
          <w:rFonts w:ascii="Palatino Linotype" w:eastAsia="Palatino Linotype" w:hAnsi="Palatino Linotype" w:cs="Palatino Linotype"/>
          <w:b/>
          <w:sz w:val="22"/>
          <w:szCs w:val="22"/>
        </w:rPr>
        <w:t>,</w:t>
      </w:r>
      <w:r w:rsidRPr="00B95BDF">
        <w:rPr>
          <w:rFonts w:ascii="Palatino Linotype" w:eastAsia="Palatino Linotype" w:hAnsi="Palatino Linotype" w:cs="Palatino Linotype"/>
          <w:sz w:val="22"/>
          <w:szCs w:val="22"/>
        </w:rPr>
        <w:t xml:space="preserve"> en lo sucesivo</w:t>
      </w:r>
      <w:r w:rsidRPr="00B95BDF">
        <w:rPr>
          <w:rFonts w:ascii="Palatino Linotype" w:eastAsia="Palatino Linotype" w:hAnsi="Palatino Linotype" w:cs="Palatino Linotype"/>
          <w:b/>
          <w:sz w:val="22"/>
          <w:szCs w:val="22"/>
        </w:rPr>
        <w:t xml:space="preserve"> 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xml:space="preserve"> en contra de la respuesta a su solicitud por parte del</w:t>
      </w:r>
      <w:r w:rsidRPr="00B95BDF">
        <w:rPr>
          <w:rFonts w:ascii="Palatino Linotype" w:eastAsia="Palatino Linotype" w:hAnsi="Palatino Linotype" w:cs="Palatino Linotype"/>
          <w:b/>
          <w:sz w:val="22"/>
          <w:szCs w:val="22"/>
        </w:rPr>
        <w:t xml:space="preserve"> Sistema Municipal Para el Desarrollo Integral de la Familia de Tlalnepantla de Baz, </w:t>
      </w:r>
      <w:r w:rsidRPr="00B95BDF">
        <w:rPr>
          <w:rFonts w:ascii="Palatino Linotype" w:eastAsia="Palatino Linotype" w:hAnsi="Palatino Linotype" w:cs="Palatino Linotype"/>
          <w:sz w:val="22"/>
          <w:szCs w:val="22"/>
        </w:rPr>
        <w:t xml:space="preserve">en lo sucesivo el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 xml:space="preserve">se procede a dictar la presente resolución con base en los siguientes: </w:t>
      </w:r>
    </w:p>
    <w:p w14:paraId="34A43392" w14:textId="77777777" w:rsidR="00EE5403" w:rsidRPr="00B95BDF" w:rsidRDefault="00917C0A">
      <w:pPr>
        <w:spacing w:before="240" w:after="240" w:line="360" w:lineRule="auto"/>
        <w:jc w:val="center"/>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I. A N T E C E D E N T E S</w:t>
      </w:r>
    </w:p>
    <w:p w14:paraId="1A5B3D76"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1. Solicitud de acceso a la información.</w:t>
      </w:r>
      <w:r w:rsidRPr="00B95BDF">
        <w:rPr>
          <w:rFonts w:ascii="Palatino Linotype" w:eastAsia="Palatino Linotype" w:hAnsi="Palatino Linotype" w:cs="Palatino Linotype"/>
          <w:sz w:val="22"/>
          <w:szCs w:val="22"/>
        </w:rPr>
        <w:t xml:space="preserve"> El </w:t>
      </w:r>
      <w:r w:rsidRPr="00B95BDF">
        <w:rPr>
          <w:rFonts w:ascii="Palatino Linotype" w:eastAsia="Palatino Linotype" w:hAnsi="Palatino Linotype" w:cs="Palatino Linotype"/>
          <w:b/>
          <w:sz w:val="22"/>
          <w:szCs w:val="22"/>
        </w:rPr>
        <w:t>cinco de abril de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dos mil veinticuatro,</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 xml:space="preserve">Recurrente </w:t>
      </w:r>
      <w:r w:rsidRPr="00B95BDF">
        <w:rPr>
          <w:rFonts w:ascii="Palatino Linotype" w:eastAsia="Palatino Linotype" w:hAnsi="Palatino Linotype" w:cs="Palatino Linotype"/>
          <w:sz w:val="22"/>
          <w:szCs w:val="22"/>
        </w:rPr>
        <w:t xml:space="preserve">presentó, a través del Sistema de Acceso a la Información Mexiquense, en lo subsecuente el </w:t>
      </w:r>
      <w:r w:rsidRPr="00B95BDF">
        <w:rPr>
          <w:rFonts w:ascii="Palatino Linotype" w:eastAsia="Palatino Linotype" w:hAnsi="Palatino Linotype" w:cs="Palatino Linotype"/>
          <w:b/>
          <w:sz w:val="22"/>
          <w:szCs w:val="22"/>
        </w:rPr>
        <w:t>SAIMEX,</w:t>
      </w:r>
      <w:r w:rsidRPr="00B95BDF">
        <w:rPr>
          <w:rFonts w:ascii="Palatino Linotype" w:eastAsia="Palatino Linotype" w:hAnsi="Palatino Linotype" w:cs="Palatino Linotype"/>
          <w:sz w:val="22"/>
          <w:szCs w:val="22"/>
        </w:rPr>
        <w:t xml:space="preserve"> ante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la solicitud de acceso a la información pública, a la que se le asignó el número</w:t>
      </w:r>
      <w:r w:rsidRPr="00B95BDF">
        <w:rPr>
          <w:rFonts w:ascii="Palatino Linotype" w:eastAsia="Palatino Linotype" w:hAnsi="Palatino Linotype" w:cs="Palatino Linotype"/>
          <w:b/>
          <w:sz w:val="22"/>
          <w:szCs w:val="22"/>
        </w:rPr>
        <w:t xml:space="preserve"> 00062/DIFTLALNE/IP/2024, </w:t>
      </w:r>
      <w:r w:rsidRPr="00B95BDF">
        <w:rPr>
          <w:rFonts w:ascii="Palatino Linotype" w:eastAsia="Palatino Linotype" w:hAnsi="Palatino Linotype" w:cs="Palatino Linotype"/>
          <w:sz w:val="22"/>
          <w:szCs w:val="22"/>
        </w:rPr>
        <w:t xml:space="preserve">mediante la cual requirió la información siguiente: </w:t>
      </w:r>
    </w:p>
    <w:p w14:paraId="3951A50B" w14:textId="77777777" w:rsidR="00EE5403" w:rsidRPr="00B95BDF" w:rsidRDefault="00917C0A">
      <w:pPr>
        <w:spacing w:before="240" w:after="24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B95BDF">
        <w:rPr>
          <w:rFonts w:ascii="Palatino Linotype" w:eastAsia="Palatino Linotype" w:hAnsi="Palatino Linotype" w:cs="Palatino Linotype"/>
          <w:i/>
          <w:sz w:val="22"/>
          <w:szCs w:val="22"/>
        </w:rPr>
        <w:t xml:space="preserve">“Solicitamos, </w:t>
      </w:r>
      <w:r w:rsidRPr="00B95BDF">
        <w:rPr>
          <w:rFonts w:ascii="Palatino Linotype" w:eastAsia="Palatino Linotype" w:hAnsi="Palatino Linotype" w:cs="Palatino Linotype"/>
          <w:b/>
          <w:i/>
          <w:sz w:val="22"/>
          <w:szCs w:val="22"/>
          <w:u w:val="single"/>
        </w:rPr>
        <w:t>relación y copia de los expedientes que han tenido representación jurídica en juicios en materia familiar por parte del Sistema Municipal DIF de Tlalnepantla por los años 2022 y 2023. También solicitamos copia de todos los oficios firmados por el titular de la Dirección de Jurídico del DIF de Tlalnepantla, también por los años 2022 y 2023</w:t>
      </w:r>
      <w:r w:rsidRPr="00B95BDF">
        <w:rPr>
          <w:rFonts w:ascii="Palatino Linotype" w:eastAsia="Palatino Linotype" w:hAnsi="Palatino Linotype" w:cs="Palatino Linotype"/>
          <w:i/>
          <w:sz w:val="22"/>
          <w:szCs w:val="22"/>
        </w:rPr>
        <w:t xml:space="preserve">.” (Sic) </w:t>
      </w:r>
    </w:p>
    <w:p w14:paraId="0C357449"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B95BDF">
        <w:rPr>
          <w:rFonts w:ascii="Palatino Linotype" w:eastAsia="Palatino Linotype" w:hAnsi="Palatino Linotype" w:cs="Palatino Linotype"/>
          <w:b/>
          <w:sz w:val="22"/>
          <w:szCs w:val="22"/>
        </w:rPr>
        <w:t>Modalidad de Entrega:</w:t>
      </w:r>
      <w:r w:rsidRPr="00B95BDF">
        <w:rPr>
          <w:rFonts w:ascii="Palatino Linotype" w:eastAsia="Palatino Linotype" w:hAnsi="Palatino Linotype" w:cs="Palatino Linotype"/>
          <w:sz w:val="22"/>
          <w:szCs w:val="22"/>
        </w:rPr>
        <w:t xml:space="preserve"> A través del </w:t>
      </w:r>
      <w:r w:rsidRPr="00B95BDF">
        <w:rPr>
          <w:rFonts w:ascii="Palatino Linotype" w:eastAsia="Palatino Linotype" w:hAnsi="Palatino Linotype" w:cs="Palatino Linotype"/>
          <w:b/>
          <w:sz w:val="22"/>
          <w:szCs w:val="22"/>
        </w:rPr>
        <w:t>SAIMEX</w:t>
      </w:r>
    </w:p>
    <w:p w14:paraId="79BACD76"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lastRenderedPageBreak/>
        <w:t xml:space="preserve">2. Prórroga. </w:t>
      </w:r>
      <w:r w:rsidRPr="00B95BDF">
        <w:rPr>
          <w:rFonts w:ascii="Palatino Linotype" w:eastAsia="Palatino Linotype" w:hAnsi="Palatino Linotype" w:cs="Palatino Linotype"/>
          <w:sz w:val="22"/>
          <w:szCs w:val="22"/>
        </w:rPr>
        <w:t xml:space="preserve">El </w:t>
      </w:r>
      <w:r w:rsidRPr="00B95BDF">
        <w:rPr>
          <w:rFonts w:ascii="Palatino Linotype" w:eastAsia="Palatino Linotype" w:hAnsi="Palatino Linotype" w:cs="Palatino Linotype"/>
          <w:b/>
          <w:sz w:val="22"/>
          <w:szCs w:val="22"/>
        </w:rPr>
        <w:t xml:space="preserve">veinticuatro de abril de dos mil veinticuatro, </w:t>
      </w:r>
      <w:r w:rsidRPr="00B95BDF">
        <w:rPr>
          <w:rFonts w:ascii="Palatino Linotype" w:eastAsia="Palatino Linotype" w:hAnsi="Palatino Linotype" w:cs="Palatino Linotype"/>
          <w:sz w:val="22"/>
          <w:szCs w:val="22"/>
        </w:rPr>
        <w:t>el</w:t>
      </w:r>
      <w:r w:rsidRPr="00B95BDF">
        <w:rPr>
          <w:rFonts w:ascii="Palatino Linotype" w:eastAsia="Palatino Linotype" w:hAnsi="Palatino Linotype" w:cs="Palatino Linotype"/>
          <w:b/>
          <w:sz w:val="22"/>
          <w:szCs w:val="22"/>
        </w:rPr>
        <w:t xml:space="preserve"> Sujeto Obligado </w:t>
      </w:r>
      <w:r w:rsidRPr="00B95BDF">
        <w:rPr>
          <w:rFonts w:ascii="Palatino Linotype" w:eastAsia="Palatino Linotype" w:hAnsi="Palatino Linotype" w:cs="Palatino Linotype"/>
          <w:sz w:val="22"/>
          <w:szCs w:val="22"/>
        </w:rPr>
        <w:t xml:space="preserve">notificó a la persona solicitante, la prórroga para atender su solicitud de información, ello en los siguientes términos: </w:t>
      </w:r>
    </w:p>
    <w:p w14:paraId="0E6929DF" w14:textId="77777777" w:rsidR="00EE5403" w:rsidRPr="00B95BDF" w:rsidRDefault="00917C0A">
      <w:pPr>
        <w:spacing w:before="240" w:after="24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78092E" w14:textId="77777777" w:rsidR="00EE5403" w:rsidRPr="00B95BDF" w:rsidRDefault="00917C0A">
      <w:pPr>
        <w:spacing w:before="240" w:after="24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En virtud de la carga excesiva de trabajo, otorgo la prorroga con la finalidad de que en los siete días sea entregada la información solicitada.</w:t>
      </w:r>
    </w:p>
    <w:p w14:paraId="5F051A40" w14:textId="77777777" w:rsidR="00EE5403" w:rsidRPr="00B95BDF" w:rsidRDefault="00917C0A">
      <w:pPr>
        <w:spacing w:before="240" w:after="24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Laura Beatriz Ortiz Fuentes</w:t>
      </w:r>
    </w:p>
    <w:p w14:paraId="61CD02DB" w14:textId="77777777" w:rsidR="00EE5403" w:rsidRPr="00B95BDF" w:rsidRDefault="00917C0A">
      <w:pPr>
        <w:spacing w:before="240" w:after="24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Responsable de la Unidad de Transparencia”</w:t>
      </w:r>
    </w:p>
    <w:p w14:paraId="10F38432"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Es de precisar que, del análisis a esta ampliación de plazo, se tiene que </w:t>
      </w:r>
      <w:r w:rsidRPr="00B95BDF">
        <w:rPr>
          <w:rFonts w:ascii="Palatino Linotype" w:eastAsia="Palatino Linotype" w:hAnsi="Palatino Linotype" w:cs="Palatino Linotype"/>
          <w:b/>
          <w:sz w:val="22"/>
          <w:szCs w:val="22"/>
          <w:u w:val="single"/>
        </w:rPr>
        <w:t>no se efectuó</w:t>
      </w:r>
      <w:r w:rsidRPr="00B95BDF">
        <w:rPr>
          <w:rFonts w:ascii="Palatino Linotype" w:eastAsia="Palatino Linotype" w:hAnsi="Palatino Linotype" w:cs="Palatino Linotype"/>
          <w:sz w:val="22"/>
          <w:szCs w:val="22"/>
        </w:rPr>
        <w:t xml:space="preserve"> dentro de los parámetros establecidos por el segundo párrafo del artículo 163 de la Ley de Transparencia Local, por lo que se insta al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para que en subsecuentes ocasiones que requiera ampliar el plazo para atención de las solicitudes de información, lo realice conforme a las formalidades establecidas por la norma.</w:t>
      </w:r>
    </w:p>
    <w:p w14:paraId="69233692"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3. Respuesta. </w:t>
      </w:r>
      <w:r w:rsidRPr="00B95BDF">
        <w:rPr>
          <w:rFonts w:ascii="Palatino Linotype" w:eastAsia="Palatino Linotype" w:hAnsi="Palatino Linotype" w:cs="Palatino Linotype"/>
          <w:sz w:val="22"/>
          <w:szCs w:val="22"/>
        </w:rPr>
        <w:t xml:space="preserve">El </w:t>
      </w:r>
      <w:r w:rsidRPr="00B95BDF">
        <w:rPr>
          <w:rFonts w:ascii="Palatino Linotype" w:eastAsia="Palatino Linotype" w:hAnsi="Palatino Linotype" w:cs="Palatino Linotype"/>
          <w:b/>
          <w:sz w:val="22"/>
          <w:szCs w:val="22"/>
        </w:rPr>
        <w:t>siete de mayo de dos mil veinticuatro</w:t>
      </w:r>
      <w:r w:rsidRPr="00B95BDF">
        <w:rPr>
          <w:rFonts w:ascii="Palatino Linotype" w:eastAsia="Palatino Linotype" w:hAnsi="Palatino Linotype" w:cs="Palatino Linotype"/>
          <w:sz w:val="22"/>
          <w:szCs w:val="22"/>
        </w:rPr>
        <w:t xml:space="preserve">, el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06F17907" w14:textId="77777777" w:rsidR="00EE5403" w:rsidRPr="00B95BDF" w:rsidRDefault="00917C0A">
      <w:pPr>
        <w:spacing w:before="240" w:after="24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BCA9ED" w14:textId="77777777" w:rsidR="00EE5403" w:rsidRPr="00B95BDF" w:rsidRDefault="00917C0A">
      <w:pPr>
        <w:spacing w:before="240" w:after="24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De conformidad con los artículos 1, 2, 3, fracción XLIV, 4, 12, 16, 23, fracción IV, 24, fracción XI y último párrafo, 50, 51, 53, fracciones II, IV, V, y VI de la Ley de </w:t>
      </w:r>
      <w:r w:rsidRPr="00B95BDF">
        <w:rPr>
          <w:rFonts w:ascii="Palatino Linotype" w:eastAsia="Palatino Linotype" w:hAnsi="Palatino Linotype" w:cs="Palatino Linotype"/>
          <w:i/>
          <w:sz w:val="22"/>
          <w:szCs w:val="22"/>
        </w:rPr>
        <w:lastRenderedPageBreak/>
        <w:t xml:space="preserve">Transparencia y Acceso a la Información Pública del Estado de México y Municipios; y en atención a la solicitud de acceso a la información pública, registrada bajo el folio número, 00062/DIFTLALNE/IP/2024, la que dice a la letra: “Solicitamos, relación y copia de los expedientes que han tenido representación jurídica en juicios en materia familiar por parte del Sistema Municipal DIF de Tlalnepantla por los años 2022 y 2023. También solicitamos copia de todos los oficios firmados por el titular de la Dirección de Jurídico del DIF de Tlalnepantla, también por los años 2022 y 2023.Sic. Primeramente, es importante hacer énfasis en lo señalado en el artículo 12 de la Ley de Transparencia y Acceso a la Información Pública del Estado de México y Municipios, precepto legal que a continuación se cita: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Derivado del análisis minucioso efectuado a la solicitud de acceso a la información pública, en fecha veintidós de enero del presente año, </w:t>
      </w:r>
      <w:r w:rsidRPr="00B95BDF">
        <w:rPr>
          <w:rFonts w:ascii="Palatino Linotype" w:eastAsia="Palatino Linotype" w:hAnsi="Palatino Linotype" w:cs="Palatino Linotype"/>
          <w:b/>
          <w:i/>
          <w:sz w:val="22"/>
          <w:szCs w:val="22"/>
          <w:u w:val="single"/>
        </w:rPr>
        <w:t xml:space="preserve">el servidor público habilitado de la Presidencia, mediante oficio número, proporcionó la respuesta del requerimiento, anexando a la respuesta 19683 documentos. En ese sentido, los Integrantes del Comité de Transparencia consideraron que efectivamente la información requerida en la solicitud de información pública 00062/DIFTLALNE/IP/2024, sobrepasaba las capacidades técnicas del Sistema de Acceso a la Información Pública (SAIMEX), por lo que mediante Acuerdo CT/SMDIF/COM/EXTE/9ª/2024/ QUINTO, emitido en la Novena </w:t>
      </w:r>
      <w:r w:rsidRPr="00B95BDF">
        <w:rPr>
          <w:rFonts w:ascii="Palatino Linotype" w:eastAsia="Palatino Linotype" w:hAnsi="Palatino Linotype" w:cs="Palatino Linotype"/>
          <w:b/>
          <w:i/>
          <w:sz w:val="22"/>
          <w:szCs w:val="22"/>
        </w:rPr>
        <w:t>Sesión Extraordinaria del Comité de Transparencia, de fecha siete de mayo de dos mil veinticuatro, se aprobó por unanimidad de votos la entrega de la información solicitada, en “CONSULTA DIRECTA” (In situ), salvo aquella que sea clasificada como confidencial o reservada</w:t>
      </w:r>
      <w:r w:rsidRPr="00B95BDF">
        <w:rPr>
          <w:rFonts w:ascii="Palatino Linotype" w:eastAsia="Palatino Linotype" w:hAnsi="Palatino Linotype" w:cs="Palatino Linotype"/>
          <w:i/>
          <w:sz w:val="22"/>
          <w:szCs w:val="22"/>
        </w:rPr>
        <w:t xml:space="preserve">, esto como un procedimiento interno que asegura la mayor eficiencia en la gestión de las solicitudes de acceso a la información pública de referencia. Lo anterior es así, con fundamento en lo dispuesto en los artículos 1, 2, 4, 7, 8, 9, 10, 11, primer párrafo, 12, 14, 15, 21, 22, 158, primer párrafo y 165, primer párrafo de la Ley de Transparencia y Acceso a la Información Pública del Estado de México y Municipios, los cuales se reproducen a continuación: “LEY DE TRANSPARENCIA Y ACCESO A LA INFORMACIÓN PÚBLICA DEL ESTADO DE MÉXICO Y MUNICIPIOS Artículo 1. La presente Ley es de orden </w:t>
      </w:r>
      <w:r w:rsidRPr="00B95BDF">
        <w:rPr>
          <w:rFonts w:ascii="Palatino Linotype" w:eastAsia="Palatino Linotype" w:hAnsi="Palatino Linotype" w:cs="Palatino Linotype"/>
          <w:i/>
          <w:sz w:val="22"/>
          <w:szCs w:val="22"/>
        </w:rPr>
        <w:lastRenderedPageBreak/>
        <w:t xml:space="preserve">público e interés general, es reglamentaria de los párrafos décimo séptimo, décimo octavo y décimo noveno del artículo 5 de la Constitución Política del Estado Libre y Soberano de México. Tiene por objeto establecer los principios, bases generales y procedimientos para tutelar y garantizar la transparencia y el derecho humano de acceso a la información pública en posesión de los sujetos obligados. 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Artículo 2. Son objetivos de esta Ley: I. Establecer la competencia, operación y funcionamiento del Instituto, en materia de transparencia y acceso a la información; II. Proveer lo necesario para garantizar a toda persona el derecho de acceso a la información pública, a través de procedimientos sencillos, expeditos, oportunos y gratuitos, determinando las bases mínimas sobre las cuales se regirán los mismos; III. Contribuir a la mejora de procedimientos y mecanismos que permitan transparentar la gestión pública y mejorar la toma de decisiones, mediante la difusión de la información que generen los sujetos obligados; IV. Regular los medios de impugnación y los procedimientos para su interposición ante el Instituto de Transparencia, Acceso a la Información Pública y Protección de Datos Personales del Estado de México y Municipios y el Instituto Nacional de Transparencia, Acceso a la Información y Protección de Datos Personales; V. Establecer las bases de participación del Instituto de Transparencia, Acceso a la Información Pública y Protección de Datos Personales del Estado de México y Municipios en el Sistema Nacional de Transparencia, de acuerdo con las disposiciones aplicables. VI. Establecer las bases y la información de interés público que se debe difundir proactivamente; VII.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VIII. Propiciar la participación ciudadana en la toma de decisiones públicas a fin de contribuir a la consolidación de la democracia; y IX. Establecer los mecanismos para garantizar el cumplimiento y la efectiva aplicación de las medidas de apremio y las sanciones que correspondan. (…)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w:t>
      </w:r>
      <w:r w:rsidRPr="00B95BDF">
        <w:rPr>
          <w:rFonts w:ascii="Palatino Linotype" w:eastAsia="Palatino Linotype" w:hAnsi="Palatino Linotype" w:cs="Palatino Linotype"/>
          <w:i/>
          <w:sz w:val="22"/>
          <w:szCs w:val="22"/>
        </w:rPr>
        <w:lastRenderedPageBreak/>
        <w:t xml:space="preserve">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Para el caso de la interpretación se podrá tomar en cuenta los criterios, determinaciones y opiniones de los organismos nacionales e internacionales, en materia de transparencia y el derecho de acceso a la información. Artículo 10. En el ejercicio, tramitación e interpretación de la presente Ley y demás normatividad aplicable, los sujetos obligados y el Instituto, deberán atender a los principios señalados en el presente Capítulo. 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 Artículo 12. Quienes generen, recopilen, administren, manejen, procesen, archiven o conserven información pública serán responsables de la misma en los términos de las </w:t>
      </w:r>
      <w:r w:rsidRPr="00B95BDF">
        <w:rPr>
          <w:rFonts w:ascii="Palatino Linotype" w:eastAsia="Palatino Linotype" w:hAnsi="Palatino Linotype" w:cs="Palatino Linotype"/>
          <w:i/>
          <w:sz w:val="22"/>
          <w:szCs w:val="22"/>
        </w:rPr>
        <w:lastRenderedPageBreak/>
        <w:t xml:space="preserve">disposiciones jurídicas aplicables. (…) Artículo 14. Es obligación del Instituto otorgar las medidas pertinentes para asegurar el acceso a la información de todas las personas en igualdad de condiciones con las demás. Artículo 15. Toda persona tiene derecho de acceso a la información, sin discriminación, por motivo alguno, que menoscabe o anule la transparencia o acceso a la información pública en posesión de los sujetos obligados. (…) Artículo 21. Todo procedimiento en materia de derecho de acceso a la información deberá sustanciarse de manera sencilla y expedita, de conformidad con las bases de esta Ley. Artículo 22. En el procedimiento de acceso, entrega y publicación de la información se propiciarán las condiciones necesarias para que ésta sea accesible a cualquier persona, de conformidad con el artículo 5 de la Constitución Local y demás disposiciones de la materia. (…)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 Artículo 165. Los sujetos obligados establecerán la forma y términos en que darán trámite interno a las solicitudes en materia de acceso a la información. (…)” (Énfasis Añadido) En efecto, para brindarle una mejor atención al solicitante y tomando en consideración los principios de máxima publicidad, certeza, eficacia, legalidad, objetividad, profesionalismo simplicidad, rapidez y transparencia, es que se debe tomar en cuenta el contenido de los numerales Septuagésimo, Septuagésimo Primero y Septuagésimo Segundo de los Lineamientos Generales en Materia de Clasificación y Desclasificación de la Información, así como para la Elaboración de Versiones Públicas, los cuales se reproducen a continuación: “Lineamientos Generales en Materia de Clasificación y Desclasificación de la Información, así como para la Elaboración de Versiones Públicas Septuagésimo. Para el desahogo de las actuaciones tendientes a permitir la consulta directa, en los casos en que ésta resulte procedente, los sujetos obligados deberán observar lo siguiente: 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II. En su caso, la procedencia de los ajustes razonables solicitados y/o la procedencia de acceso en la lengua indígena requerida; III. Indicar claramente la ubicación del </w:t>
      </w:r>
      <w:r w:rsidRPr="00B95BDF">
        <w:rPr>
          <w:rFonts w:ascii="Palatino Linotype" w:eastAsia="Palatino Linotype" w:hAnsi="Palatino Linotype" w:cs="Palatino Linotype"/>
          <w:i/>
          <w:sz w:val="22"/>
          <w:szCs w:val="22"/>
        </w:rPr>
        <w:lastRenderedPageBreak/>
        <w:t xml:space="preserve">lugar en que el solicitante podrá llevar a cabo la consulta de la información debiendo ser éste, en la medida de lo posible, el domicilio de la Unidad de Transparencia, así como el nombre, cargo y datos de contacto del personal que le permitirá el acceso; IV. Proporcionar al solicitante las facilidades y asistencia requerida para la consulta de los documentos; V. Abstenerse de requerir al solicitante que acredite interés alguno; VI. Adoptar las medidas técnicas, físicas, administrativas y demás que resulten necesarias para garantizar la integridad de la información a consultar, de conformidad con las características específicas del documento solicitado, tales como: a) Contar con instalaciones y mobiliario adecuado para asegurar tanto la integridad del documento consultado, como para proporcionar al solicitante las mejores condiciones para poder llevar a cabo la consulta directa; b) Equipo y personal de vigilancia; c) Plan de acción contra robo o vandalismo; d) Extintores de fuego de gas inocuo; e) Registro e identificación del personal autorizado para el tratamiento de los documentos o expedientes a revisar; f) Registro e identificación de los particulares autorizados para llevar a cabo la consulta directa, y g) Las demás que, a criterio de los sujetos obligados, resulten necesarias. VII. Hacer del conocimiento del solicitante, previo al acceso a la información, las reglas a que se sujetará la consulta para garantizar la integridad de los documentos, y 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Septuagésimo primero.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El solicitante deberá observar en todo momento las reglas que el sujeto obligado haya hecho de su conocimiento para efectos de la conservación de los documentos. Septuagésimo segundo.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Septuagésimo tercero.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w:t>
      </w:r>
      <w:r w:rsidRPr="00B95BDF">
        <w:rPr>
          <w:rFonts w:ascii="Palatino Linotype" w:eastAsia="Palatino Linotype" w:hAnsi="Palatino Linotype" w:cs="Palatino Linotype"/>
          <w:i/>
          <w:sz w:val="22"/>
          <w:szCs w:val="22"/>
        </w:rPr>
        <w:lastRenderedPageBreak/>
        <w:t xml:space="preserve">información. La información deberá ser entregada sin costo, cuando implique la entrega de no más de veinte hojas simples. Ahora bien, resulta oportuno mencionarle que, de acuerdo con lo establecido en el “Capítulo X” denominado “DE LA CONSULTA DIRECTA”, de los Lineamientos Generales en Materia de Clasificación y Desclasificación de la Información, así como para la Elaboración de Versiones Públicas, es oportuno dar plenitud al principio de publicidad de la información y favorecer el núcleo central del derecho de acceso a la información pública, esto es, permitiendo a cualquier persona el acceso a todo tipo de información de carácter público, que obra en posesión de este Sujeto Obligado, en relación con el artículo 164 de la Ley de Transparencia y Acceso a la Información Pública del Estado de México y Municipios; en consecuencia, los integrantes del Comité de Transparencia instruyeron como mecanismo oportuno para lograr la efectividad, así como para asegurar con ello el acceso a la información correspondiente al particular, lo que se describe de la siguiente manera: 1. La Consulta Directa de la Información se llevará a cabo en la Sala de Juntas, situada en la planta alta del Sistema Municipal para el Desarrollo Integral de la Familia de Tlalnepantla de Baz Edificio ubicado en Av. Convento de Sta. Mónica s/n, Hab. Jardines de Santa Mónica Tlalnepantla de Baz, C.P. 54050, Estado de México. 2. </w:t>
      </w:r>
      <w:r w:rsidRPr="00B95BDF">
        <w:rPr>
          <w:rFonts w:ascii="Palatino Linotype" w:eastAsia="Palatino Linotype" w:hAnsi="Palatino Linotype" w:cs="Palatino Linotype"/>
          <w:b/>
          <w:i/>
          <w:sz w:val="22"/>
          <w:szCs w:val="22"/>
          <w:u w:val="single"/>
        </w:rPr>
        <w:t>El Solicitante deberá presentarse en la Sala de Juntas de este Sistema Municipal para el Desarrollo Integral de la Familia de Tlalnepantla de Baz el día NUEVE DE MAYO DEL AÑO EN CURSO, en un horario abierto de 9:00 a 18:00 horas</w:t>
      </w:r>
      <w:r w:rsidRPr="00B95BDF">
        <w:rPr>
          <w:rFonts w:ascii="Palatino Linotype" w:eastAsia="Palatino Linotype" w:hAnsi="Palatino Linotype" w:cs="Palatino Linotype"/>
          <w:i/>
          <w:sz w:val="22"/>
          <w:szCs w:val="22"/>
        </w:rPr>
        <w:t xml:space="preserve">. 3. La Unidad de Transparencia le requiere al Solicitante para que, al ingresar al edificio de este Sistema Municipal para el Desarrollo Integral de la Familia de Tlalnepantla de Baz, se presente con una identificación oficial vigente, con el propósito de realizar su registro en Recepción, donde le proporcionarán un gafete de visitante, que deberá portar para acceder a nuestras oficinas. 4. Se le hace saber al Solicitante que, al momento en que realice la consulta de la información requerida, será asistido por una persona que se encuentre adscrita a la Unidad de Transparencia y personal del Órgano Interno de Control de este Sistema Municipal para el Desarrollo Integral de la Familia de Tlalnepantla de Baz. 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 a) Contar con instalaciones y mobiliario adecuado para asegurar tanto la integridad de los documentos a consultar, como para proporcionar al Solicitante las mejores condiciones para poder llevar a cabo la consulta directa; b) Equipo y personal de vigilancia; c) Plan de acción contra robo o vandalismo; d) Extintores de fuego de gas inocuo; e) Registro e identificación del </w:t>
      </w:r>
      <w:r w:rsidRPr="00B95BDF">
        <w:rPr>
          <w:rFonts w:ascii="Palatino Linotype" w:eastAsia="Palatino Linotype" w:hAnsi="Palatino Linotype" w:cs="Palatino Linotype"/>
          <w:i/>
          <w:sz w:val="22"/>
          <w:szCs w:val="22"/>
        </w:rPr>
        <w:lastRenderedPageBreak/>
        <w:t xml:space="preserve">personal autorizado para el tratamiento de los documentos o expedientes a revisar; f) Registro e identificación de los particulares autorizados para llevar a cabo la consulta directa. 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 7. Resulta indispensable puntualizarle al Solicitante que el área de consulta contará con material de papelería, es decir, bolígrafos, lápices y papel, en caso de que el Solicitante lo requiera. 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 No omito mencionar, que de acuerdo con el artículo 166 de la Ley de Transparencia y Acceso a la Información Pública del Estado de México y Municipios, la Unidad de Transparencia tendrá disponible la información respectiva, durante un plazo mínimo de 60 días hábiles, transcurrido dicho plazo, se dará por concluida la solicitud y se procederá, de ser el caso, a la destrucción del material en el que se reprodujo la información. Dicho numeral prevé lo siguiente: “Artículo 166.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 (Énfasis añadido) La consulta directa de la información se realizará en presencia del personal de la Unidad de Transparencia y del Órgano Interno de Control, quienes implementarán las medidas descritas en párrafos anteriores para asegurar en todo momento la integridad de la documentación, conforme a la resolución que, al efecto, emitió el Comité de Transparencia. Una vez mencionados los mecanismos para lograr la efectividad y </w:t>
      </w:r>
      <w:r w:rsidRPr="00B95BDF">
        <w:rPr>
          <w:rFonts w:ascii="Palatino Linotype" w:eastAsia="Palatino Linotype" w:hAnsi="Palatino Linotype" w:cs="Palatino Linotype"/>
          <w:i/>
          <w:sz w:val="22"/>
          <w:szCs w:val="22"/>
        </w:rPr>
        <w:lastRenderedPageBreak/>
        <w:t>asegurar el acceso a la información pública, así como para llevar a cabo la consulta directa de la información requerida, atendiendo a los numerales Septuagésimo, Septuagésimo Primero, Septuagésimo Segundo y Septuagésimo Tercero de los Lineamientos Generales en Materia de Clasificación y Desclasificación de la Información, así como para la Elaboración de Versiones Públicas, es menester abordar que no se realizará ningún cobro al particular en caso de que al comparecer en las Oficinas de la Unidad de Transparencia de este Sujeto Obligado, requiera la reproducción de la información, ello en atención a los principios de Gratuidad y Pro Persona, previstos en el artículo 9, fracción III de la Ley de Transparencia y Acceso a la Información Pública del Estado de México y Municipios, en relación con el artículo 1°, segundo párrafo de la Constitución Política de los Estados Unidos Mexicanos. Finalmente, se hace de su conocimiento el término de quince días hábiles para interponer el recurso de revisión que se señala en los artículos 176, 177 y 178 de la Ley de Transparencia y Acceso a la Información Pública del Estado de México y Municipios.</w:t>
      </w:r>
    </w:p>
    <w:p w14:paraId="78CFE5A0" w14:textId="77777777" w:rsidR="00EE5403" w:rsidRPr="00B95BDF" w:rsidRDefault="00917C0A">
      <w:pPr>
        <w:spacing w:before="240" w:after="24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ATENTAMENTE</w:t>
      </w:r>
    </w:p>
    <w:p w14:paraId="5AA92721" w14:textId="77777777" w:rsidR="00EE5403" w:rsidRPr="00B95BDF" w:rsidRDefault="00917C0A">
      <w:pPr>
        <w:spacing w:before="240" w:after="24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Laura Beatriz Ortiz Fuentes” </w:t>
      </w:r>
    </w:p>
    <w:p w14:paraId="264F0E82" w14:textId="77777777" w:rsidR="00EE5403" w:rsidRPr="00B95BDF" w:rsidRDefault="00917C0A">
      <w:pPr>
        <w:spacing w:before="240" w:after="240"/>
        <w:ind w:left="567" w:right="902"/>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Archivos adjuntos:</w:t>
      </w:r>
    </w:p>
    <w:p w14:paraId="41EC4BD2" w14:textId="77777777" w:rsidR="00EE5403" w:rsidRPr="00B95BDF" w:rsidRDefault="00917C0A">
      <w:pPr>
        <w:spacing w:before="240" w:after="240" w:line="360" w:lineRule="auto"/>
        <w:ind w:left="567" w:right="902"/>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 xml:space="preserve">“Novena Extraordi.pdf”: </w:t>
      </w:r>
      <w:r w:rsidRPr="00B95BDF">
        <w:rPr>
          <w:rFonts w:ascii="Palatino Linotype" w:eastAsia="Palatino Linotype" w:hAnsi="Palatino Linotype" w:cs="Palatino Linotype"/>
          <w:sz w:val="22"/>
          <w:szCs w:val="22"/>
        </w:rPr>
        <w:t>Acta de la Novena Sesión Extraordinaria del Comité de Transparencia, celebrada el siete de mayo de dos mil veinticuatro, por la cual se aprueba el cambio de modalidad a consulta directa de la información solicitada.</w:t>
      </w:r>
    </w:p>
    <w:p w14:paraId="212592C7" w14:textId="77777777" w:rsidR="00EE5403" w:rsidRPr="00B95BDF" w:rsidRDefault="00917C0A">
      <w:pPr>
        <w:spacing w:before="240" w:after="240" w:line="360" w:lineRule="auto"/>
        <w:ind w:left="567" w:right="902"/>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i/>
          <w:sz w:val="22"/>
          <w:szCs w:val="22"/>
        </w:rPr>
        <w:t xml:space="preserve">“RESPUESTA SAIMEX 00062 DJ.pdf”: </w:t>
      </w:r>
      <w:r w:rsidRPr="00B95BDF">
        <w:rPr>
          <w:rFonts w:ascii="Palatino Linotype" w:eastAsia="Palatino Linotype" w:hAnsi="Palatino Linotype" w:cs="Palatino Linotype"/>
          <w:sz w:val="22"/>
          <w:szCs w:val="22"/>
        </w:rPr>
        <w:t>Oficio DJ/SMDIF/270/2024, suscrito por el Director Jurídico, dirigido a la Coordinadora de Transparencia del SMDIF Tlalnepantla, quien manifiesta que la información solicitada se compone de aproximadamente de 19,000 hojas, por lo que solicita que se convoque al Comité de Transparencia para efecto de aprobar el cambio de modalidad de entrega de información a consulta directa.</w:t>
      </w:r>
    </w:p>
    <w:p w14:paraId="397CADD1" w14:textId="77777777" w:rsidR="00EE5403" w:rsidRPr="00B95BDF" w:rsidRDefault="00917C0A">
      <w:pPr>
        <w:spacing w:before="240" w:after="240" w:line="360" w:lineRule="auto"/>
        <w:ind w:left="567" w:right="902"/>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i/>
          <w:sz w:val="22"/>
          <w:szCs w:val="22"/>
        </w:rPr>
        <w:lastRenderedPageBreak/>
        <w:t xml:space="preserve">“Solicitud 62.pdf”: </w:t>
      </w:r>
      <w:r w:rsidRPr="00B95BDF">
        <w:rPr>
          <w:rFonts w:ascii="Palatino Linotype" w:eastAsia="Palatino Linotype" w:hAnsi="Palatino Linotype" w:cs="Palatino Linotype"/>
          <w:sz w:val="22"/>
          <w:szCs w:val="22"/>
        </w:rPr>
        <w:t>Oficio suscrito por la Coordinadora de Transparencia del SMDIF Tlalnepantla, dirigido a la persona solicitante, por el cual manifiesta que los Integrantes del Comité de Transparencia consideraron que efectivamente la información requerida en la solicitud de información pública 00062/DIFTLALNE/IP/2024, sobrepasaba las capacidades técnicas del Sistema de Acceso a la Información Pública (SAIMEX), por lo que mediante Acuerdo CT/SMDIF/COM/EXTE/9ª/2024/ QUINTO, emitido en la Novena Sesión Extraordinaria del Comité de Transparencia, de fecha siete de mayo de dos mil veinticuatro, se aprobó por unanimidad de votos la entrega de la información solicitada, en “CONSULTA DIRECTA” (In situ), salvo aquella que sea clasificada como confidencial o reservada, esto como un procedimiento interno que asegura la mayor eficiencia en la gestión de las solicitudes de acceso a la información pública de referencia.</w:t>
      </w:r>
    </w:p>
    <w:p w14:paraId="7F24F660" w14:textId="77777777" w:rsidR="00EE5403" w:rsidRPr="00B95BDF" w:rsidRDefault="00917C0A">
      <w:pPr>
        <w:spacing w:before="240" w:after="240" w:line="360" w:lineRule="auto"/>
        <w:ind w:left="567" w:right="902"/>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Asimismo, le indica que la Consulta Directa de la Información se llevará a cabo en la Sala de Juntas, situada en la planta alta del Sistema Municipal para el Desarrollo Integral de la Familia de Tlalnepantla de Baz Edificio ubicado en Av. Convento de Sta. Mónica s/n, Hab. Jardines de Santa Mónica Tlalnepantla de Baz, C.P. 54050, Estado de México.</w:t>
      </w:r>
    </w:p>
    <w:p w14:paraId="480CBDB5" w14:textId="77777777" w:rsidR="00EE5403" w:rsidRPr="00B95BDF" w:rsidRDefault="00917C0A">
      <w:pPr>
        <w:spacing w:before="240" w:after="240" w:line="360" w:lineRule="auto"/>
        <w:ind w:left="567" w:right="902"/>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2. El Solicitante deberá presentarse en la Sala de Juntas de este Sistema Municipal para el Desarrollo Integral de la Familia de Tlalnepantla de Baz el día NUEVE DE MAYO DEL AÑO EN CURSO, en un horario abierto de 9:00 a 18:00 horas.</w:t>
      </w:r>
    </w:p>
    <w:p w14:paraId="2BD693E9" w14:textId="77777777" w:rsidR="00EE5403" w:rsidRPr="00B95BDF" w:rsidRDefault="00917C0A">
      <w:pPr>
        <w:spacing w:before="240" w:after="240" w:line="360" w:lineRule="auto"/>
        <w:ind w:right="902"/>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4. Interposición del recurso de revisión. </w:t>
      </w:r>
      <w:r w:rsidRPr="00B95BDF">
        <w:rPr>
          <w:rFonts w:ascii="Palatino Linotype" w:eastAsia="Palatino Linotype" w:hAnsi="Palatino Linotype" w:cs="Palatino Linotype"/>
          <w:sz w:val="22"/>
          <w:szCs w:val="22"/>
        </w:rPr>
        <w:t xml:space="preserve">Inconforme con los términos de la respuesta emitida por parte del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el</w:t>
      </w:r>
      <w:r w:rsidRPr="00B95BDF">
        <w:rPr>
          <w:rFonts w:ascii="Palatino Linotype" w:eastAsia="Palatino Linotype" w:hAnsi="Palatino Linotype" w:cs="Palatino Linotype"/>
          <w:b/>
          <w:sz w:val="22"/>
          <w:szCs w:val="22"/>
        </w:rPr>
        <w:t xml:space="preserve"> veinte de mayo de dos mil </w:t>
      </w:r>
      <w:r w:rsidRPr="00B95BDF">
        <w:rPr>
          <w:rFonts w:ascii="Palatino Linotype" w:eastAsia="Palatino Linotype" w:hAnsi="Palatino Linotype" w:cs="Palatino Linotype"/>
          <w:b/>
          <w:sz w:val="22"/>
          <w:szCs w:val="22"/>
        </w:rPr>
        <w:lastRenderedPageBreak/>
        <w:t>veinticuatro,</w:t>
      </w:r>
      <w:r w:rsidRPr="00B95BDF">
        <w:rPr>
          <w:rFonts w:ascii="Palatino Linotype" w:eastAsia="Palatino Linotype" w:hAnsi="Palatino Linotype" w:cs="Palatino Linotype"/>
          <w:sz w:val="22"/>
          <w:szCs w:val="22"/>
        </w:rPr>
        <w:t xml:space="preserve"> la </w:t>
      </w:r>
      <w:r w:rsidRPr="00B95BDF">
        <w:rPr>
          <w:rFonts w:ascii="Palatino Linotype" w:eastAsia="Palatino Linotype" w:hAnsi="Palatino Linotype" w:cs="Palatino Linotype"/>
          <w:b/>
          <w:sz w:val="22"/>
          <w:szCs w:val="22"/>
        </w:rPr>
        <w:t>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xml:space="preserve"> interpuso el recurso de revisión a través de </w:t>
      </w:r>
      <w:r w:rsidRPr="00B95BDF">
        <w:rPr>
          <w:rFonts w:ascii="Palatino Linotype" w:eastAsia="Palatino Linotype" w:hAnsi="Palatino Linotype" w:cs="Palatino Linotype"/>
          <w:b/>
          <w:sz w:val="22"/>
          <w:szCs w:val="22"/>
        </w:rPr>
        <w:t xml:space="preserve">SAIMEX, </w:t>
      </w:r>
      <w:r w:rsidRPr="00B95BDF">
        <w:rPr>
          <w:rFonts w:ascii="Palatino Linotype" w:eastAsia="Palatino Linotype" w:hAnsi="Palatino Linotype" w:cs="Palatino Linotype"/>
          <w:sz w:val="22"/>
          <w:szCs w:val="22"/>
        </w:rPr>
        <w:t>en donde se manifestó de la siguiente manera:</w:t>
      </w:r>
    </w:p>
    <w:p w14:paraId="61F50C3D" w14:textId="77777777" w:rsidR="00EE5403" w:rsidRPr="00B95BDF" w:rsidRDefault="00917C0A">
      <w:pPr>
        <w:tabs>
          <w:tab w:val="left" w:pos="2745"/>
        </w:tabs>
        <w:spacing w:before="240" w:after="240" w:line="276" w:lineRule="auto"/>
        <w:ind w:left="567" w:right="900"/>
        <w:jc w:val="both"/>
        <w:rPr>
          <w:rFonts w:ascii="Palatino Linotype" w:eastAsia="Palatino Linotype" w:hAnsi="Palatino Linotype" w:cs="Palatino Linotype"/>
          <w:b/>
        </w:rPr>
      </w:pPr>
      <w:r w:rsidRPr="00B95BDF">
        <w:rPr>
          <w:rFonts w:ascii="Palatino Linotype" w:eastAsia="Palatino Linotype" w:hAnsi="Palatino Linotype" w:cs="Palatino Linotype"/>
          <w:b/>
          <w:sz w:val="22"/>
          <w:szCs w:val="22"/>
        </w:rPr>
        <w:t xml:space="preserve">a) Acto impugnado: </w:t>
      </w:r>
      <w:r w:rsidRPr="00B95BDF">
        <w:rPr>
          <w:rFonts w:ascii="Palatino Linotype" w:eastAsia="Palatino Linotype" w:hAnsi="Palatino Linotype" w:cs="Palatino Linotype"/>
          <w:i/>
          <w:sz w:val="22"/>
          <w:szCs w:val="22"/>
        </w:rPr>
        <w:t>“La negativa de la información solicitada y la puesta a disposición de información en una modalidad distinta al solicitado.” (Sic)</w:t>
      </w:r>
    </w:p>
    <w:p w14:paraId="10E35BA7" w14:textId="77777777" w:rsidR="00EE5403" w:rsidRPr="00B95BDF" w:rsidRDefault="00917C0A">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B95BDF">
        <w:rPr>
          <w:rFonts w:ascii="Palatino Linotype" w:eastAsia="Palatino Linotype" w:hAnsi="Palatino Linotype" w:cs="Palatino Linotype"/>
          <w:b/>
          <w:sz w:val="22"/>
          <w:szCs w:val="22"/>
        </w:rPr>
        <w:t>b) Razones o motivos de inconformidad</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i/>
          <w:sz w:val="22"/>
          <w:szCs w:val="22"/>
        </w:rPr>
        <w:t>“Con fundamento en el artículo 179 de la Ley de Transparencia y Acceso a la Información Pública del Estado de México y Municipios en sus fracciones I y VIII . El sujeto obligado denominado Sistema Municipal DIF de Tlalnepantla de Baz niega la entrega de la información solicitada toda vez que la pone a disposición en una modalidad distinta al que le fue solicitado. Se solicito a través de la plataforma Saimex los expedientes que han tenido representación jurídica en materia familia por parte del SMDIF de Tlalnepantla de Baz por los años 2022 y 2023, así como todos los oficios firmados por el titular de la Dirección de Jurídico del DIF de Tlalnepantla de Baz por los años 2022 y 2023. También se precisa que, en la solicitud de prórroga de la información de esta solicitud, el sujeto obligado no anexa la sesión de comité de transparencia que refieren en el acuse de prórroga de la plataforma Saimex, tampoco se presenta la documental en la que se pueda ver los argumentos, fundamentos y motivación de la unidad administrativa que solicitó la ampliación del plazo.” (Sic)</w:t>
      </w:r>
    </w:p>
    <w:p w14:paraId="7D3FC0D3" w14:textId="77777777" w:rsidR="00EE5403" w:rsidRPr="00B95BDF" w:rsidRDefault="00917C0A">
      <w:pPr>
        <w:spacing w:before="240" w:after="240" w:line="360" w:lineRule="auto"/>
        <w:ind w:right="51"/>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5. Turno. </w:t>
      </w:r>
      <w:r w:rsidRPr="00B95BD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95BDF">
        <w:rPr>
          <w:rFonts w:ascii="Palatino Linotype" w:eastAsia="Palatino Linotype" w:hAnsi="Palatino Linotype" w:cs="Palatino Linotype"/>
          <w:b/>
          <w:sz w:val="22"/>
          <w:szCs w:val="22"/>
        </w:rPr>
        <w:t xml:space="preserve">Guadalupe Ramírez Peña, </w:t>
      </w:r>
      <w:r w:rsidRPr="00B95BDF">
        <w:rPr>
          <w:rFonts w:ascii="Palatino Linotype" w:eastAsia="Palatino Linotype" w:hAnsi="Palatino Linotype" w:cs="Palatino Linotype"/>
          <w:sz w:val="22"/>
          <w:szCs w:val="22"/>
        </w:rPr>
        <w:t>a efecto de que analizara sobre su admisión o su desechamiento.</w:t>
      </w:r>
    </w:p>
    <w:p w14:paraId="11D55079"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6. Admisión del Recurso de revisión.</w:t>
      </w:r>
      <w:r w:rsidRPr="00B95BDF">
        <w:rPr>
          <w:rFonts w:ascii="Palatino Linotype" w:eastAsia="Palatino Linotype" w:hAnsi="Palatino Linotype" w:cs="Palatino Linotype"/>
          <w:sz w:val="22"/>
          <w:szCs w:val="22"/>
        </w:rPr>
        <w:t xml:space="preserve"> El</w:t>
      </w:r>
      <w:r w:rsidRPr="00B95BDF">
        <w:rPr>
          <w:rFonts w:ascii="Palatino Linotype" w:eastAsia="Palatino Linotype" w:hAnsi="Palatino Linotype" w:cs="Palatino Linotype"/>
          <w:b/>
          <w:sz w:val="22"/>
          <w:szCs w:val="22"/>
        </w:rPr>
        <w:t xml:space="preserve"> veintitrés de mayo de dos mil veinticuatro, </w:t>
      </w:r>
      <w:r w:rsidRPr="00B95BD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w:t>
      </w:r>
      <w:r w:rsidRPr="00B95BDF">
        <w:rPr>
          <w:rFonts w:ascii="Palatino Linotype" w:eastAsia="Palatino Linotype" w:hAnsi="Palatino Linotype" w:cs="Palatino Linotype"/>
          <w:sz w:val="22"/>
          <w:szCs w:val="22"/>
        </w:rPr>
        <w:lastRenderedPageBreak/>
        <w:t xml:space="preserve">ahora se resuelve, dando un plazo máximo de siete días hábiles para que las partes manifestaran lo que a su derecho resultara conveniente, ofrecieran pruebas, formularan alegatos y el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presentara su informe justificado.</w:t>
      </w:r>
    </w:p>
    <w:p w14:paraId="3F7CE223" w14:textId="77777777" w:rsidR="00EE5403" w:rsidRPr="00B95BDF" w:rsidRDefault="00917C0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B95BDF">
        <w:rPr>
          <w:rFonts w:ascii="Palatino Linotype" w:eastAsia="Palatino Linotype" w:hAnsi="Palatino Linotype" w:cs="Palatino Linotype"/>
          <w:b/>
          <w:sz w:val="22"/>
          <w:szCs w:val="22"/>
        </w:rPr>
        <w:t>7. Manifestaciones e Informe Justificado</w:t>
      </w:r>
      <w:r w:rsidRPr="00B95BDF">
        <w:rPr>
          <w:rFonts w:ascii="Palatino Linotype" w:eastAsia="Palatino Linotype" w:hAnsi="Palatino Linotype" w:cs="Palatino Linotype"/>
          <w:sz w:val="22"/>
          <w:szCs w:val="22"/>
        </w:rPr>
        <w:t xml:space="preserve">. De las constancias que integran el expediente en que se actúa se advierte que durante el periodo de manifestaciones e informe justificado, el </w:t>
      </w:r>
      <w:r w:rsidRPr="00B95BDF">
        <w:rPr>
          <w:rFonts w:ascii="Palatino Linotype" w:eastAsia="Palatino Linotype" w:hAnsi="Palatino Linotype" w:cs="Palatino Linotype"/>
          <w:b/>
          <w:sz w:val="22"/>
          <w:szCs w:val="22"/>
        </w:rPr>
        <w:t>Sujeto Obligado fue omiso</w:t>
      </w:r>
      <w:r w:rsidRPr="00B95BDF">
        <w:rPr>
          <w:rFonts w:ascii="Palatino Linotype" w:eastAsia="Palatino Linotype" w:hAnsi="Palatino Linotype" w:cs="Palatino Linotype"/>
          <w:sz w:val="22"/>
          <w:szCs w:val="22"/>
        </w:rPr>
        <w:t xml:space="preserve"> en remitir documento alguno, mientras que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adjuntó el archivo denominado “</w:t>
      </w:r>
      <w:r w:rsidRPr="00B95BDF">
        <w:rPr>
          <w:rFonts w:ascii="Palatino Linotype" w:eastAsia="Palatino Linotype" w:hAnsi="Palatino Linotype" w:cs="Palatino Linotype"/>
          <w:b/>
          <w:i/>
          <w:sz w:val="22"/>
          <w:szCs w:val="22"/>
        </w:rPr>
        <w:t xml:space="preserve">Alegatos y manifestaciones.pdf”, </w:t>
      </w:r>
      <w:r w:rsidRPr="00B95BDF">
        <w:rPr>
          <w:rFonts w:ascii="Palatino Linotype" w:eastAsia="Palatino Linotype" w:hAnsi="Palatino Linotype" w:cs="Palatino Linotype"/>
          <w:sz w:val="22"/>
          <w:szCs w:val="22"/>
        </w:rPr>
        <w:t xml:space="preserve">el cual se compone de ocho fojas y en él, </w:t>
      </w:r>
      <w:r w:rsidRPr="00B95BDF">
        <w:rPr>
          <w:rFonts w:ascii="Palatino Linotype" w:eastAsia="Palatino Linotype" w:hAnsi="Palatino Linotype" w:cs="Palatino Linotype"/>
          <w:b/>
          <w:sz w:val="22"/>
          <w:szCs w:val="22"/>
        </w:rPr>
        <w:t xml:space="preserve">la parte Recurrente </w:t>
      </w:r>
      <w:r w:rsidRPr="00B95BDF">
        <w:rPr>
          <w:rFonts w:ascii="Palatino Linotype" w:eastAsia="Palatino Linotype" w:hAnsi="Palatino Linotype" w:cs="Palatino Linotype"/>
          <w:sz w:val="22"/>
          <w:szCs w:val="22"/>
        </w:rPr>
        <w:t>manifiesta que</w:t>
      </w:r>
      <w:r w:rsidRPr="00B95BDF">
        <w:rPr>
          <w:rFonts w:ascii="Palatino Linotype" w:eastAsia="Palatino Linotype" w:hAnsi="Palatino Linotype" w:cs="Palatino Linotype"/>
          <w:b/>
          <w:sz w:val="22"/>
          <w:szCs w:val="22"/>
        </w:rPr>
        <w:t xml:space="preserve"> </w:t>
      </w:r>
      <w:r w:rsidRPr="00B95BDF">
        <w:rPr>
          <w:rFonts w:ascii="Palatino Linotype" w:eastAsia="Palatino Linotype" w:hAnsi="Palatino Linotype" w:cs="Palatino Linotype"/>
          <w:sz w:val="22"/>
          <w:szCs w:val="22"/>
        </w:rPr>
        <w:t xml:space="preserve">en la solicitud de prórroga de la información de esta solicitud, el sujeto obligado no anexa la sesión de comité de transparencia que refieren en el acuse de prórroga de la plataforma SAIMEX, tampoco se presenta la documental en la que se pueda ver los argumentos, fundamentos y motivación de la unidad administrativa que solicitó la ampliación del plazo, asimismo que el SMDIF de Tlalnepantla de Baz, debió acreditar, a fin de realizar un cambio de modalidad de consulta directa apegado a derecho, de acuerdo con los Lineamientos Generales en Materia de Clasificación y Desclasificación de la Información, así como para la Elaboración de Versiones Públicas pues no anexa el acta de comité donde se presente la resolución de clasificación, ya sea por reserva o confidencial, de los documentos que se dejaron a nuestra disposición, no se hace referencia de la existencia del Reporte de Incidencias del área de Soporte Técnico del Órgano Garante, (INFOEM), donde informe que se sobrepasa las capacidades técnicas del Sistema SAIMEX y no señaló que existen otras modalidades de entrega, tal y como lo ordena el Órgano Garante Nacional, (INAI), a través de diversas resoluciones de los recursos de inconformidad, (RIA 136/20, RIA 140/20, RIA 153/20, RIA 237/20, RIA 257/20, RIA 258/20), ha considerado que no resulta suficiente una imposibilidad técnica y humana para acreditar un cambio de modalidad, sino que es necesario demostrar otros impedimentos, como la cantidad y formato de la documentación que imposibilitan la </w:t>
      </w:r>
      <w:r w:rsidRPr="00B95BDF">
        <w:rPr>
          <w:rFonts w:ascii="Palatino Linotype" w:eastAsia="Palatino Linotype" w:hAnsi="Palatino Linotype" w:cs="Palatino Linotype"/>
          <w:sz w:val="22"/>
          <w:szCs w:val="22"/>
        </w:rPr>
        <w:lastRenderedPageBreak/>
        <w:t xml:space="preserve">reproducción en el medio elegido por los solicitantes, que la información amerita el cruce de información en los sistemas de datos, entre otros. </w:t>
      </w:r>
    </w:p>
    <w:p w14:paraId="34FC2AB0" w14:textId="77777777" w:rsidR="00EE5403" w:rsidRPr="00B95BDF" w:rsidRDefault="00917C0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rPr>
      </w:pPr>
      <w:r w:rsidRPr="00B95BDF">
        <w:rPr>
          <w:rFonts w:ascii="Palatino Linotype" w:eastAsia="Palatino Linotype" w:hAnsi="Palatino Linotype" w:cs="Palatino Linotype"/>
          <w:b/>
          <w:i/>
          <w:noProof/>
        </w:rPr>
        <w:drawing>
          <wp:inline distT="0" distB="0" distL="0" distR="0" wp14:anchorId="1FB91AC5" wp14:editId="1B44BEFA">
            <wp:extent cx="5612130" cy="2153920"/>
            <wp:effectExtent l="0" t="0" r="0" b="0"/>
            <wp:docPr id="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2153920"/>
                    </a:xfrm>
                    <a:prstGeom prst="rect">
                      <a:avLst/>
                    </a:prstGeom>
                    <a:ln/>
                  </pic:spPr>
                </pic:pic>
              </a:graphicData>
            </a:graphic>
          </wp:inline>
        </w:drawing>
      </w:r>
    </w:p>
    <w:p w14:paraId="48FE70D6"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8. Requerimiento de información adicional.  </w:t>
      </w:r>
      <w:r w:rsidRPr="00B95BDF">
        <w:rPr>
          <w:rFonts w:ascii="Palatino Linotype" w:eastAsia="Palatino Linotype" w:hAnsi="Palatino Linotype" w:cs="Palatino Linotype"/>
          <w:sz w:val="22"/>
          <w:szCs w:val="22"/>
        </w:rPr>
        <w:t xml:space="preserve">El </w:t>
      </w:r>
      <w:r w:rsidRPr="00B95BDF">
        <w:rPr>
          <w:rFonts w:ascii="Palatino Linotype" w:eastAsia="Palatino Linotype" w:hAnsi="Palatino Linotype" w:cs="Palatino Linotype"/>
          <w:b/>
          <w:sz w:val="22"/>
          <w:szCs w:val="22"/>
        </w:rPr>
        <w:t>once de septiembre de dos mil veinticuatro</w:t>
      </w:r>
      <w:r w:rsidRPr="00B95BDF">
        <w:rPr>
          <w:rFonts w:ascii="Palatino Linotype" w:eastAsia="Palatino Linotype" w:hAnsi="Palatino Linotype" w:cs="Palatino Linotype"/>
          <w:sz w:val="22"/>
          <w:szCs w:val="22"/>
        </w:rPr>
        <w:t xml:space="preserve">, se envió por correo electrónico un requerimiento de información adicional al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el cual consistió en lo siguiente:</w:t>
      </w:r>
    </w:p>
    <w:p w14:paraId="643BA5D8" w14:textId="77777777" w:rsidR="00EE5403" w:rsidRPr="00B95BDF" w:rsidRDefault="00917C0A">
      <w:pPr>
        <w:spacing w:line="360" w:lineRule="auto"/>
        <w:jc w:val="center"/>
        <w:rPr>
          <w:rFonts w:ascii="Palatino Linotype" w:eastAsia="Palatino Linotype" w:hAnsi="Palatino Linotype" w:cs="Palatino Linotype"/>
          <w:sz w:val="22"/>
          <w:szCs w:val="22"/>
        </w:rPr>
      </w:pPr>
      <w:r w:rsidRPr="00B95BDF">
        <w:rPr>
          <w:rFonts w:ascii="Palatino Linotype" w:eastAsia="Palatino Linotype" w:hAnsi="Palatino Linotype" w:cs="Palatino Linotype"/>
          <w:noProof/>
          <w:sz w:val="22"/>
          <w:szCs w:val="22"/>
        </w:rPr>
        <w:drawing>
          <wp:inline distT="0" distB="0" distL="0" distR="0" wp14:anchorId="375F3445" wp14:editId="5A64FE6D">
            <wp:extent cx="5467859" cy="3043403"/>
            <wp:effectExtent l="0" t="0" r="0" b="0"/>
            <wp:docPr id="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37169" r="-1556"/>
                    <a:stretch>
                      <a:fillRect/>
                    </a:stretch>
                  </pic:blipFill>
                  <pic:spPr>
                    <a:xfrm>
                      <a:off x="0" y="0"/>
                      <a:ext cx="5467859" cy="3043403"/>
                    </a:xfrm>
                    <a:prstGeom prst="rect">
                      <a:avLst/>
                    </a:prstGeom>
                    <a:ln/>
                  </pic:spPr>
                </pic:pic>
              </a:graphicData>
            </a:graphic>
          </wp:inline>
        </w:drawing>
      </w:r>
    </w:p>
    <w:p w14:paraId="5F564315" w14:textId="77777777" w:rsidR="00EE5403" w:rsidRPr="00B95BDF" w:rsidRDefault="00EE5403">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sz w:val="22"/>
          <w:szCs w:val="22"/>
        </w:rPr>
      </w:pPr>
    </w:p>
    <w:p w14:paraId="0B5860E3"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lastRenderedPageBreak/>
        <w:t>“se requiere informe lo siguiente:</w:t>
      </w:r>
    </w:p>
    <w:p w14:paraId="5889994A"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1. De manera puntual, señale el número de oficios firmados por la persona titular de la Dirección Jurídica del DIF durante 2022 y 2023.</w:t>
      </w:r>
    </w:p>
    <w:p w14:paraId="31CA87E5"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2. Proporcione el minutario de oficios de la persona titular de la Dirección Jurídica del DIF durante 2022 y 2023.</w:t>
      </w:r>
    </w:p>
    <w:p w14:paraId="41CC3821"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3. Precise de manera detallada el número de fojas que componen los oficios firmados por la persona titular de la Dirección Jurídica del DIF durante 2022 y 2023.</w:t>
      </w:r>
    </w:p>
    <w:p w14:paraId="52921EF5"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4.- Señale el número de asuntos en materia familiar en los que el Sistema Municipal DIF de Tlalnepantla ha tenido representación jurídica durante los años 2022 y 2023.</w:t>
      </w:r>
    </w:p>
    <w:p w14:paraId="4ABA7618"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5.- En relación con el número anterior, señale cuántos de estos asuntos se encuentran concluidos y cuantos se encuentran en trámite a la fecha de la solicitud.</w:t>
      </w:r>
    </w:p>
    <w:p w14:paraId="6E514F6E"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6.- Precise el número de fojas que componen los expedientes concluidos en materia familiar en los que el Sistema Municipal DIF de Tlalnepantla ha tenido representación jurídica durante los años 2022 y 2023.</w:t>
      </w:r>
    </w:p>
    <w:p w14:paraId="40613190"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7.- El formato en que se encuentra, esto es en físico o electrónico;</w:t>
      </w:r>
    </w:p>
    <w:p w14:paraId="6BB72BDD"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8.- Señale, si emplea los parámetros de escaneo recomendados por este Instituto, los cuales consisten en una resolución alta de 150 Dpi's, en escala de grises y formato "PDF"; extraído directamente del escáner.</w:t>
      </w:r>
    </w:p>
    <w:p w14:paraId="6D1AB338"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9.- Si, presentó la incidencia ante la Dirección General de Informática de este Instituto o al correo nelson.correa@infoem.org.mx  </w:t>
      </w:r>
    </w:p>
    <w:p w14:paraId="345A67F3"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10.- Proporcione una foja escaneada, correspondiente a una de las documentales que obran en uno de los expedientes concluidos en materia familiar en los que el Sistema Municipal DIF de Tlalnepantla ha tenido representación jurídica durante los años 2022 y 2023. </w:t>
      </w:r>
    </w:p>
    <w:p w14:paraId="0B52B1D1"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lastRenderedPageBreak/>
        <w:t>11.- Si, los documentos contienen información clasificada en términos de la Ley de Transparencia y Acceso a la Información Pública del Estado de México y de Municipios; en caso, afirmativo precise de manera general los datos o información que actualizan dicho supuesto y el fundamento legal de su clasificación.”</w:t>
      </w:r>
    </w:p>
    <w:p w14:paraId="7E7C5EE9" w14:textId="77777777" w:rsidR="00EE5403" w:rsidRPr="00B95BDF" w:rsidRDefault="00EE540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452157F" w14:textId="77777777" w:rsidR="00EE5403" w:rsidRPr="00B95BDF" w:rsidRDefault="00917C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Teniendo así que el</w:t>
      </w:r>
      <w:r w:rsidRPr="00B95BDF">
        <w:rPr>
          <w:rFonts w:ascii="Palatino Linotype" w:eastAsia="Palatino Linotype" w:hAnsi="Palatino Linotype" w:cs="Palatino Linotype"/>
          <w:b/>
          <w:sz w:val="22"/>
          <w:szCs w:val="22"/>
        </w:rPr>
        <w:t xml:space="preserve"> Sujeto Obligado </w:t>
      </w:r>
      <w:r w:rsidRPr="00B95BDF">
        <w:rPr>
          <w:rFonts w:ascii="Palatino Linotype" w:eastAsia="Palatino Linotype" w:hAnsi="Palatino Linotype" w:cs="Palatino Linotype"/>
          <w:sz w:val="22"/>
          <w:szCs w:val="22"/>
        </w:rPr>
        <w:t xml:space="preserve">atendió el presente requerimiento de información adicional el </w:t>
      </w:r>
      <w:r w:rsidRPr="00B95BDF">
        <w:rPr>
          <w:rFonts w:ascii="Palatino Linotype" w:eastAsia="Palatino Linotype" w:hAnsi="Palatino Linotype" w:cs="Palatino Linotype"/>
          <w:b/>
          <w:sz w:val="22"/>
          <w:szCs w:val="22"/>
        </w:rPr>
        <w:t>diecinueve de septiembre de dos mil veinticuatro por conducto del Director Jurídico</w:t>
      </w:r>
      <w:r w:rsidRPr="00B95BDF">
        <w:rPr>
          <w:rFonts w:ascii="Palatino Linotype" w:eastAsia="Palatino Linotype" w:hAnsi="Palatino Linotype" w:cs="Palatino Linotype"/>
          <w:sz w:val="22"/>
          <w:szCs w:val="22"/>
        </w:rPr>
        <w:t xml:space="preserve">, quien se manifestó en los siguientes términos: </w:t>
      </w:r>
    </w:p>
    <w:p w14:paraId="5C0F5E8F" w14:textId="77777777" w:rsidR="00EE5403" w:rsidRPr="00B95BDF" w:rsidRDefault="00917C0A">
      <w:pPr>
        <w:pBdr>
          <w:top w:val="nil"/>
          <w:left w:val="nil"/>
          <w:bottom w:val="nil"/>
          <w:right w:val="nil"/>
          <w:between w:val="nil"/>
        </w:pBdr>
        <w:spacing w:before="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1. De manera puntual, señale el número de oficios firmados por la persona titular de la Dirección Jurídica del DIF durante 2022 y 2023.</w:t>
      </w:r>
    </w:p>
    <w:p w14:paraId="54AB8158" w14:textId="77777777" w:rsidR="00EE5403" w:rsidRPr="00B95BDF" w:rsidRDefault="00917C0A">
      <w:pPr>
        <w:pBdr>
          <w:top w:val="nil"/>
          <w:left w:val="nil"/>
          <w:bottom w:val="nil"/>
          <w:right w:val="nil"/>
          <w:between w:val="nil"/>
        </w:pBdr>
        <w:spacing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Su petición es oscura y me deja en estado de indefensión para contestarla.</w:t>
      </w:r>
    </w:p>
    <w:p w14:paraId="528DEE4D"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2. Proporcione el minutario de oficios de la persona titular de la Dirección Jurídica del DIF durante 2022 y 2023.</w:t>
      </w:r>
    </w:p>
    <w:p w14:paraId="29FBD7F1"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En esta Dirección Jurídica no se cuenta con minutario.</w:t>
      </w:r>
    </w:p>
    <w:p w14:paraId="3D97F578"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3. Precise de manera detallada el número de fojas que componen los oficios firmados por la persona titular de la Dirección Jurídica del DIF durante 2022 y 2023.</w:t>
      </w:r>
    </w:p>
    <w:p w14:paraId="09B0C9EC"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No es clara la petición que realiza, es oscura y me deja en estado de indefensión para contestarla.</w:t>
      </w:r>
    </w:p>
    <w:p w14:paraId="5E3F2798"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4.- Señale el número de asuntos en materia familiar en los que el Sistema Municipal DIF de Tlalnepantla ha tenido representación jurídica durante los años 2022 y 2023.</w:t>
      </w:r>
    </w:p>
    <w:p w14:paraId="37DEC949"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No es clara la petición que realiza, es oscura y me deja en estado de indefensión para contestarla.</w:t>
      </w:r>
    </w:p>
    <w:p w14:paraId="78DCD1E7"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5.- En relación con el número anterior, señale cuántos de estos asuntos se encuentran concluidos y cuantos se encuentran en trámite a la fecha de la solicitud.</w:t>
      </w:r>
    </w:p>
    <w:p w14:paraId="4A6D89B2"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lastRenderedPageBreak/>
        <w:t>Toda vez que la petición que nos ocupa, va relacionada con la anterior, no es posible emitir respuesta y me deja en estado de indefensión.</w:t>
      </w:r>
    </w:p>
    <w:p w14:paraId="67485864"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6.- Precise el número de fojas que componen los expedientes concluidos en materia familiar en los que el Sistema Municipal DIF de Tlalnepantla ha tenido representación jurídica durante los años 2022 y 2023</w:t>
      </w:r>
    </w:p>
    <w:p w14:paraId="5D73CF4A"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La petición en comento no es clara y me deja en estado de indefensión para contestarla.</w:t>
      </w:r>
    </w:p>
    <w:p w14:paraId="3EE4375A"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7.- El formato en que se encuentra, esto es en físico o electrónico;</w:t>
      </w:r>
    </w:p>
    <w:p w14:paraId="542C5FFF"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Su petición no es clara, y me deja en estado de indefensión para contestarla.</w:t>
      </w:r>
    </w:p>
    <w:p w14:paraId="456B8D7B"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i/>
          <w:sz w:val="22"/>
          <w:szCs w:val="22"/>
        </w:rPr>
        <w:t>8.- Señale, si emplea los parámetros de escaneo recomendados por este Instituto, los cuales consisten en una resolución alta de 150 Dpi's, en escala de grises y formato "PDF"; extraído directamente del escáner.</w:t>
      </w:r>
    </w:p>
    <w:p w14:paraId="4A1F8B57"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Si</w:t>
      </w:r>
    </w:p>
    <w:p w14:paraId="37315269"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i/>
          <w:sz w:val="22"/>
          <w:szCs w:val="22"/>
        </w:rPr>
        <w:t>9.- Si, presentó la incidencia ante la Dirección General de Informática de este Instituto o al correo nelson.correa@infoem.org.mx</w:t>
      </w:r>
    </w:p>
    <w:p w14:paraId="7A335CC2"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No</w:t>
      </w:r>
    </w:p>
    <w:p w14:paraId="1F7A7DC8"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10.- Proporcione una foja escaneada, correspondiente a una de las documentales que obran en uno de los expedientes concluidos en materia familiar en los que el Sistema Municipal DIF de Tlalnepantla ha tenido representación jurídica durante los años 2022 y 2023.</w:t>
      </w:r>
    </w:p>
    <w:p w14:paraId="39382C83"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 xml:space="preserve">Con fundamento en el artículo 12 de la Ley de Transparencia y Acceso a la Información Pública del Estado de México y Municipios, en mi calidad de sujeto obligado no es preciso darle un tratamiento especial a la documentación que se tiene bajo mi resguardo en este SMDIF. </w:t>
      </w:r>
    </w:p>
    <w:p w14:paraId="3B1062AD"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11.- Si, los documentos contienen información clasificada en términos de la Ley de Transparencia y Acceso a la Información Pública del Estado de México y de </w:t>
      </w:r>
      <w:r w:rsidRPr="00B95BDF">
        <w:rPr>
          <w:rFonts w:ascii="Palatino Linotype" w:eastAsia="Palatino Linotype" w:hAnsi="Palatino Linotype" w:cs="Palatino Linotype"/>
          <w:i/>
          <w:sz w:val="22"/>
          <w:szCs w:val="22"/>
        </w:rPr>
        <w:lastRenderedPageBreak/>
        <w:t>Municipios; en caso, afirmativo precise de manera general los datos o información que actualizan dicho supuesto y el fundamento legal de su clasificación.</w:t>
      </w:r>
    </w:p>
    <w:p w14:paraId="7EA64C74"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Si</w:t>
      </w:r>
      <w:r w:rsidRPr="00B95BDF">
        <w:rPr>
          <w:rFonts w:ascii="Palatino Linotype" w:eastAsia="Palatino Linotype" w:hAnsi="Palatino Linotype" w:cs="Palatino Linotype"/>
          <w:i/>
          <w:sz w:val="22"/>
          <w:szCs w:val="22"/>
        </w:rPr>
        <w:t>” (Énfasis añadido)</w:t>
      </w:r>
    </w:p>
    <w:p w14:paraId="4CCFF487" w14:textId="77777777" w:rsidR="00EE5403" w:rsidRPr="00B95BDF" w:rsidRDefault="00EE540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0E4B895" w14:textId="77777777" w:rsidR="00EE5403" w:rsidRPr="00B95BDF" w:rsidRDefault="00917C0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9. Ampliación del término para resolver</w:t>
      </w:r>
      <w:r w:rsidRPr="00B95BDF">
        <w:rPr>
          <w:rFonts w:ascii="Palatino Linotype" w:eastAsia="Palatino Linotype" w:hAnsi="Palatino Linotype" w:cs="Palatino Linotype"/>
          <w:sz w:val="22"/>
          <w:szCs w:val="22"/>
        </w:rPr>
        <w:t xml:space="preserve">. El </w:t>
      </w:r>
      <w:r w:rsidRPr="00B95BDF">
        <w:rPr>
          <w:rFonts w:ascii="Palatino Linotype" w:eastAsia="Palatino Linotype" w:hAnsi="Palatino Linotype" w:cs="Palatino Linotype"/>
          <w:b/>
          <w:sz w:val="22"/>
          <w:szCs w:val="22"/>
        </w:rPr>
        <w:t>dieciocho de septiembre de dos mil veinticuatro</w:t>
      </w:r>
      <w:r w:rsidRPr="00B95BD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18A084A"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76CE8C1"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582A2734"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2ECFBA"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w:t>
      </w:r>
      <w:r w:rsidRPr="00B95BDF">
        <w:rPr>
          <w:rFonts w:ascii="Palatino Linotype" w:eastAsia="Palatino Linotype" w:hAnsi="Palatino Linotype" w:cs="Palatino Linotype"/>
          <w:sz w:val="22"/>
          <w:szCs w:val="22"/>
        </w:rPr>
        <w:lastRenderedPageBreak/>
        <w:t xml:space="preserve">jurisdiccionales o cuasi jurisdiccionales, tanto por la complejidad de los hechos, como por el número de casos que conocen. </w:t>
      </w:r>
    </w:p>
    <w:p w14:paraId="72E40A9A" w14:textId="77777777" w:rsidR="00EE5403" w:rsidRPr="00B95BDF" w:rsidRDefault="00917C0A">
      <w:pPr>
        <w:spacing w:before="240" w:after="240" w:line="360" w:lineRule="auto"/>
        <w:jc w:val="both"/>
        <w:rPr>
          <w:rFonts w:ascii="Palatino Linotype" w:eastAsia="Palatino Linotype" w:hAnsi="Palatino Linotype" w:cs="Palatino Linotype"/>
          <w:strike/>
          <w:sz w:val="22"/>
          <w:szCs w:val="22"/>
        </w:rPr>
      </w:pPr>
      <w:r w:rsidRPr="00B95BD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177B5B3" w14:textId="77777777" w:rsidR="00EE5403" w:rsidRPr="00B95BDF" w:rsidRDefault="00917C0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Complejidad del Asunto:</w:t>
      </w:r>
      <w:r w:rsidRPr="00B95BD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8826254" w14:textId="77777777" w:rsidR="00EE5403" w:rsidRPr="00B95BDF" w:rsidRDefault="00917C0A">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Actividad Procesal del interesado</w:t>
      </w:r>
      <w:r w:rsidRPr="00B95BDF">
        <w:rPr>
          <w:rFonts w:ascii="Palatino Linotype" w:eastAsia="Palatino Linotype" w:hAnsi="Palatino Linotype" w:cs="Palatino Linotype"/>
          <w:sz w:val="22"/>
          <w:szCs w:val="22"/>
        </w:rPr>
        <w:t>. Acciones u omisiones del interesado.</w:t>
      </w:r>
    </w:p>
    <w:p w14:paraId="1D03033D" w14:textId="77777777" w:rsidR="00EE5403" w:rsidRPr="00B95BDF" w:rsidRDefault="00917C0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Conducta de la Autoridad:</w:t>
      </w:r>
      <w:r w:rsidRPr="00B95BD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7A00305" w14:textId="77777777" w:rsidR="00EE5403" w:rsidRPr="00B95BDF" w:rsidRDefault="00917C0A">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La afectación generada en la situación jurídica de la persona involucrada en el proceso:</w:t>
      </w:r>
      <w:r w:rsidRPr="00B95BDF">
        <w:rPr>
          <w:rFonts w:ascii="Palatino Linotype" w:eastAsia="Palatino Linotype" w:hAnsi="Palatino Linotype" w:cs="Palatino Linotype"/>
          <w:sz w:val="22"/>
          <w:szCs w:val="22"/>
        </w:rPr>
        <w:t xml:space="preserve"> Violación a sus derechos humanos.</w:t>
      </w:r>
    </w:p>
    <w:p w14:paraId="70A091B5"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02C41D" w14:textId="77777777" w:rsidR="00EE5403" w:rsidRPr="00B95BDF" w:rsidRDefault="00917C0A">
      <w:pPr>
        <w:spacing w:before="240" w:after="240"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95BDF">
        <w:rPr>
          <w:rFonts w:ascii="Palatino Linotype" w:eastAsia="Palatino Linotype" w:hAnsi="Palatino Linotype" w:cs="Palatino Linotype"/>
          <w:i/>
          <w:sz w:val="22"/>
          <w:szCs w:val="22"/>
        </w:rPr>
        <w:t xml:space="preserve">“TÉRMINOS PROCESALES. PARA DETERMINAR SI UN FUNCIONARIO JUDICIAL ACTUÓ INDEBIDAMENTE POR NO RESPETARLOS SE DEBE ATENDER AL PRESUPUESTO QUE CONSIDERÓ EL </w:t>
      </w:r>
      <w:r w:rsidRPr="00B95BDF">
        <w:rPr>
          <w:rFonts w:ascii="Palatino Linotype" w:eastAsia="Palatino Linotype" w:hAnsi="Palatino Linotype" w:cs="Palatino Linotype"/>
          <w:i/>
          <w:sz w:val="22"/>
          <w:szCs w:val="22"/>
        </w:rPr>
        <w:lastRenderedPageBreak/>
        <w:t>LEGISLADOR AL FIJARLOS Y LAS CARACTERÍSTICAS DEL CASO.”</w:t>
      </w:r>
      <w:r w:rsidRPr="00B95BDF">
        <w:rPr>
          <w:rFonts w:ascii="Palatino Linotype" w:eastAsia="Palatino Linotype" w:hAnsi="Palatino Linotype" w:cs="Palatino Linotype"/>
          <w:sz w:val="22"/>
          <w:szCs w:val="22"/>
        </w:rPr>
        <w:t>, visible en la Gaceta del Seminario Judicial de la Federación con el registro digital 205635.</w:t>
      </w:r>
    </w:p>
    <w:p w14:paraId="142A7404"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B16B03"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063165A" w14:textId="77777777" w:rsidR="00EE5403" w:rsidRPr="00B95BDF" w:rsidRDefault="00917C0A">
      <w:pPr>
        <w:spacing w:before="240" w:after="240" w:line="360" w:lineRule="auto"/>
        <w:ind w:left="426" w:right="90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i/>
          <w:sz w:val="22"/>
          <w:szCs w:val="22"/>
        </w:rPr>
        <w:t>“PLAZO RAZONABLE PARA RESOLVER. DIMENSIÓN Y EFECTOS DE ESTE CONCEPTO CUANDO SE ADUCE EXCESIVA CARGA DE TRABAJO</w:t>
      </w: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sz w:val="22"/>
          <w:szCs w:val="22"/>
        </w:rPr>
        <w:t xml:space="preserve"> consultable en el Seminario Judicial de la Federación y su gaceta, con el registro digital 2002351.</w:t>
      </w:r>
    </w:p>
    <w:p w14:paraId="145D4062" w14:textId="77777777" w:rsidR="00EE5403" w:rsidRPr="00B95BDF" w:rsidRDefault="00917C0A">
      <w:pPr>
        <w:spacing w:before="240" w:after="240" w:line="360" w:lineRule="auto"/>
        <w:ind w:left="426" w:right="90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95BDF">
        <w:rPr>
          <w:rFonts w:ascii="Palatino Linotype" w:eastAsia="Palatino Linotype" w:hAnsi="Palatino Linotype" w:cs="Palatino Linotype"/>
          <w:sz w:val="22"/>
          <w:szCs w:val="22"/>
        </w:rPr>
        <w:t>, visible en el Seminario Judicial de la Federación y su gaceta, con el registro digital 2002350.</w:t>
      </w:r>
    </w:p>
    <w:p w14:paraId="587BA03B"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Por ello, este organismo garante comprometido con la tutela de los derechos humanos confiados, señala que este exceso del plazo legal para resolver el presente asunto, resulta de carácter excepcional.</w:t>
      </w:r>
    </w:p>
    <w:p w14:paraId="19BECCDB"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10. Cierre de instrucción. </w:t>
      </w:r>
      <w:r w:rsidRPr="00B95BD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B95BDF">
        <w:rPr>
          <w:rFonts w:ascii="Palatino Linotype" w:eastAsia="Palatino Linotype" w:hAnsi="Palatino Linotype" w:cs="Palatino Linotype"/>
          <w:b/>
          <w:sz w:val="22"/>
          <w:szCs w:val="22"/>
        </w:rPr>
        <w:t>dieciocho de septiembre de dos mil veinticuatro,</w:t>
      </w:r>
      <w:r w:rsidRPr="00B95BD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7C5A3BB"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427234A" w14:textId="77777777" w:rsidR="00EE5403" w:rsidRPr="00B95BDF" w:rsidRDefault="00917C0A">
      <w:pPr>
        <w:widowControl w:val="0"/>
        <w:spacing w:before="240" w:after="240" w:line="360" w:lineRule="auto"/>
        <w:jc w:val="center"/>
        <w:rPr>
          <w:rFonts w:ascii="Palatino Linotype" w:eastAsia="Palatino Linotype" w:hAnsi="Palatino Linotype" w:cs="Palatino Linotype"/>
          <w:b/>
        </w:rPr>
      </w:pPr>
      <w:r w:rsidRPr="00B95BDF">
        <w:rPr>
          <w:rFonts w:ascii="Palatino Linotype" w:eastAsia="Palatino Linotype" w:hAnsi="Palatino Linotype" w:cs="Palatino Linotype"/>
          <w:b/>
        </w:rPr>
        <w:t>II. C O N S I D E R A N D O S</w:t>
      </w:r>
    </w:p>
    <w:p w14:paraId="6C818600"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Primero. Competencia.</w:t>
      </w:r>
      <w:r w:rsidRPr="00B95BD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FFEB013"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B95BDF">
        <w:rPr>
          <w:rFonts w:ascii="Palatino Linotype" w:eastAsia="Palatino Linotype" w:hAnsi="Palatino Linotype" w:cs="Palatino Linotype"/>
          <w:b/>
          <w:sz w:val="22"/>
          <w:szCs w:val="22"/>
        </w:rPr>
        <w:lastRenderedPageBreak/>
        <w:t>Segundo. Oportunidad y Procedibilidad del Recurso de Revisión</w:t>
      </w:r>
      <w:r w:rsidRPr="00B95BD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8B5AF55" w14:textId="77777777" w:rsidR="00EE5403" w:rsidRPr="00B95BDF" w:rsidRDefault="00917C0A">
      <w:pPr>
        <w:spacing w:before="240" w:after="240" w:line="360" w:lineRule="auto"/>
        <w:jc w:val="both"/>
        <w:rPr>
          <w:rFonts w:ascii="Palatino Linotype" w:eastAsia="Palatino Linotype" w:hAnsi="Palatino Linotype" w:cs="Palatino Linotype"/>
          <w:strike/>
          <w:sz w:val="22"/>
          <w:szCs w:val="22"/>
        </w:rPr>
      </w:pPr>
      <w:r w:rsidRPr="00B95BD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 xml:space="preserve">remitió la respuesta a la solicitud de información el </w:t>
      </w:r>
      <w:r w:rsidRPr="00B95BDF">
        <w:rPr>
          <w:rFonts w:ascii="Palatino Linotype" w:eastAsia="Palatino Linotype" w:hAnsi="Palatino Linotype" w:cs="Palatino Linotype"/>
          <w:b/>
          <w:sz w:val="22"/>
          <w:szCs w:val="22"/>
        </w:rPr>
        <w:t>siete de mayo</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 xml:space="preserve">de dos mil veintitrés, </w:t>
      </w:r>
      <w:r w:rsidRPr="00B95BDF">
        <w:rPr>
          <w:rFonts w:ascii="Palatino Linotype" w:eastAsia="Palatino Linotype" w:hAnsi="Palatino Linotype" w:cs="Palatino Linotype"/>
          <w:sz w:val="22"/>
          <w:szCs w:val="22"/>
        </w:rPr>
        <w:t xml:space="preserve">mientras que el recurso de revisión interpuesto por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se tuvo por presentado el día </w:t>
      </w:r>
      <w:r w:rsidRPr="00B95BDF">
        <w:rPr>
          <w:rFonts w:ascii="Palatino Linotype" w:eastAsia="Palatino Linotype" w:hAnsi="Palatino Linotype" w:cs="Palatino Linotype"/>
          <w:b/>
          <w:sz w:val="22"/>
          <w:szCs w:val="22"/>
        </w:rPr>
        <w:t>veinte de mayo</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 xml:space="preserve">de dos mil veintitrés, </w:t>
      </w:r>
      <w:r w:rsidRPr="00B95BDF">
        <w:rPr>
          <w:rFonts w:ascii="Palatino Linotype" w:eastAsia="Palatino Linotype" w:hAnsi="Palatino Linotype" w:cs="Palatino Linotype"/>
          <w:sz w:val="22"/>
          <w:szCs w:val="22"/>
        </w:rPr>
        <w:t xml:space="preserve">esto es, al </w:t>
      </w:r>
      <w:r w:rsidRPr="00B95BDF">
        <w:rPr>
          <w:rFonts w:ascii="Palatino Linotype" w:eastAsia="Palatino Linotype" w:hAnsi="Palatino Linotype" w:cs="Palatino Linotype"/>
          <w:b/>
          <w:sz w:val="22"/>
          <w:szCs w:val="22"/>
        </w:rPr>
        <w:t>noveno día hábil</w:t>
      </w:r>
      <w:r w:rsidRPr="00B95BDF">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5D140EF8" w14:textId="77777777" w:rsidR="00EE5403" w:rsidRPr="00B95BDF" w:rsidRDefault="00917C0A">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B95BD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58F17AF"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xml:space="preserve"> en sus motivos de inconformidad, de acuerdo al artículo 179, fracción VIII del ordenamiento legal citado, que a la letra dice: </w:t>
      </w:r>
    </w:p>
    <w:p w14:paraId="3D8C7B60"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179.</w:t>
      </w:r>
      <w:r w:rsidRPr="00B95BD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65F3CE" w14:textId="77777777" w:rsidR="00EE5403" w:rsidRPr="00B95BDF" w:rsidRDefault="00917C0A">
      <w:pPr>
        <w:spacing w:before="120" w:after="120"/>
        <w:ind w:left="567"/>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lastRenderedPageBreak/>
        <w:t>…</w:t>
      </w:r>
    </w:p>
    <w:p w14:paraId="4F470F2F" w14:textId="77777777" w:rsidR="00EE5403" w:rsidRPr="00B95BDF" w:rsidRDefault="00917C0A">
      <w:pPr>
        <w:spacing w:before="120" w:after="120"/>
        <w:ind w:left="567"/>
        <w:rPr>
          <w:rFonts w:ascii="Palatino Linotype" w:eastAsia="Palatino Linotype" w:hAnsi="Palatino Linotype" w:cs="Palatino Linotype"/>
          <w:b/>
          <w:i/>
          <w:sz w:val="22"/>
          <w:szCs w:val="22"/>
          <w:u w:val="single"/>
        </w:rPr>
      </w:pPr>
      <w:r w:rsidRPr="00B95BDF">
        <w:rPr>
          <w:rFonts w:ascii="Palatino Linotype" w:eastAsia="Palatino Linotype" w:hAnsi="Palatino Linotype" w:cs="Palatino Linotype"/>
          <w:b/>
          <w:i/>
          <w:sz w:val="22"/>
          <w:szCs w:val="22"/>
          <w:u w:val="single"/>
        </w:rPr>
        <w:t xml:space="preserve">VIII. La notificación, entrega o puesta a disposición de información en una modalidad o formato distinto al solicitado;” </w:t>
      </w:r>
      <w:r w:rsidRPr="00B95BDF">
        <w:rPr>
          <w:rFonts w:ascii="Palatino Linotype" w:eastAsia="Palatino Linotype" w:hAnsi="Palatino Linotype" w:cs="Palatino Linotype"/>
          <w:i/>
          <w:sz w:val="22"/>
          <w:szCs w:val="22"/>
        </w:rPr>
        <w:t>(Énfasis añadido)</w:t>
      </w:r>
    </w:p>
    <w:p w14:paraId="741E66BF"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Tercero. Materia de la revisión. </w:t>
      </w:r>
      <w:r w:rsidRPr="00B95BD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95BD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B95BDF">
        <w:rPr>
          <w:rFonts w:ascii="Palatino Linotype" w:eastAsia="Palatino Linotype" w:hAnsi="Palatino Linotype" w:cs="Palatino Linotype"/>
          <w:sz w:val="22"/>
          <w:szCs w:val="22"/>
        </w:rPr>
        <w:t xml:space="preserve">de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o en su defecto, en caso de ser procedente, ordenar la entrega de información.</w:t>
      </w:r>
    </w:p>
    <w:p w14:paraId="4D58A413"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B95BDF">
        <w:rPr>
          <w:rFonts w:ascii="Palatino Linotype" w:eastAsia="Palatino Linotype" w:hAnsi="Palatino Linotype" w:cs="Palatino Linotype"/>
          <w:b/>
          <w:sz w:val="22"/>
          <w:szCs w:val="22"/>
        </w:rPr>
        <w:t xml:space="preserve">Cuarto. Estudio del asunto. </w:t>
      </w:r>
      <w:r w:rsidRPr="00B95BD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C9B3BF3" w14:textId="77777777" w:rsidR="00EE5403" w:rsidRPr="00B95BDF" w:rsidRDefault="00917C0A">
      <w:pPr>
        <w:spacing w:before="120" w:after="120"/>
        <w:ind w:left="851"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4</w:t>
      </w:r>
      <w:r w:rsidRPr="00B95BD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A57CB51" w14:textId="77777777" w:rsidR="00EE5403" w:rsidRPr="00B95BDF" w:rsidRDefault="00917C0A">
      <w:pPr>
        <w:spacing w:before="120" w:after="120"/>
        <w:ind w:left="851"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95BDF">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B95BDF">
        <w:rPr>
          <w:rFonts w:ascii="Palatino Linotype" w:eastAsia="Palatino Linotype" w:hAnsi="Palatino Linotype" w:cs="Palatino Linotype"/>
          <w:i/>
          <w:sz w:val="22"/>
          <w:szCs w:val="22"/>
        </w:rPr>
        <w:lastRenderedPageBreak/>
        <w:t>por razones de interés público, en los términos de las causas legítimas y estrictamente necesarias previstas por esta Ley.</w:t>
      </w:r>
    </w:p>
    <w:p w14:paraId="251FCDCD" w14:textId="77777777" w:rsidR="00EE5403" w:rsidRPr="00B95BDF" w:rsidRDefault="00917C0A">
      <w:pPr>
        <w:spacing w:before="120" w:after="120"/>
        <w:ind w:left="851"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95BDF">
        <w:rPr>
          <w:rFonts w:ascii="Palatino Linotype" w:eastAsia="Palatino Linotype" w:hAnsi="Palatino Linotype" w:cs="Palatino Linotype"/>
          <w:i/>
          <w:sz w:val="22"/>
          <w:szCs w:val="22"/>
        </w:rPr>
        <w:t>.”(Énfasis añadido)</w:t>
      </w:r>
    </w:p>
    <w:p w14:paraId="5026F01D"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0D65CAF"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“Artículo 12.-</w:t>
      </w:r>
      <w:r w:rsidRPr="00B95BD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AAE5860"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95BDF">
        <w:rPr>
          <w:rFonts w:ascii="Palatino Linotype" w:eastAsia="Palatino Linotype" w:hAnsi="Palatino Linotype" w:cs="Palatino Linotype"/>
          <w:i/>
          <w:sz w:val="22"/>
          <w:szCs w:val="22"/>
        </w:rPr>
        <w:t xml:space="preserve">. </w:t>
      </w:r>
      <w:r w:rsidRPr="00B95BD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D813A8F" w14:textId="77777777" w:rsidR="00EE5403" w:rsidRPr="00B95BDF" w:rsidRDefault="00917C0A">
      <w:pPr>
        <w:spacing w:before="240" w:after="240" w:line="360" w:lineRule="auto"/>
        <w:ind w:right="-9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1B06387" w14:textId="77777777" w:rsidR="00EE5403" w:rsidRPr="00B95BDF" w:rsidRDefault="00917C0A">
      <w:pPr>
        <w:spacing w:before="240" w:after="240"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lastRenderedPageBreak/>
        <w:t>Sirve de apoyo a lo anterior, el criterio 03/17, emitido por el Instituto Nacional de Transparencia, Acceso a la Información y Protección de Datos Personales, que por rubro y texto, dispone lo siguiente:</w:t>
      </w:r>
      <w:r w:rsidRPr="00B95BDF">
        <w:rPr>
          <w:rFonts w:ascii="Palatino Linotype" w:eastAsia="Palatino Linotype" w:hAnsi="Palatino Linotype" w:cs="Palatino Linotype"/>
          <w:b/>
          <w:sz w:val="22"/>
          <w:szCs w:val="22"/>
        </w:rPr>
        <w:t xml:space="preserve"> </w:t>
      </w:r>
    </w:p>
    <w:p w14:paraId="16E71B3F" w14:textId="77777777" w:rsidR="00EE5403" w:rsidRPr="00B95BDF" w:rsidRDefault="00917C0A">
      <w:pPr>
        <w:spacing w:before="120" w:after="120" w:line="276" w:lineRule="auto"/>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No existe obligación de elaborar documentos ad hoc para atender las solicitudes de acceso a la información.</w:t>
      </w:r>
      <w:r w:rsidRPr="00B95BD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B0CF443" w14:textId="77777777" w:rsidR="00EE5403" w:rsidRPr="00B95BDF" w:rsidRDefault="00917C0A">
      <w:pPr>
        <w:spacing w:before="120" w:after="12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0386E7" w14:textId="77777777" w:rsidR="00EE5403" w:rsidRPr="00B95BDF" w:rsidRDefault="00917C0A">
      <w:pPr>
        <w:spacing w:before="120" w:after="12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5B4095"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lastRenderedPageBreak/>
        <w:t>“</w:t>
      </w:r>
      <w:r w:rsidRPr="00B95BDF">
        <w:rPr>
          <w:rFonts w:ascii="Palatino Linotype" w:eastAsia="Palatino Linotype" w:hAnsi="Palatino Linotype" w:cs="Palatino Linotype"/>
          <w:b/>
          <w:i/>
          <w:sz w:val="22"/>
          <w:szCs w:val="22"/>
        </w:rPr>
        <w:t xml:space="preserve">Artículo 3. </w:t>
      </w:r>
      <w:r w:rsidRPr="00B95BDF">
        <w:rPr>
          <w:rFonts w:ascii="Palatino Linotype" w:eastAsia="Palatino Linotype" w:hAnsi="Palatino Linotype" w:cs="Palatino Linotype"/>
          <w:i/>
          <w:sz w:val="22"/>
          <w:szCs w:val="22"/>
        </w:rPr>
        <w:t>Para los efectos de la presente Ley se entenderá por:</w:t>
      </w:r>
    </w:p>
    <w:p w14:paraId="34C966ED"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p>
    <w:p w14:paraId="2D7E60EC"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XI. Documento:</w:t>
      </w:r>
      <w:r w:rsidRPr="00B95BDF">
        <w:rPr>
          <w:rFonts w:ascii="Palatino Linotype" w:eastAsia="Palatino Linotype" w:hAnsi="Palatino Linotype" w:cs="Palatino Linotype"/>
          <w:i/>
          <w:sz w:val="22"/>
          <w:szCs w:val="22"/>
        </w:rPr>
        <w:t xml:space="preserve"> Los expedientes, reportes, estudios, actas</w:t>
      </w:r>
      <w:r w:rsidRPr="00B95BDF">
        <w:rPr>
          <w:rFonts w:ascii="Palatino Linotype" w:eastAsia="Palatino Linotype" w:hAnsi="Palatino Linotype" w:cs="Palatino Linotype"/>
          <w:b/>
          <w:i/>
          <w:sz w:val="22"/>
          <w:szCs w:val="22"/>
        </w:rPr>
        <w:t>,</w:t>
      </w:r>
      <w:r w:rsidRPr="00B95BD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4591ADE"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68AE62"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sz w:val="22"/>
          <w:szCs w:val="22"/>
        </w:rPr>
        <w:t>“</w:t>
      </w:r>
      <w:r w:rsidRPr="00B95BD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95BD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F6C97B"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99C5265"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B6F3"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BA43BF9" w14:textId="77777777" w:rsidR="00EE5403" w:rsidRPr="00B95BDF" w:rsidRDefault="00917C0A">
      <w:pPr>
        <w:spacing w:before="120" w:after="120"/>
        <w:ind w:left="567" w:right="90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lastRenderedPageBreak/>
        <w:t xml:space="preserve">3) Que se trate de información registrada en cualquier soporte documental, que en ejercicio de las atribuciones conferidas, se encuentre en posesión de los Sujetos Obligados.” </w:t>
      </w:r>
    </w:p>
    <w:p w14:paraId="669DCC65" w14:textId="77777777" w:rsidR="00EE5403" w:rsidRPr="00B95BDF" w:rsidRDefault="00917C0A">
      <w:pPr>
        <w:spacing w:before="240" w:after="240" w:line="360" w:lineRule="auto"/>
        <w:ind w:right="51"/>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B73228"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50BFED9"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xml:space="preserve"> requirió al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le proporcione, información consistente en lo siguiente:</w:t>
      </w:r>
    </w:p>
    <w:p w14:paraId="183CAE44" w14:textId="77777777" w:rsidR="00EE5403" w:rsidRPr="00B95BDF" w:rsidRDefault="00917C0A">
      <w:pPr>
        <w:numPr>
          <w:ilvl w:val="0"/>
          <w:numId w:val="7"/>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lastRenderedPageBreak/>
        <w:t xml:space="preserve">Relación y copia de los expedientes que han tenido representación jurídica en juicios en materia familiar por parte del Sistema Municipal DIF de Tlalnepantla por los años 2022 y 2023. </w:t>
      </w:r>
    </w:p>
    <w:p w14:paraId="6AF61B9A" w14:textId="77777777" w:rsidR="00EE5403" w:rsidRPr="00B95BDF" w:rsidRDefault="00EE5403">
      <w:pPr>
        <w:pBdr>
          <w:top w:val="nil"/>
          <w:left w:val="nil"/>
          <w:bottom w:val="nil"/>
          <w:right w:val="nil"/>
          <w:between w:val="nil"/>
        </w:pBdr>
        <w:spacing w:line="360" w:lineRule="auto"/>
        <w:ind w:left="567" w:right="900"/>
        <w:jc w:val="both"/>
        <w:rPr>
          <w:rFonts w:ascii="Palatino Linotype" w:eastAsia="Palatino Linotype" w:hAnsi="Palatino Linotype" w:cs="Palatino Linotype"/>
          <w:b/>
          <w:sz w:val="22"/>
          <w:szCs w:val="22"/>
        </w:rPr>
      </w:pPr>
    </w:p>
    <w:p w14:paraId="7E8DC5EC" w14:textId="77777777" w:rsidR="00EE5403" w:rsidRPr="00B95BDF" w:rsidRDefault="00917C0A">
      <w:pPr>
        <w:numPr>
          <w:ilvl w:val="0"/>
          <w:numId w:val="7"/>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Copia de todos los oficios firmados por el titular de la Dirección de Jurídico del DIF de Tlalnepantla, también por los años 2022 y 2023.</w:t>
      </w:r>
    </w:p>
    <w:p w14:paraId="1FEEECFE"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respuesta,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se pronunció por conducto del Director Jurídico, quien manifiesta que la información solicitada se compone de aproximadamente de 19,000 hojas, por lo que solicita que se convoque al Comité de Transparencia para efecto de aprobar el cambio de modalidad de entrega de información a consulta directa; es de precisar que derivado de este pronunciamiento, se celebró la Novena Sesión Extraordinaria del Comité de Transparencia, de fecha siete de mayo de dos mil veinticuatro, en la cual se aprobó por unanimidad de votos la entrega de la información solicitada, en “Consulta Directa” (In situ), salvo aquella que sea clasificada como confidencial o reservada, esto como un procedimiento interno que asegura la mayor eficiencia en la gestión de las solicitudes de acceso a la información pública de referencia.</w:t>
      </w:r>
    </w:p>
    <w:p w14:paraId="2C06824C"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Conocida la respuesta por la persona solicitante, al no estar conforme con los términos de la misma, interpuso el recurso de revisión que nos ocupa, mediante el cual se inconformó medularmente por la entrega de información</w:t>
      </w:r>
      <w:r w:rsidRPr="00B95BDF">
        <w:t xml:space="preserve"> </w:t>
      </w:r>
      <w:r w:rsidRPr="00B95BDF">
        <w:rPr>
          <w:rFonts w:ascii="Palatino Linotype" w:eastAsia="Palatino Linotype" w:hAnsi="Palatino Linotype" w:cs="Palatino Linotype"/>
          <w:sz w:val="22"/>
          <w:szCs w:val="22"/>
        </w:rPr>
        <w:t>en una modalidad o formato distinto al solicitado.</w:t>
      </w:r>
    </w:p>
    <w:p w14:paraId="10C17607"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Admitido el presente recurso de revisión, en términos del artículo 185 fracción II</w:t>
      </w:r>
      <w:r w:rsidRPr="00B95BDF">
        <w:rPr>
          <w:rFonts w:ascii="Palatino Linotype" w:eastAsia="Palatino Linotype" w:hAnsi="Palatino Linotype" w:cs="Palatino Linotype"/>
          <w:sz w:val="22"/>
          <w:szCs w:val="22"/>
          <w:vertAlign w:val="superscript"/>
        </w:rPr>
        <w:footnoteReference w:id="1"/>
      </w:r>
      <w:r w:rsidRPr="00B95BDF">
        <w:rPr>
          <w:rFonts w:ascii="Palatino Linotype" w:eastAsia="Palatino Linotype" w:hAnsi="Palatino Linotype" w:cs="Palatino Linotype"/>
          <w:sz w:val="22"/>
          <w:szCs w:val="22"/>
        </w:rPr>
        <w:t xml:space="preserve"> de la Ley de Transparencia y Acceso a la Información Pública del Estado de México y Municipios, se </w:t>
      </w:r>
      <w:r w:rsidRPr="00B95BDF">
        <w:rPr>
          <w:rFonts w:ascii="Palatino Linotype" w:eastAsia="Palatino Linotype" w:hAnsi="Palatino Linotype" w:cs="Palatino Linotype"/>
          <w:sz w:val="22"/>
          <w:szCs w:val="22"/>
        </w:rPr>
        <w:lastRenderedPageBreak/>
        <w:t xml:space="preserve">integró el expediente y se puso a disposición de las partes para que, en un plazo máximo de siete días hábiles, manifestaran lo que a su derecho resultara conveniente, teniendo así que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expuso los términos de su inconformidad mientras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fue omiso en remitir informe justificado alguno. </w:t>
      </w:r>
    </w:p>
    <w:p w14:paraId="68D9AAE7"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Una vez expuestas las posturas de las partes, resulta necesario iniciar el presente análisis señalando que la unidad administrativa que otorgó respuesta a la presente solicitud de información es la Dirección Jurídica, la cual de conformidad con el Reglamento Interno del Sistema Municipal Para el Desarrollo Integral de la Familia de Tlalnepantla de Baz, cuenta con las siguientes atribuciones: </w:t>
      </w:r>
    </w:p>
    <w:p w14:paraId="017E6140"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noProof/>
          <w:sz w:val="22"/>
          <w:szCs w:val="22"/>
        </w:rPr>
        <w:lastRenderedPageBreak/>
        <w:drawing>
          <wp:inline distT="0" distB="0" distL="0" distR="0" wp14:anchorId="6F8180C0" wp14:editId="563527D5">
            <wp:extent cx="5612130" cy="6512560"/>
            <wp:effectExtent l="0" t="0" r="0" b="0"/>
            <wp:docPr id="1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6512560"/>
                    </a:xfrm>
                    <a:prstGeom prst="rect">
                      <a:avLst/>
                    </a:prstGeom>
                    <a:ln/>
                  </pic:spPr>
                </pic:pic>
              </a:graphicData>
            </a:graphic>
          </wp:inline>
        </w:drawing>
      </w:r>
      <w:r w:rsidRPr="00B95BDF">
        <w:rPr>
          <w:noProof/>
        </w:rPr>
        <mc:AlternateContent>
          <mc:Choice Requires="wps">
            <w:drawing>
              <wp:anchor distT="0" distB="0" distL="114300" distR="114300" simplePos="0" relativeHeight="251658240" behindDoc="0" locked="0" layoutInCell="1" hidden="0" allowOverlap="1" wp14:anchorId="5045E760" wp14:editId="24CA3547">
                <wp:simplePos x="0" y="0"/>
                <wp:positionH relativeFrom="column">
                  <wp:posOffset>165100</wp:posOffset>
                </wp:positionH>
                <wp:positionV relativeFrom="paragraph">
                  <wp:posOffset>4572000</wp:posOffset>
                </wp:positionV>
                <wp:extent cx="5438775" cy="1952625"/>
                <wp:effectExtent l="0" t="0" r="0" b="0"/>
                <wp:wrapNone/>
                <wp:docPr id="127" name="Rectángulo 127"/>
                <wp:cNvGraphicFramePr/>
                <a:graphic xmlns:a="http://schemas.openxmlformats.org/drawingml/2006/main">
                  <a:graphicData uri="http://schemas.microsoft.com/office/word/2010/wordprocessingShape">
                    <wps:wsp>
                      <wps:cNvSpPr/>
                      <wps:spPr>
                        <a:xfrm>
                          <a:off x="2669475" y="2846550"/>
                          <a:ext cx="5353050" cy="1866900"/>
                        </a:xfrm>
                        <a:prstGeom prst="rect">
                          <a:avLst/>
                        </a:prstGeom>
                        <a:noFill/>
                        <a:ln w="28575" cap="flat" cmpd="sng">
                          <a:solidFill>
                            <a:srgbClr val="FF0000"/>
                          </a:solidFill>
                          <a:prstDash val="solid"/>
                          <a:round/>
                          <a:headEnd type="none" w="sm" len="sm"/>
                          <a:tailEnd type="none" w="sm" len="sm"/>
                        </a:ln>
                      </wps:spPr>
                      <wps:txbx>
                        <w:txbxContent>
                          <w:p w14:paraId="4B8D3B38" w14:textId="77777777" w:rsidR="00EE5403" w:rsidRDefault="00EE5403">
                            <w:pPr>
                              <w:textDirection w:val="btLr"/>
                            </w:pPr>
                          </w:p>
                        </w:txbxContent>
                      </wps:txbx>
                      <wps:bodyPr spcFirstLastPara="1" wrap="square" lIns="91425" tIns="91425" rIns="91425" bIns="91425" anchor="ctr" anchorCtr="0">
                        <a:noAutofit/>
                      </wps:bodyPr>
                    </wps:wsp>
                  </a:graphicData>
                </a:graphic>
              </wp:anchor>
            </w:drawing>
          </mc:Choice>
          <mc:Fallback>
            <w:pict>
              <v:rect w14:anchorId="5045E760" id="Rectángulo 127" o:spid="_x0000_s1026" style="position:absolute;left:0;text-align:left;margin-left:13pt;margin-top:5in;width:428.25pt;height:15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" filled="f" strokecolor="red" strokeweight="2.25pt">
                <v:stroke startarrowwidth="narrow" startarrowlength="short" endarrowwidth="narrow" endarrowlength="short" joinstyle="round"/>
                <v:textbox inset="2.53958mm,2.53958mm,2.53958mm,2.53958mm">
                  <w:txbxContent>
                    <w:p w14:paraId="4B8D3B38" w14:textId="77777777" w:rsidR="00EE5403" w:rsidRDefault="00EE5403">
                      <w:pPr>
                        <w:textDirection w:val="btLr"/>
                      </w:pPr>
                    </w:p>
                  </w:txbxContent>
                </v:textbox>
              </v:rect>
            </w:pict>
          </mc:Fallback>
        </mc:AlternateContent>
      </w:r>
    </w:p>
    <w:p w14:paraId="686574FE" w14:textId="77777777" w:rsidR="00EE5403" w:rsidRPr="00B95BDF" w:rsidRDefault="00EE5403">
      <w:pPr>
        <w:spacing w:before="240" w:after="240" w:line="360" w:lineRule="auto"/>
        <w:jc w:val="both"/>
        <w:rPr>
          <w:rFonts w:ascii="Palatino Linotype" w:eastAsia="Palatino Linotype" w:hAnsi="Palatino Linotype" w:cs="Palatino Linotype"/>
          <w:sz w:val="22"/>
          <w:szCs w:val="22"/>
        </w:rPr>
      </w:pPr>
    </w:p>
    <w:p w14:paraId="17461C94"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A mayor abundamiento de lo anterior, este Instituto localizó la siguiente Cédula de Información:</w:t>
      </w:r>
    </w:p>
    <w:p w14:paraId="77C312B5"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noProof/>
          <w:sz w:val="22"/>
          <w:szCs w:val="22"/>
        </w:rPr>
        <w:drawing>
          <wp:inline distT="0" distB="0" distL="0" distR="0" wp14:anchorId="7C6AB1BE" wp14:editId="2431B4C5">
            <wp:extent cx="5612130" cy="3449955"/>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3449955"/>
                    </a:xfrm>
                    <a:prstGeom prst="rect">
                      <a:avLst/>
                    </a:prstGeom>
                    <a:ln/>
                  </pic:spPr>
                </pic:pic>
              </a:graphicData>
            </a:graphic>
          </wp:inline>
        </w:drawing>
      </w:r>
      <w:r w:rsidRPr="00B95BDF">
        <w:rPr>
          <w:noProof/>
        </w:rPr>
        <mc:AlternateContent>
          <mc:Choice Requires="wps">
            <w:drawing>
              <wp:anchor distT="0" distB="0" distL="114300" distR="114300" simplePos="0" relativeHeight="251659264" behindDoc="0" locked="0" layoutInCell="1" hidden="0" allowOverlap="1" wp14:anchorId="21F0AF07" wp14:editId="297761A2">
                <wp:simplePos x="0" y="0"/>
                <wp:positionH relativeFrom="column">
                  <wp:posOffset>1</wp:posOffset>
                </wp:positionH>
                <wp:positionV relativeFrom="paragraph">
                  <wp:posOffset>596900</wp:posOffset>
                </wp:positionV>
                <wp:extent cx="5657850" cy="219075"/>
                <wp:effectExtent l="0" t="0" r="0" b="0"/>
                <wp:wrapNone/>
                <wp:docPr id="126" name="Rectángulo 126"/>
                <wp:cNvGraphicFramePr/>
                <a:graphic xmlns:a="http://schemas.openxmlformats.org/drawingml/2006/main">
                  <a:graphicData uri="http://schemas.microsoft.com/office/word/2010/wordprocessingShape">
                    <wps:wsp>
                      <wps:cNvSpPr/>
                      <wps:spPr>
                        <a:xfrm>
                          <a:off x="2559938" y="3713325"/>
                          <a:ext cx="5572125" cy="133350"/>
                        </a:xfrm>
                        <a:prstGeom prst="rect">
                          <a:avLst/>
                        </a:prstGeom>
                        <a:noFill/>
                        <a:ln w="28575" cap="flat" cmpd="sng">
                          <a:solidFill>
                            <a:srgbClr val="FF0000"/>
                          </a:solidFill>
                          <a:prstDash val="solid"/>
                          <a:round/>
                          <a:headEnd type="none" w="sm" len="sm"/>
                          <a:tailEnd type="none" w="sm" len="sm"/>
                        </a:ln>
                      </wps:spPr>
                      <wps:txbx>
                        <w:txbxContent>
                          <w:p w14:paraId="326F2CE6" w14:textId="77777777" w:rsidR="00EE5403" w:rsidRDefault="00EE5403">
                            <w:pPr>
                              <w:textDirection w:val="btLr"/>
                            </w:pPr>
                          </w:p>
                        </w:txbxContent>
                      </wps:txbx>
                      <wps:bodyPr spcFirstLastPara="1" wrap="square" lIns="91425" tIns="91425" rIns="91425" bIns="91425" anchor="ctr" anchorCtr="0">
                        <a:noAutofit/>
                      </wps:bodyPr>
                    </wps:wsp>
                  </a:graphicData>
                </a:graphic>
              </wp:anchor>
            </w:drawing>
          </mc:Choice>
          <mc:Fallback>
            <w:pict>
              <v:rect w14:anchorId="21F0AF07" id="Rectángulo 126" o:spid="_x0000_s1027" style="position:absolute;left:0;text-align:left;margin-left:0;margin-top:47pt;width:445.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" filled="f" strokecolor="red" strokeweight="2.25pt">
                <v:stroke startarrowwidth="narrow" startarrowlength="short" endarrowwidth="narrow" endarrowlength="short" joinstyle="round"/>
                <v:textbox inset="2.53958mm,2.53958mm,2.53958mm,2.53958mm">
                  <w:txbxContent>
                    <w:p w14:paraId="326F2CE6" w14:textId="77777777" w:rsidR="00EE5403" w:rsidRDefault="00EE5403">
                      <w:pPr>
                        <w:textDirection w:val="btLr"/>
                      </w:pPr>
                    </w:p>
                  </w:txbxContent>
                </v:textbox>
              </v:rect>
            </w:pict>
          </mc:Fallback>
        </mc:AlternateContent>
      </w:r>
    </w:p>
    <w:p w14:paraId="11B1ABC2"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Por consiguiente, se aprecia que la respuesta fue proporcionada por la Unidad Administrativa Competente, toda vez que la Dirección Jurídica se encarga de la asistencia y asesoría jurídica a la población en materia familiar y representar jurídicamente ante los Juzgados Familiares del municipio de Tlalnepantla de Baz, por ello es dable afirmar que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816EAA5" w14:textId="77777777" w:rsidR="00EE5403" w:rsidRPr="00B95BDF" w:rsidRDefault="00917C0A">
      <w:pPr>
        <w:pBdr>
          <w:top w:val="nil"/>
          <w:left w:val="nil"/>
          <w:bottom w:val="nil"/>
          <w:right w:val="nil"/>
          <w:between w:val="nil"/>
        </w:pBdr>
        <w:ind w:left="864" w:right="864"/>
        <w:jc w:val="both"/>
      </w:pPr>
      <w:r w:rsidRPr="00B95BDF">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w:t>
      </w:r>
      <w:r w:rsidRPr="00B95BDF">
        <w:rPr>
          <w:rFonts w:ascii="Palatino Linotype" w:eastAsia="Palatino Linotype" w:hAnsi="Palatino Linotype" w:cs="Palatino Linotype"/>
          <w:i/>
          <w:sz w:val="22"/>
          <w:szCs w:val="22"/>
        </w:rPr>
        <w:lastRenderedPageBreak/>
        <w:t>entregar la información o datos personales que se ubiquen en la misma, a sus respectivas unidades de transparencia; respecto de las solicitudes presentadas y aportar en primera instancia el fundamento y motivación de la clasificación de la información.”</w:t>
      </w:r>
    </w:p>
    <w:p w14:paraId="5234AC7C" w14:textId="77777777" w:rsidR="00EE5403" w:rsidRPr="00B95BDF" w:rsidRDefault="00EE5403">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p>
    <w:p w14:paraId="49C9E424" w14:textId="77777777" w:rsidR="00EE5403" w:rsidRPr="00B95BDF" w:rsidRDefault="00917C0A">
      <w:pPr>
        <w:pBdr>
          <w:top w:val="nil"/>
          <w:left w:val="nil"/>
          <w:bottom w:val="nil"/>
          <w:right w:val="nil"/>
          <w:between w:val="nil"/>
        </w:pBdr>
        <w:shd w:val="clear" w:color="auto" w:fill="FFFFFF"/>
        <w:spacing w:line="360" w:lineRule="auto"/>
        <w:jc w:val="both"/>
        <w:rPr>
          <w:sz w:val="22"/>
          <w:szCs w:val="22"/>
        </w:rPr>
      </w:pPr>
      <w:r w:rsidRPr="00B95BDF">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614223C6" w14:textId="77777777" w:rsidR="00EE5403" w:rsidRPr="00B95BDF" w:rsidRDefault="00EE5403"/>
    <w:p w14:paraId="416355F2" w14:textId="77777777" w:rsidR="00EE5403" w:rsidRPr="00B95BDF" w:rsidRDefault="00917C0A">
      <w:pPr>
        <w:pBdr>
          <w:top w:val="nil"/>
          <w:left w:val="nil"/>
          <w:bottom w:val="nil"/>
          <w:right w:val="nil"/>
          <w:between w:val="nil"/>
        </w:pBdr>
        <w:ind w:left="864" w:right="864"/>
        <w:jc w:val="both"/>
      </w:pPr>
      <w:r w:rsidRPr="00B95BDF">
        <w:rPr>
          <w:rFonts w:ascii="Palatino Linotype" w:eastAsia="Palatino Linotype" w:hAnsi="Palatino Linotype" w:cs="Palatino Linotype"/>
          <w:i/>
          <w:sz w:val="22"/>
          <w:szCs w:val="22"/>
        </w:rPr>
        <w:t xml:space="preserve">“Artículo 162. Las unidades de transparencia deberán garantizar que las solicitudes </w:t>
      </w:r>
      <w:r w:rsidRPr="00B95BDF">
        <w:rPr>
          <w:rFonts w:ascii="Palatino Linotype" w:eastAsia="Palatino Linotype" w:hAnsi="Palatino Linotype" w:cs="Palatino Linotype"/>
          <w:b/>
          <w:i/>
          <w:sz w:val="22"/>
          <w:szCs w:val="22"/>
        </w:rPr>
        <w:t xml:space="preserve">se turnen a todas las Áreas competentes </w:t>
      </w:r>
      <w:r w:rsidRPr="00B95BDF">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1AE4F7CA"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Ahora bien, del análisis a la respuesta proporcionada, tenemos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realizó un </w:t>
      </w:r>
      <w:r w:rsidRPr="00B95BDF">
        <w:rPr>
          <w:rFonts w:ascii="Palatino Linotype" w:eastAsia="Palatino Linotype" w:hAnsi="Palatino Linotype" w:cs="Palatino Linotype"/>
          <w:b/>
          <w:sz w:val="22"/>
          <w:szCs w:val="22"/>
          <w:u w:val="single"/>
        </w:rPr>
        <w:t>cambio de modalidad para la entrega de la información</w:t>
      </w:r>
      <w:r w:rsidRPr="00B95BDF">
        <w:rPr>
          <w:rFonts w:ascii="Palatino Linotype" w:eastAsia="Palatino Linotype" w:hAnsi="Palatino Linotype" w:cs="Palatino Linotype"/>
          <w:b/>
          <w:sz w:val="22"/>
          <w:szCs w:val="22"/>
        </w:rPr>
        <w:t xml:space="preserve">, </w:t>
      </w:r>
      <w:r w:rsidRPr="00B95BDF">
        <w:rPr>
          <w:rFonts w:ascii="Palatino Linotype" w:eastAsia="Palatino Linotype" w:hAnsi="Palatino Linotype" w:cs="Palatino Linotype"/>
          <w:sz w:val="22"/>
          <w:szCs w:val="22"/>
        </w:rPr>
        <w:t xml:space="preserve">por ello conviene mencionar que el artículo 155, fracción V, de la Ley de Transparencia y Acceso a la Información Pública del Estado de México y Municipios, precisa que para presentar una solicitud, la persona solicitante podrá señalar </w:t>
      </w:r>
      <w:r w:rsidRPr="00B95BDF">
        <w:rPr>
          <w:rFonts w:ascii="Palatino Linotype" w:eastAsia="Palatino Linotype" w:hAnsi="Palatino Linotype" w:cs="Palatino Linotype"/>
          <w:b/>
          <w:sz w:val="22"/>
          <w:szCs w:val="22"/>
        </w:rPr>
        <w:t>la modalidad en la que prefiere se otorgue el acceso a la información</w:t>
      </w:r>
      <w:r w:rsidRPr="00B95BDF">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5D02AFD0"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Por su parte, el artículo 158 de la Ley de Transparencia y Acceso a la Información Pública del Estado de México y Municipios, dispone que, de manera excepcional, cuando de manera fundada y motivada lo determine el Sujeto Obligado, </w:t>
      </w:r>
      <w:r w:rsidRPr="00B95BDF">
        <w:rPr>
          <w:rFonts w:ascii="Palatino Linotype" w:eastAsia="Palatino Linotype" w:hAnsi="Palatino Linotype" w:cs="Palatino Linotype"/>
          <w:b/>
          <w:sz w:val="22"/>
          <w:szCs w:val="22"/>
        </w:rPr>
        <w:t xml:space="preserve">en los casos en que la entrega de la </w:t>
      </w:r>
      <w:r w:rsidRPr="00B95BDF">
        <w:rPr>
          <w:rFonts w:ascii="Palatino Linotype" w:eastAsia="Palatino Linotype" w:hAnsi="Palatino Linotype" w:cs="Palatino Linotype"/>
          <w:b/>
          <w:sz w:val="22"/>
          <w:szCs w:val="22"/>
        </w:rPr>
        <w:lastRenderedPageBreak/>
        <w:t>información que se encuentre a su disposición sobrepase las capacidades técnicas, administrativas y humanas del Sujeto Obligado para cumplir con la solicitud, se podrá poner a disposición del solicitante la información en consulta directa.</w:t>
      </w:r>
    </w:p>
    <w:p w14:paraId="4B1F9794"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1606DA84"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1FF9B3F3" w14:textId="77777777" w:rsidR="00EE5403" w:rsidRPr="00B95BDF" w:rsidRDefault="00917C0A">
      <w:pPr>
        <w:spacing w:before="120" w:after="120"/>
        <w:ind w:left="851" w:right="992"/>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“FUNDAMENTACIÓN Y MOTIVACIÓN DE LOS ACTOS ADMINISTRATIVOS</w:t>
      </w:r>
      <w:r w:rsidRPr="00B95BDF">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w:t>
      </w:r>
      <w:r w:rsidRPr="00B95BDF">
        <w:rPr>
          <w:rFonts w:ascii="Palatino Linotype" w:eastAsia="Palatino Linotype" w:hAnsi="Palatino Linotype" w:cs="Palatino Linotype"/>
          <w:i/>
          <w:sz w:val="22"/>
          <w:szCs w:val="22"/>
        </w:rPr>
        <w:lastRenderedPageBreak/>
        <w:t>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49793B62" w14:textId="77777777" w:rsidR="00EE5403" w:rsidRPr="00B95BDF" w:rsidRDefault="00917C0A">
      <w:pPr>
        <w:spacing w:before="120" w:after="12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4AE7EABA" w14:textId="77777777" w:rsidR="00EE5403" w:rsidRPr="00B95BDF" w:rsidRDefault="00917C0A">
      <w:pPr>
        <w:spacing w:before="120" w:after="120"/>
        <w:ind w:left="851" w:right="85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sz w:val="22"/>
          <w:szCs w:val="22"/>
        </w:rPr>
        <w:t>“</w:t>
      </w:r>
      <w:r w:rsidRPr="00B95BDF">
        <w:rPr>
          <w:rFonts w:ascii="Palatino Linotype" w:eastAsia="Palatino Linotype" w:hAnsi="Palatino Linotype" w:cs="Palatino Linotype"/>
          <w:b/>
          <w:i/>
          <w:sz w:val="22"/>
          <w:szCs w:val="22"/>
        </w:rPr>
        <w:t>Artículo 160.</w:t>
      </w:r>
      <w:r w:rsidRPr="00B95BDF">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E24D064" w14:textId="77777777" w:rsidR="00EE5403" w:rsidRPr="00B95BDF" w:rsidRDefault="00917C0A">
      <w:pPr>
        <w:spacing w:before="120" w:after="120"/>
        <w:ind w:left="851" w:right="85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Artículo 164.</w:t>
      </w:r>
      <w:r w:rsidRPr="00B95BDF">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B95BDF">
        <w:rPr>
          <w:rFonts w:ascii="Palatino Linotype" w:eastAsia="Palatino Linotype" w:hAnsi="Palatino Linotype" w:cs="Palatino Linotype"/>
          <w:i/>
          <w:sz w:val="22"/>
          <w:szCs w:val="22"/>
          <w:u w:val="single"/>
        </w:rPr>
        <w:t>el sujeto obligado deberá ofrecer otra u otras modalidades de entrega.</w:t>
      </w:r>
      <w:r w:rsidRPr="00B95BDF">
        <w:rPr>
          <w:rFonts w:ascii="Palatino Linotype" w:eastAsia="Palatino Linotype" w:hAnsi="Palatino Linotype" w:cs="Palatino Linotype"/>
          <w:i/>
          <w:sz w:val="22"/>
          <w:szCs w:val="22"/>
        </w:rPr>
        <w:t xml:space="preserve"> En cualquier caso, se deberá fundar y motivar la necesidad de ofrecer otras modalidades.”</w:t>
      </w:r>
    </w:p>
    <w:p w14:paraId="255B589B"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C6308B4" w14:textId="77777777" w:rsidR="00EE5403" w:rsidRPr="00B95BDF" w:rsidRDefault="00917C0A">
      <w:pPr>
        <w:spacing w:before="240" w:after="240"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lastRenderedPageBreak/>
        <w:t xml:space="preserve">Para lo cual, conforme al artículo 174 de la ley de la materia, los costos de reproducción y, en su caso, de envío para la obtención de la información deberán ser cubiertos por el solicitante de manera previa a la entrega por parte del </w:t>
      </w:r>
      <w:r w:rsidRPr="00B95BDF">
        <w:rPr>
          <w:rFonts w:ascii="Palatino Linotype" w:eastAsia="Palatino Linotype" w:hAnsi="Palatino Linotype" w:cs="Palatino Linotype"/>
          <w:b/>
          <w:sz w:val="22"/>
          <w:szCs w:val="22"/>
        </w:rPr>
        <w:t>Sujeto Obligado.</w:t>
      </w:r>
    </w:p>
    <w:p w14:paraId="3E51A56D"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tales consideraciones, la entrega deberá hacerse, </w:t>
      </w:r>
      <w:r w:rsidRPr="00B95BDF">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B95BDF">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B95BDF">
        <w:rPr>
          <w:rFonts w:ascii="Palatino Linotype" w:eastAsia="Palatino Linotype" w:hAnsi="Palatino Linotype" w:cs="Palatino Linotype"/>
          <w:b/>
          <w:sz w:val="22"/>
          <w:szCs w:val="22"/>
        </w:rPr>
        <w:t>sólo procede, en caso de que se acredite la imposibilidad de atenderla.</w:t>
      </w:r>
      <w:r w:rsidRPr="00B95BDF">
        <w:rPr>
          <w:rFonts w:ascii="Palatino Linotype" w:eastAsia="Palatino Linotype" w:hAnsi="Palatino Linotype" w:cs="Palatino Linotype"/>
          <w:sz w:val="22"/>
          <w:szCs w:val="22"/>
        </w:rPr>
        <w:t xml:space="preserve"> </w:t>
      </w:r>
    </w:p>
    <w:p w14:paraId="5D441DBD"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Así, cuando se justifique el impedimento, </w:t>
      </w:r>
      <w:r w:rsidRPr="00B95BDF">
        <w:rPr>
          <w:rFonts w:ascii="Palatino Linotype" w:eastAsia="Palatino Linotype" w:hAnsi="Palatino Linotype" w:cs="Palatino Linotype"/>
          <w:b/>
          <w:sz w:val="22"/>
          <w:szCs w:val="22"/>
        </w:rPr>
        <w:t>los Sujetos Obligados deberán ofrecer a las personas solicitantes otras modalidades de entrega que permita la información</w:t>
      </w:r>
      <w:r w:rsidRPr="00B95BDF">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1935BF05" w14:textId="77777777" w:rsidR="00EE5403" w:rsidRPr="00B95BDF" w:rsidRDefault="00917C0A">
      <w:pPr>
        <w:spacing w:before="120" w:after="120"/>
        <w:ind w:left="851" w:right="851"/>
        <w:jc w:val="both"/>
        <w:rPr>
          <w:rFonts w:ascii="Palatino Linotype" w:eastAsia="Palatino Linotype" w:hAnsi="Palatino Linotype" w:cs="Palatino Linotype"/>
          <w:b/>
          <w:i/>
          <w:sz w:val="22"/>
          <w:szCs w:val="22"/>
          <w:u w:val="single"/>
        </w:rPr>
      </w:pPr>
      <w:r w:rsidRPr="00B95BDF">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B95BDF">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B95BDF">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B95BDF">
        <w:rPr>
          <w:rFonts w:ascii="Palatino Linotype" w:eastAsia="Palatino Linotype" w:hAnsi="Palatino Linotype" w:cs="Palatino Linotype"/>
          <w:b/>
          <w:i/>
          <w:sz w:val="22"/>
          <w:szCs w:val="22"/>
        </w:rPr>
        <w:t>.”</w:t>
      </w:r>
    </w:p>
    <w:p w14:paraId="3DEDD0BF" w14:textId="77777777" w:rsidR="00EE5403" w:rsidRPr="00B95BDF" w:rsidRDefault="00917C0A">
      <w:pPr>
        <w:spacing w:before="240" w:after="240"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lastRenderedPageBreak/>
        <w:t>Del citado criterio, se desprende que cuando</w:t>
      </w:r>
      <w:r w:rsidRPr="00B95BDF">
        <w:rPr>
          <w:rFonts w:ascii="Palatino Linotype" w:eastAsia="Palatino Linotype" w:hAnsi="Palatino Linotype" w:cs="Palatino Linotype"/>
          <w:b/>
          <w:sz w:val="22"/>
          <w:szCs w:val="22"/>
        </w:rPr>
        <w:t xml:space="preserve"> la información no pueda entregarse o enviarse en la modalidad elegida, </w:t>
      </w:r>
      <w:r w:rsidRPr="00B95BDF">
        <w:rPr>
          <w:rFonts w:ascii="Palatino Linotype" w:eastAsia="Palatino Linotype" w:hAnsi="Palatino Linotype" w:cs="Palatino Linotype"/>
          <w:sz w:val="22"/>
          <w:szCs w:val="22"/>
        </w:rPr>
        <w:t xml:space="preserve">para que la obligación de acceso a la información se tenga por cumplida, </w:t>
      </w:r>
      <w:r w:rsidRPr="00B95BDF">
        <w:rPr>
          <w:rFonts w:ascii="Palatino Linotype" w:eastAsia="Palatino Linotype" w:hAnsi="Palatino Linotype" w:cs="Palatino Linotype"/>
          <w:b/>
          <w:sz w:val="22"/>
          <w:szCs w:val="22"/>
        </w:rPr>
        <w:t>el Sujeto Obligado deberá ofrecer otra u otras modalidades de entrega.</w:t>
      </w:r>
      <w:r w:rsidRPr="00B95BDF">
        <w:rPr>
          <w:rFonts w:ascii="Palatino Linotype" w:eastAsia="Palatino Linotype" w:hAnsi="Palatino Linotype" w:cs="Palatino Linotype"/>
          <w:sz w:val="22"/>
          <w:szCs w:val="22"/>
        </w:rPr>
        <w:t xml:space="preserve"> En cualquier caso, </w:t>
      </w:r>
      <w:r w:rsidRPr="00B95BDF">
        <w:rPr>
          <w:rFonts w:ascii="Palatino Linotype" w:eastAsia="Palatino Linotype" w:hAnsi="Palatino Linotype" w:cs="Palatino Linotype"/>
          <w:b/>
          <w:sz w:val="22"/>
          <w:szCs w:val="22"/>
        </w:rPr>
        <w:t>se deberá fundar y motivar la necesidad de ofrecer otras modalidades</w:t>
      </w:r>
      <w:r w:rsidRPr="00B95BDF">
        <w:rPr>
          <w:rFonts w:ascii="Palatino Linotype" w:eastAsia="Palatino Linotype" w:hAnsi="Palatino Linotype" w:cs="Palatino Linotype"/>
          <w:sz w:val="22"/>
          <w:szCs w:val="22"/>
        </w:rPr>
        <w:t xml:space="preserve"> que lo permitan, </w:t>
      </w:r>
      <w:r w:rsidRPr="00B95BDF">
        <w:rPr>
          <w:rFonts w:ascii="Palatino Linotype" w:eastAsia="Palatino Linotype" w:hAnsi="Palatino Linotype" w:cs="Palatino Linotype"/>
          <w:b/>
          <w:sz w:val="22"/>
          <w:szCs w:val="22"/>
        </w:rPr>
        <w:t>procurando reducir los costos de entrega.</w:t>
      </w:r>
    </w:p>
    <w:p w14:paraId="676E167C"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56190DB" w14:textId="77777777" w:rsidR="00EE5403" w:rsidRPr="00B95BDF" w:rsidRDefault="00917C0A">
      <w:pPr>
        <w:numPr>
          <w:ilvl w:val="0"/>
          <w:numId w:val="9"/>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Las razones por las cuales la información implicaba un análisis, estudio o procesamiento de datos;</w:t>
      </w:r>
    </w:p>
    <w:p w14:paraId="0AFED410" w14:textId="77777777" w:rsidR="00EE5403" w:rsidRPr="00B95BDF" w:rsidRDefault="00917C0A">
      <w:pPr>
        <w:numPr>
          <w:ilvl w:val="0"/>
          <w:numId w:val="9"/>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El tiempo no es suficiente para atender la solicitud en la modalidad elegida, y</w:t>
      </w:r>
    </w:p>
    <w:p w14:paraId="6D1A2D9F" w14:textId="77777777" w:rsidR="00EE5403" w:rsidRPr="00B95BDF" w:rsidRDefault="00917C0A">
      <w:pPr>
        <w:numPr>
          <w:ilvl w:val="0"/>
          <w:numId w:val="9"/>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La cantidad de recursos humanos y materiales con los que cuenta el Sujeto Obligado son insuficientes.</w:t>
      </w:r>
    </w:p>
    <w:p w14:paraId="2055155D"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Establecido lo anterior, se procede al estudio de las constancias que conforman a los expedientes electrónicos para determinar lo conducente, para ello debemos recordar que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al momento de presentar las solicitudes de información que dieron origen a los Recursos de Revisión que nos ocupan, eligió como modalidad de entrega </w:t>
      </w: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Sistema de Acceso a la Información Pública Mexiquense</w:t>
      </w: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sz w:val="22"/>
          <w:szCs w:val="22"/>
        </w:rPr>
        <w:t>, tal como se aprecia a continuación:</w:t>
      </w:r>
    </w:p>
    <w:p w14:paraId="7B215A23" w14:textId="77777777" w:rsidR="00EE5403" w:rsidRPr="00B95BDF" w:rsidRDefault="00917C0A">
      <w:pPr>
        <w:spacing w:before="240" w:after="240" w:line="360" w:lineRule="auto"/>
        <w:rPr>
          <w:rFonts w:ascii="Palatino Linotype" w:eastAsia="Palatino Linotype" w:hAnsi="Palatino Linotype" w:cs="Palatino Linotype"/>
          <w:sz w:val="22"/>
          <w:szCs w:val="22"/>
        </w:rPr>
      </w:pPr>
      <w:r w:rsidRPr="00B95BDF">
        <w:rPr>
          <w:rFonts w:ascii="Palatino Linotype" w:eastAsia="Palatino Linotype" w:hAnsi="Palatino Linotype" w:cs="Palatino Linotype"/>
          <w:noProof/>
          <w:sz w:val="22"/>
          <w:szCs w:val="22"/>
        </w:rPr>
        <w:lastRenderedPageBreak/>
        <w:drawing>
          <wp:inline distT="0" distB="0" distL="0" distR="0" wp14:anchorId="63E93F45" wp14:editId="062D157C">
            <wp:extent cx="5612130" cy="1851660"/>
            <wp:effectExtent l="0" t="0" r="0" b="0"/>
            <wp:docPr id="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1851660"/>
                    </a:xfrm>
                    <a:prstGeom prst="rect">
                      <a:avLst/>
                    </a:prstGeom>
                    <a:ln/>
                  </pic:spPr>
                </pic:pic>
              </a:graphicData>
            </a:graphic>
          </wp:inline>
        </w:drawing>
      </w:r>
      <w:r w:rsidRPr="00B95BDF">
        <w:rPr>
          <w:noProof/>
        </w:rPr>
        <mc:AlternateContent>
          <mc:Choice Requires="wps">
            <w:drawing>
              <wp:anchor distT="0" distB="0" distL="114300" distR="114300" simplePos="0" relativeHeight="251660288" behindDoc="0" locked="0" layoutInCell="1" hidden="0" allowOverlap="1" wp14:anchorId="0A9DDA3E" wp14:editId="64CA25BB">
                <wp:simplePos x="0" y="0"/>
                <wp:positionH relativeFrom="column">
                  <wp:posOffset>1</wp:posOffset>
                </wp:positionH>
                <wp:positionV relativeFrom="paragraph">
                  <wp:posOffset>1206500</wp:posOffset>
                </wp:positionV>
                <wp:extent cx="1428750" cy="447675"/>
                <wp:effectExtent l="0" t="0" r="0" b="0"/>
                <wp:wrapNone/>
                <wp:docPr id="129" name="Rectángulo 129"/>
                <wp:cNvGraphicFramePr/>
                <a:graphic xmlns:a="http://schemas.openxmlformats.org/drawingml/2006/main">
                  <a:graphicData uri="http://schemas.microsoft.com/office/word/2010/wordprocessingShape">
                    <wps:wsp>
                      <wps:cNvSpPr/>
                      <wps:spPr>
                        <a:xfrm>
                          <a:off x="4688775" y="3613313"/>
                          <a:ext cx="1314450" cy="333375"/>
                        </a:xfrm>
                        <a:prstGeom prst="rect">
                          <a:avLst/>
                        </a:prstGeom>
                        <a:noFill/>
                        <a:ln w="38100" cap="flat" cmpd="sng">
                          <a:solidFill>
                            <a:srgbClr val="FF0000"/>
                          </a:solidFill>
                          <a:prstDash val="solid"/>
                          <a:round/>
                          <a:headEnd type="none" w="sm" len="sm"/>
                          <a:tailEnd type="none" w="sm" len="sm"/>
                        </a:ln>
                      </wps:spPr>
                      <wps:txbx>
                        <w:txbxContent>
                          <w:p w14:paraId="7D974138" w14:textId="77777777" w:rsidR="00EE5403" w:rsidRDefault="00EE5403">
                            <w:pPr>
                              <w:textDirection w:val="btLr"/>
                            </w:pPr>
                          </w:p>
                        </w:txbxContent>
                      </wps:txbx>
                      <wps:bodyPr spcFirstLastPara="1" wrap="square" lIns="91425" tIns="91425" rIns="91425" bIns="91425" anchor="ctr" anchorCtr="0">
                        <a:noAutofit/>
                      </wps:bodyPr>
                    </wps:wsp>
                  </a:graphicData>
                </a:graphic>
              </wp:anchor>
            </w:drawing>
          </mc:Choice>
          <mc:Fallback>
            <w:pict>
              <v:rect w14:anchorId="0A9DDA3E" id="Rectángulo 129" o:spid="_x0000_s1028" style="position:absolute;margin-left:0;margin-top:95pt;width:112.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" filled="f" strokecolor="red" strokeweight="3pt">
                <v:stroke startarrowwidth="narrow" startarrowlength="short" endarrowwidth="narrow" endarrowlength="short" joinstyle="round"/>
                <v:textbox inset="2.53958mm,2.53958mm,2.53958mm,2.53958mm">
                  <w:txbxContent>
                    <w:p w14:paraId="7D974138" w14:textId="77777777" w:rsidR="00EE5403" w:rsidRDefault="00EE5403">
                      <w:pPr>
                        <w:textDirection w:val="btLr"/>
                      </w:pPr>
                    </w:p>
                  </w:txbxContent>
                </v:textbox>
              </v:rect>
            </w:pict>
          </mc:Fallback>
        </mc:AlternateContent>
      </w:r>
    </w:p>
    <w:p w14:paraId="498BEA40"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otro orden de ideas, advertimos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se pronunció por conducto de la persona titular de la Dirección Jurídica, quien pone a disposición de la persona solicitante, la información solicitada  en consulta directa, ello precisando que la información asciende a 19,000 fojas aproximadamente.</w:t>
      </w:r>
    </w:p>
    <w:p w14:paraId="17A664B5" w14:textId="77777777" w:rsidR="00EE5403" w:rsidRPr="00B95BDF" w:rsidRDefault="00917C0A">
      <w:pPr>
        <w:spacing w:before="240" w:after="240"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t xml:space="preserve">Posteriormente dentro de la misma respuesta, se aprecia el </w:t>
      </w:r>
      <w:r w:rsidRPr="00B95BDF">
        <w:rPr>
          <w:rFonts w:ascii="Palatino Linotype" w:eastAsia="Palatino Linotype" w:hAnsi="Palatino Linotype" w:cs="Palatino Linotype"/>
          <w:b/>
          <w:sz w:val="22"/>
          <w:szCs w:val="22"/>
        </w:rPr>
        <w:t>Acuerdo CT/SMDIF/COM/EXTE/9ª/2024/ QUINTO, emitido en la Novena Sesión Extraordinaria del Comité de Transparencia, de fecha siete de mayo de dos mil veinticuatro, en el cual se aprobó por unanimidad de votos la entrega de la información solicitada, en “CONSULTA DIRECTA” (In situ), salvo aquella que sea clasificada como confidencial o reservada, esto como un procedimiento interno que asegura la mayor eficiencia en la gestión de las solicitudes de acceso a la información pública de referencia, por componerse de 19,683 fojas.</w:t>
      </w:r>
    </w:p>
    <w:p w14:paraId="657223DB" w14:textId="77777777" w:rsidR="00EE5403" w:rsidRPr="00B95BDF" w:rsidRDefault="00917C0A">
      <w:pPr>
        <w:spacing w:after="240" w:line="360" w:lineRule="auto"/>
        <w:ind w:right="-28"/>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Precisado lo anterior, conviene esquematizar los argumentos expuestos con anterioridad para efecto de determinar si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cumplió con los elementos necesarios para el cambio de modalidad:</w:t>
      </w: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386"/>
        <w:gridCol w:w="2409"/>
      </w:tblGrid>
      <w:tr w:rsidR="00B95BDF" w:rsidRPr="00B95BDF" w14:paraId="42E93743" w14:textId="77777777">
        <w:tc>
          <w:tcPr>
            <w:tcW w:w="1555" w:type="dxa"/>
            <w:shd w:val="clear" w:color="auto" w:fill="D6E3BC"/>
          </w:tcPr>
          <w:p w14:paraId="66D679EC" w14:textId="77777777" w:rsidR="00EE5403" w:rsidRPr="00B95BDF" w:rsidRDefault="00917C0A">
            <w:pPr>
              <w:spacing w:after="160" w:line="259"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lastRenderedPageBreak/>
              <w:t>Elementos del cambio de modalidad</w:t>
            </w:r>
          </w:p>
        </w:tc>
        <w:tc>
          <w:tcPr>
            <w:tcW w:w="5386" w:type="dxa"/>
            <w:shd w:val="clear" w:color="auto" w:fill="D6E3BC"/>
          </w:tcPr>
          <w:p w14:paraId="4D104C1E" w14:textId="77777777" w:rsidR="00EE5403" w:rsidRPr="00B95BDF" w:rsidRDefault="00917C0A">
            <w:pPr>
              <w:spacing w:after="160" w:line="259"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Contenido</w:t>
            </w:r>
          </w:p>
        </w:tc>
        <w:tc>
          <w:tcPr>
            <w:tcW w:w="2409" w:type="dxa"/>
            <w:shd w:val="clear" w:color="auto" w:fill="D6E3BC"/>
          </w:tcPr>
          <w:p w14:paraId="0544FEA2" w14:textId="77777777" w:rsidR="00EE5403" w:rsidRPr="00B95BDF" w:rsidRDefault="00917C0A">
            <w:pPr>
              <w:spacing w:after="160" w:line="259"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Cumple</w:t>
            </w:r>
          </w:p>
        </w:tc>
      </w:tr>
      <w:tr w:rsidR="00B95BDF" w:rsidRPr="00B95BDF" w14:paraId="0C1DD3A2" w14:textId="77777777">
        <w:tc>
          <w:tcPr>
            <w:tcW w:w="1555" w:type="dxa"/>
          </w:tcPr>
          <w:p w14:paraId="07F9D7D7" w14:textId="77777777" w:rsidR="00EE5403" w:rsidRPr="00B95BDF" w:rsidRDefault="00917C0A">
            <w:pPr>
              <w:spacing w:after="160" w:line="259" w:lineRule="auto"/>
              <w:jc w:val="center"/>
              <w:rPr>
                <w:rFonts w:ascii="Palatino Linotype" w:eastAsia="Palatino Linotype" w:hAnsi="Palatino Linotype" w:cs="Palatino Linotype"/>
                <w:sz w:val="18"/>
                <w:szCs w:val="18"/>
              </w:rPr>
            </w:pPr>
            <w:r w:rsidRPr="00B95BDF">
              <w:rPr>
                <w:rFonts w:ascii="Palatino Linotype" w:eastAsia="Palatino Linotype" w:hAnsi="Palatino Linotype" w:cs="Palatino Linotype"/>
                <w:sz w:val="18"/>
                <w:szCs w:val="18"/>
              </w:rPr>
              <w:t>Número de folio de la solicitud</w:t>
            </w:r>
          </w:p>
        </w:tc>
        <w:tc>
          <w:tcPr>
            <w:tcW w:w="5386" w:type="dxa"/>
          </w:tcPr>
          <w:p w14:paraId="16DA060F" w14:textId="77777777" w:rsidR="00EE5403" w:rsidRPr="00B95BDF" w:rsidRDefault="00917C0A">
            <w:pPr>
              <w:spacing w:after="160" w:line="259" w:lineRule="auto"/>
              <w:jc w:val="both"/>
              <w:rPr>
                <w:rFonts w:ascii="Palatino Linotype" w:eastAsia="Palatino Linotype" w:hAnsi="Palatino Linotype" w:cs="Palatino Linotype"/>
                <w:sz w:val="18"/>
                <w:szCs w:val="18"/>
              </w:rPr>
            </w:pPr>
            <w:r w:rsidRPr="00B95BDF">
              <w:rPr>
                <w:rFonts w:ascii="Palatino Linotype" w:eastAsia="Palatino Linotype" w:hAnsi="Palatino Linotype" w:cs="Palatino Linotype"/>
                <w:noProof/>
                <w:sz w:val="18"/>
                <w:szCs w:val="18"/>
              </w:rPr>
              <w:drawing>
                <wp:inline distT="0" distB="0" distL="0" distR="0" wp14:anchorId="3A167364" wp14:editId="0A5591DB">
                  <wp:extent cx="3282950" cy="940435"/>
                  <wp:effectExtent l="0" t="0" r="0" b="0"/>
                  <wp:docPr id="1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82950" cy="940435"/>
                          </a:xfrm>
                          <a:prstGeom prst="rect">
                            <a:avLst/>
                          </a:prstGeom>
                          <a:ln/>
                        </pic:spPr>
                      </pic:pic>
                    </a:graphicData>
                  </a:graphic>
                </wp:inline>
              </w:drawing>
            </w:r>
          </w:p>
        </w:tc>
        <w:tc>
          <w:tcPr>
            <w:tcW w:w="2409" w:type="dxa"/>
          </w:tcPr>
          <w:p w14:paraId="452734B5" w14:textId="77777777" w:rsidR="00EE5403" w:rsidRPr="00B95BDF" w:rsidRDefault="00917C0A">
            <w:pPr>
              <w:spacing w:after="160" w:line="259"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Sí</w:t>
            </w:r>
          </w:p>
        </w:tc>
      </w:tr>
      <w:tr w:rsidR="00B95BDF" w:rsidRPr="00B95BDF" w14:paraId="564E7BB7" w14:textId="77777777">
        <w:tc>
          <w:tcPr>
            <w:tcW w:w="1555" w:type="dxa"/>
          </w:tcPr>
          <w:p w14:paraId="6F4C9317" w14:textId="77777777" w:rsidR="00EE5403" w:rsidRPr="00B95BDF" w:rsidRDefault="00917C0A">
            <w:pPr>
              <w:spacing w:after="160" w:line="259" w:lineRule="auto"/>
              <w:jc w:val="center"/>
              <w:rPr>
                <w:rFonts w:ascii="Palatino Linotype" w:eastAsia="Palatino Linotype" w:hAnsi="Palatino Linotype" w:cs="Palatino Linotype"/>
                <w:sz w:val="18"/>
                <w:szCs w:val="18"/>
              </w:rPr>
            </w:pPr>
            <w:r w:rsidRPr="00B95BDF">
              <w:rPr>
                <w:rFonts w:ascii="Palatino Linotype" w:eastAsia="Palatino Linotype" w:hAnsi="Palatino Linotype" w:cs="Palatino Linotype"/>
                <w:sz w:val="18"/>
                <w:szCs w:val="18"/>
              </w:rPr>
              <w:t>Referencia al peso de la información.</w:t>
            </w:r>
          </w:p>
        </w:tc>
        <w:tc>
          <w:tcPr>
            <w:tcW w:w="5386" w:type="dxa"/>
          </w:tcPr>
          <w:p w14:paraId="67B3BDC2" w14:textId="77777777" w:rsidR="00EE5403" w:rsidRPr="00B95BDF" w:rsidRDefault="00917C0A">
            <w:pPr>
              <w:spacing w:after="160" w:line="360"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noProof/>
                <w:sz w:val="18"/>
                <w:szCs w:val="18"/>
              </w:rPr>
              <w:drawing>
                <wp:inline distT="0" distB="0" distL="0" distR="0" wp14:anchorId="0FC93FD3" wp14:editId="36A23D25">
                  <wp:extent cx="3282950" cy="411480"/>
                  <wp:effectExtent l="0" t="0" r="0" b="0"/>
                  <wp:docPr id="1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282950" cy="411480"/>
                          </a:xfrm>
                          <a:prstGeom prst="rect">
                            <a:avLst/>
                          </a:prstGeom>
                          <a:ln/>
                        </pic:spPr>
                      </pic:pic>
                    </a:graphicData>
                  </a:graphic>
                </wp:inline>
              </w:drawing>
            </w:r>
            <w:r w:rsidRPr="00B95BDF">
              <w:rPr>
                <w:noProof/>
              </w:rPr>
              <mc:AlternateContent>
                <mc:Choice Requires="wps">
                  <w:drawing>
                    <wp:anchor distT="0" distB="0" distL="114300" distR="114300" simplePos="0" relativeHeight="251661312" behindDoc="0" locked="0" layoutInCell="1" hidden="0" allowOverlap="1" wp14:anchorId="091096D3" wp14:editId="5C76E315">
                      <wp:simplePos x="0" y="0"/>
                      <wp:positionH relativeFrom="column">
                        <wp:posOffset>1914525</wp:posOffset>
                      </wp:positionH>
                      <wp:positionV relativeFrom="paragraph">
                        <wp:posOffset>209550</wp:posOffset>
                      </wp:positionV>
                      <wp:extent cx="1343025" cy="180975"/>
                      <wp:effectExtent l="0" t="0" r="0" b="0"/>
                      <wp:wrapNone/>
                      <wp:docPr id="128" name="Rectángulo 128"/>
                      <wp:cNvGraphicFramePr/>
                      <a:graphic xmlns:a="http://schemas.openxmlformats.org/drawingml/2006/main">
                        <a:graphicData uri="http://schemas.microsoft.com/office/word/2010/wordprocessingShape">
                          <wps:wsp>
                            <wps:cNvSpPr/>
                            <wps:spPr>
                              <a:xfrm>
                                <a:off x="4717350" y="3732375"/>
                                <a:ext cx="1257300" cy="95250"/>
                              </a:xfrm>
                              <a:prstGeom prst="rect">
                                <a:avLst/>
                              </a:prstGeom>
                              <a:noFill/>
                              <a:ln w="28575" cap="flat" cmpd="sng">
                                <a:solidFill>
                                  <a:srgbClr val="FF0000"/>
                                </a:solidFill>
                                <a:prstDash val="solid"/>
                                <a:round/>
                                <a:headEnd type="none" w="sm" len="sm"/>
                                <a:tailEnd type="none" w="sm" len="sm"/>
                              </a:ln>
                            </wps:spPr>
                            <wps:txbx>
                              <w:txbxContent>
                                <w:p w14:paraId="64DFE535" w14:textId="77777777" w:rsidR="00EE5403" w:rsidRDefault="00EE5403">
                                  <w:pPr>
                                    <w:textDirection w:val="btLr"/>
                                  </w:pPr>
                                </w:p>
                              </w:txbxContent>
                            </wps:txbx>
                            <wps:bodyPr spcFirstLastPara="1" wrap="square" lIns="91425" tIns="91425" rIns="91425" bIns="91425" anchor="ctr" anchorCtr="0">
                              <a:noAutofit/>
                            </wps:bodyPr>
                          </wps:wsp>
                        </a:graphicData>
                      </a:graphic>
                    </wp:anchor>
                  </w:drawing>
                </mc:Choice>
                <mc:Fallback>
                  <w:pict>
                    <v:rect w14:anchorId="091096D3" id="Rectángulo 128" o:spid="_x0000_s1029" style="position:absolute;left:0;text-align:left;margin-left:150.75pt;margin-top:16.5pt;width:105.7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" filled="f" strokecolor="red" strokeweight="2.25pt">
                      <v:stroke startarrowwidth="narrow" startarrowlength="short" endarrowwidth="narrow" endarrowlength="short" joinstyle="round"/>
                      <v:textbox inset="2.53958mm,2.53958mm,2.53958mm,2.53958mm">
                        <w:txbxContent>
                          <w:p w14:paraId="64DFE535" w14:textId="77777777" w:rsidR="00EE5403" w:rsidRDefault="00EE5403">
                            <w:pPr>
                              <w:textDirection w:val="btLr"/>
                            </w:pPr>
                          </w:p>
                        </w:txbxContent>
                      </v:textbox>
                    </v:rect>
                  </w:pict>
                </mc:Fallback>
              </mc:AlternateContent>
            </w:r>
          </w:p>
        </w:tc>
        <w:tc>
          <w:tcPr>
            <w:tcW w:w="2409" w:type="dxa"/>
          </w:tcPr>
          <w:p w14:paraId="7583A499" w14:textId="77777777" w:rsidR="00EE5403" w:rsidRPr="00B95BDF" w:rsidRDefault="00917C0A">
            <w:pPr>
              <w:spacing w:after="160"/>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Sí</w:t>
            </w:r>
          </w:p>
        </w:tc>
      </w:tr>
      <w:tr w:rsidR="00B95BDF" w:rsidRPr="00B95BDF" w14:paraId="0FF89E64" w14:textId="77777777">
        <w:tc>
          <w:tcPr>
            <w:tcW w:w="1555" w:type="dxa"/>
          </w:tcPr>
          <w:p w14:paraId="1BECF852" w14:textId="77777777" w:rsidR="00EE5403" w:rsidRPr="00B95BDF" w:rsidRDefault="00917C0A">
            <w:pPr>
              <w:spacing w:after="160" w:line="259" w:lineRule="auto"/>
              <w:jc w:val="center"/>
              <w:rPr>
                <w:rFonts w:ascii="Palatino Linotype" w:eastAsia="Palatino Linotype" w:hAnsi="Palatino Linotype" w:cs="Palatino Linotype"/>
                <w:sz w:val="18"/>
                <w:szCs w:val="18"/>
              </w:rPr>
            </w:pPr>
            <w:r w:rsidRPr="00B95BDF">
              <w:rPr>
                <w:rFonts w:ascii="Palatino Linotype" w:eastAsia="Palatino Linotype" w:hAnsi="Palatino Linotype" w:cs="Palatino Linotype"/>
                <w:sz w:val="18"/>
                <w:szCs w:val="18"/>
              </w:rPr>
              <w:t>Referencia a otras modalidades de entrega de la información.</w:t>
            </w:r>
          </w:p>
        </w:tc>
        <w:tc>
          <w:tcPr>
            <w:tcW w:w="5386" w:type="dxa"/>
          </w:tcPr>
          <w:p w14:paraId="6CFF1749" w14:textId="77777777" w:rsidR="00EE5403" w:rsidRPr="00B95BDF" w:rsidRDefault="00917C0A">
            <w:pPr>
              <w:spacing w:after="160" w:line="276"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No se hace referencia a otras modalidades de entrega de la información.</w:t>
            </w:r>
          </w:p>
        </w:tc>
        <w:tc>
          <w:tcPr>
            <w:tcW w:w="2409" w:type="dxa"/>
          </w:tcPr>
          <w:p w14:paraId="112D3FE3" w14:textId="77777777" w:rsidR="00EE5403" w:rsidRPr="00B95BDF" w:rsidRDefault="00917C0A">
            <w:pPr>
              <w:spacing w:after="160"/>
              <w:jc w:val="center"/>
              <w:rPr>
                <w:rFonts w:ascii="Palatino Linotype" w:eastAsia="Palatino Linotype" w:hAnsi="Palatino Linotype" w:cs="Palatino Linotype"/>
                <w:sz w:val="18"/>
                <w:szCs w:val="18"/>
              </w:rPr>
            </w:pPr>
            <w:r w:rsidRPr="00B95BDF">
              <w:rPr>
                <w:rFonts w:ascii="Palatino Linotype" w:eastAsia="Palatino Linotype" w:hAnsi="Palatino Linotype" w:cs="Palatino Linotype"/>
                <w:b/>
                <w:sz w:val="18"/>
                <w:szCs w:val="18"/>
              </w:rPr>
              <w:t>No</w:t>
            </w:r>
          </w:p>
        </w:tc>
      </w:tr>
      <w:tr w:rsidR="00B95BDF" w:rsidRPr="00B95BDF" w14:paraId="5028776D" w14:textId="77777777">
        <w:tc>
          <w:tcPr>
            <w:tcW w:w="1555" w:type="dxa"/>
          </w:tcPr>
          <w:p w14:paraId="4FE11B46" w14:textId="77777777" w:rsidR="00EE5403" w:rsidRPr="00B95BDF" w:rsidRDefault="00917C0A">
            <w:pPr>
              <w:spacing w:after="160" w:line="259" w:lineRule="auto"/>
              <w:jc w:val="center"/>
              <w:rPr>
                <w:rFonts w:ascii="Palatino Linotype" w:eastAsia="Palatino Linotype" w:hAnsi="Palatino Linotype" w:cs="Palatino Linotype"/>
                <w:sz w:val="18"/>
                <w:szCs w:val="18"/>
              </w:rPr>
            </w:pPr>
            <w:r w:rsidRPr="00B95BDF">
              <w:rPr>
                <w:rFonts w:ascii="Palatino Linotype" w:eastAsia="Palatino Linotype" w:hAnsi="Palatino Linotype" w:cs="Palatino Linotype"/>
                <w:sz w:val="18"/>
                <w:szCs w:val="18"/>
              </w:rPr>
              <w:t>Referencia que la información se pone a disposición por 60 días</w:t>
            </w:r>
          </w:p>
        </w:tc>
        <w:tc>
          <w:tcPr>
            <w:tcW w:w="5386" w:type="dxa"/>
          </w:tcPr>
          <w:p w14:paraId="09E02812" w14:textId="77777777" w:rsidR="00EE5403" w:rsidRPr="00B95BDF" w:rsidRDefault="00917C0A">
            <w:pPr>
              <w:spacing w:after="160"/>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Únicamente lo refiere para el caso de la consulta directa</w:t>
            </w:r>
          </w:p>
        </w:tc>
        <w:tc>
          <w:tcPr>
            <w:tcW w:w="2409" w:type="dxa"/>
          </w:tcPr>
          <w:p w14:paraId="776DF3A2" w14:textId="77777777" w:rsidR="00EE5403" w:rsidRPr="00B95BDF" w:rsidRDefault="00917C0A">
            <w:pPr>
              <w:spacing w:after="160" w:line="360"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Parcialmente</w:t>
            </w:r>
          </w:p>
        </w:tc>
      </w:tr>
      <w:tr w:rsidR="00EE5403" w:rsidRPr="00B95BDF" w14:paraId="14BBA998" w14:textId="77777777">
        <w:tc>
          <w:tcPr>
            <w:tcW w:w="1555" w:type="dxa"/>
          </w:tcPr>
          <w:p w14:paraId="3B7A67E4" w14:textId="77777777" w:rsidR="00EE5403" w:rsidRPr="00B95BDF" w:rsidRDefault="00917C0A">
            <w:pPr>
              <w:spacing w:after="160" w:line="259" w:lineRule="auto"/>
              <w:jc w:val="center"/>
              <w:rPr>
                <w:rFonts w:ascii="Palatino Linotype" w:eastAsia="Palatino Linotype" w:hAnsi="Palatino Linotype" w:cs="Palatino Linotype"/>
                <w:sz w:val="18"/>
                <w:szCs w:val="18"/>
              </w:rPr>
            </w:pPr>
            <w:r w:rsidRPr="00B95BDF">
              <w:rPr>
                <w:rFonts w:ascii="Palatino Linotype" w:eastAsia="Palatino Linotype" w:hAnsi="Palatino Linotype" w:cs="Palatino Linotype"/>
                <w:sz w:val="18"/>
                <w:szCs w:val="18"/>
              </w:rPr>
              <w:t>Registro  de su incidencia ante informática</w:t>
            </w:r>
          </w:p>
        </w:tc>
        <w:tc>
          <w:tcPr>
            <w:tcW w:w="5386" w:type="dxa"/>
          </w:tcPr>
          <w:p w14:paraId="61F060C1" w14:textId="77777777" w:rsidR="00EE5403" w:rsidRPr="00B95BDF" w:rsidRDefault="00917C0A">
            <w:pPr>
              <w:spacing w:after="160" w:line="276"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No se adjunta la incidencia en el expediente electrónico, asimismo la Dirección General de Informática reportó a este Instituto que no se tiene registro de incidencia técnica de este Sujeto Obligado.</w:t>
            </w:r>
          </w:p>
          <w:p w14:paraId="5DBCBE87" w14:textId="77777777" w:rsidR="00EE5403" w:rsidRPr="00B95BDF" w:rsidRDefault="00EE5403">
            <w:pPr>
              <w:spacing w:after="160" w:line="276" w:lineRule="auto"/>
              <w:jc w:val="center"/>
              <w:rPr>
                <w:rFonts w:ascii="Palatino Linotype" w:eastAsia="Palatino Linotype" w:hAnsi="Palatino Linotype" w:cs="Palatino Linotype"/>
                <w:sz w:val="18"/>
                <w:szCs w:val="18"/>
              </w:rPr>
            </w:pPr>
          </w:p>
        </w:tc>
        <w:tc>
          <w:tcPr>
            <w:tcW w:w="2409" w:type="dxa"/>
          </w:tcPr>
          <w:p w14:paraId="2CE628E5" w14:textId="77777777" w:rsidR="00EE5403" w:rsidRPr="00B95BDF" w:rsidRDefault="00917C0A">
            <w:pPr>
              <w:spacing w:after="160" w:line="360" w:lineRule="auto"/>
              <w:jc w:val="center"/>
              <w:rPr>
                <w:rFonts w:ascii="Palatino Linotype" w:eastAsia="Palatino Linotype" w:hAnsi="Palatino Linotype" w:cs="Palatino Linotype"/>
                <w:b/>
                <w:sz w:val="18"/>
                <w:szCs w:val="18"/>
              </w:rPr>
            </w:pPr>
            <w:r w:rsidRPr="00B95BDF">
              <w:rPr>
                <w:rFonts w:ascii="Palatino Linotype" w:eastAsia="Palatino Linotype" w:hAnsi="Palatino Linotype" w:cs="Palatino Linotype"/>
                <w:b/>
                <w:sz w:val="18"/>
                <w:szCs w:val="18"/>
              </w:rPr>
              <w:t>No</w:t>
            </w:r>
          </w:p>
        </w:tc>
      </w:tr>
    </w:tbl>
    <w:p w14:paraId="7E65DBDF"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24B0E7EF" w14:textId="77777777" w:rsidR="00EE5403" w:rsidRPr="00B95BDF" w:rsidRDefault="00917C0A">
      <w:pPr>
        <w:spacing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Por lo anteriormente esquematizado, se puede observar que el cambio de modalidad propuesto por el</w:t>
      </w:r>
      <w:r w:rsidRPr="00B95BDF">
        <w:rPr>
          <w:rFonts w:ascii="Palatino Linotype" w:eastAsia="Palatino Linotype" w:hAnsi="Palatino Linotype" w:cs="Palatino Linotype"/>
          <w:b/>
          <w:sz w:val="22"/>
          <w:szCs w:val="22"/>
        </w:rPr>
        <w:t xml:space="preserve"> Sujeto Obligado parcialmente cumple</w:t>
      </w:r>
      <w:r w:rsidRPr="00B95BDF">
        <w:rPr>
          <w:rFonts w:ascii="Palatino Linotype" w:eastAsia="Palatino Linotype" w:hAnsi="Palatino Linotype" w:cs="Palatino Linotype"/>
          <w:sz w:val="22"/>
          <w:szCs w:val="22"/>
        </w:rPr>
        <w:t xml:space="preserve"> con las formalidades establecidas por los ordenamientos en materia de transparencia, en virtud de que no proporcionó otras modalidades, no presentó su incidencia técnica en la Dirección General de Informática y únicamente hace referencia a la puesta a disposición por 60 días para efectos de la consulta directa.</w:t>
      </w:r>
    </w:p>
    <w:p w14:paraId="31BE8149" w14:textId="77777777" w:rsidR="00EE5403" w:rsidRPr="00B95BDF" w:rsidRDefault="00917C0A">
      <w:pPr>
        <w:spacing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 xml:space="preserve">Bajo otro orden de ideas, debemos recordar que este Instituto realizó un requerimiento de información adicional al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tendiente a conocer las particularidades de la documentación solicitada, tales como el </w:t>
      </w:r>
      <w:r w:rsidRPr="00B95BDF">
        <w:rPr>
          <w:rFonts w:ascii="Palatino Linotype" w:eastAsia="Palatino Linotype" w:hAnsi="Palatino Linotype" w:cs="Palatino Linotype"/>
          <w:b/>
          <w:sz w:val="22"/>
          <w:szCs w:val="22"/>
          <w:u w:val="single"/>
        </w:rPr>
        <w:t xml:space="preserve">número de oficios firmados por la persona titular de la Dirección Jurídica del DIF durante 2022 y 2023, número de juicios en materia familiar en los que ha asumido la representación jurídica el Sujeto Obligado y estatus procesal, </w:t>
      </w:r>
      <w:r w:rsidRPr="00B95BDF">
        <w:rPr>
          <w:rFonts w:ascii="Palatino Linotype" w:eastAsia="Palatino Linotype" w:hAnsi="Palatino Linotype" w:cs="Palatino Linotype"/>
          <w:sz w:val="22"/>
          <w:szCs w:val="22"/>
        </w:rPr>
        <w:t>teniendo así que el</w:t>
      </w:r>
      <w:r w:rsidRPr="00B95BDF">
        <w:rPr>
          <w:rFonts w:ascii="Palatino Linotype" w:eastAsia="Palatino Linotype" w:hAnsi="Palatino Linotype" w:cs="Palatino Linotype"/>
          <w:b/>
          <w:sz w:val="22"/>
          <w:szCs w:val="22"/>
        </w:rPr>
        <w:t xml:space="preserve"> Sujeto Obligado </w:t>
      </w:r>
      <w:r w:rsidRPr="00B95BDF">
        <w:rPr>
          <w:rFonts w:ascii="Palatino Linotype" w:eastAsia="Palatino Linotype" w:hAnsi="Palatino Linotype" w:cs="Palatino Linotype"/>
          <w:sz w:val="22"/>
          <w:szCs w:val="22"/>
        </w:rPr>
        <w:t xml:space="preserve">atendió el presente requerimiento de información adicional el </w:t>
      </w:r>
      <w:r w:rsidRPr="00B95BDF">
        <w:rPr>
          <w:rFonts w:ascii="Palatino Linotype" w:eastAsia="Palatino Linotype" w:hAnsi="Palatino Linotype" w:cs="Palatino Linotype"/>
          <w:b/>
          <w:sz w:val="22"/>
          <w:szCs w:val="22"/>
        </w:rPr>
        <w:t>diecinueve de septiembre de dos mil veinticuatro por conducto del Director Jurídico</w:t>
      </w:r>
      <w:r w:rsidRPr="00B95BDF">
        <w:rPr>
          <w:rFonts w:ascii="Palatino Linotype" w:eastAsia="Palatino Linotype" w:hAnsi="Palatino Linotype" w:cs="Palatino Linotype"/>
          <w:sz w:val="22"/>
          <w:szCs w:val="22"/>
        </w:rPr>
        <w:t xml:space="preserve">, quien se manifestó en los siguientes términos: </w:t>
      </w:r>
    </w:p>
    <w:p w14:paraId="74728F9A" w14:textId="77777777" w:rsidR="00EE5403" w:rsidRPr="00B95BDF" w:rsidRDefault="00917C0A">
      <w:pPr>
        <w:pBdr>
          <w:top w:val="nil"/>
          <w:left w:val="nil"/>
          <w:bottom w:val="nil"/>
          <w:right w:val="nil"/>
          <w:between w:val="nil"/>
        </w:pBdr>
        <w:spacing w:before="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1. De manera puntual, señale el número de oficios firmados por la persona titular de la Dirección Jurídica del DIF durante 2022 y 2023.</w:t>
      </w:r>
    </w:p>
    <w:p w14:paraId="69FC0F16" w14:textId="77777777" w:rsidR="00EE5403" w:rsidRPr="00B95BDF" w:rsidRDefault="00917C0A">
      <w:pPr>
        <w:pBdr>
          <w:top w:val="nil"/>
          <w:left w:val="nil"/>
          <w:bottom w:val="nil"/>
          <w:right w:val="nil"/>
          <w:between w:val="nil"/>
        </w:pBdr>
        <w:spacing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Su petición es oscura y me deja en estado de indefensión para contestarla.</w:t>
      </w:r>
    </w:p>
    <w:p w14:paraId="05DBC0D9"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2. Proporcione el minutario de oficios de la persona titular de la Dirección Jurídica del DIF durante 2022 y 2023.</w:t>
      </w:r>
    </w:p>
    <w:p w14:paraId="5A81EFFD"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En esta Dirección Jurídica no se cuenta con minutario.</w:t>
      </w:r>
    </w:p>
    <w:p w14:paraId="45E0AEBA"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3. Precise de manera detallada el número de fojas que componen los oficios firmados por la persona titular de la Dirección Jurídica del DIF durante 2022 y 2023.</w:t>
      </w:r>
    </w:p>
    <w:p w14:paraId="579BEC09"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No es clara la petición que realiza, es oscura y me deja en estado de indefensión para contestarla.</w:t>
      </w:r>
    </w:p>
    <w:p w14:paraId="13BB06A4"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4.- Señale el número de asuntos en materia familiar en los que el Sistema Municipal DIF de Tlalnepantla ha tenido representación jurídica durante los años 2022 y 2023.</w:t>
      </w:r>
    </w:p>
    <w:p w14:paraId="08FA6E3D"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No es clara la petición que realiza, es oscura y me deja en estado de indefensión para contestarla.</w:t>
      </w:r>
    </w:p>
    <w:p w14:paraId="0A63D788"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5.- En relación con el número anterior, señale cuántos de estos asuntos se encuentran concluidos y cuantos se encuentran en trámite a la fecha de la solicitud.</w:t>
      </w:r>
    </w:p>
    <w:p w14:paraId="335026D1"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lastRenderedPageBreak/>
        <w:t>Toda vez que la petición que nos ocupa, va relacionada con la anterior, no es posible emitir respuesta y me deja en estado de indefensión.</w:t>
      </w:r>
    </w:p>
    <w:p w14:paraId="24EDF26C"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6.- Precise el número de fojas que componen los expedientes concluidos en materia familiar en los que el Sistema Municipal DIF de Tlalnepantla ha tenido representación jurídica durante los años 2022 y 2023</w:t>
      </w:r>
    </w:p>
    <w:p w14:paraId="5779F28C"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La petición en comento no es clara y me deja en estado de indefensión para contestarla.</w:t>
      </w:r>
    </w:p>
    <w:p w14:paraId="7C5AD27A"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7.- El formato en que se encuentra, esto es en físico o electrónico;</w:t>
      </w:r>
    </w:p>
    <w:p w14:paraId="4349888F"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Su petición no es clara, y me deja en estado de indefensión para contestarla.</w:t>
      </w:r>
    </w:p>
    <w:p w14:paraId="7708A1B3"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i/>
          <w:sz w:val="22"/>
          <w:szCs w:val="22"/>
        </w:rPr>
        <w:t>8.- Señale, si emplea los parámetros de escaneo recomendados por este Instituto, los cuales consisten en una resolución alta de 150 Dpi's, en escala de grises y formato "PDF"; extraído directamente del escáner.</w:t>
      </w:r>
    </w:p>
    <w:p w14:paraId="2130425F"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Si</w:t>
      </w:r>
    </w:p>
    <w:p w14:paraId="536EF12E" w14:textId="77777777" w:rsidR="00EE5403" w:rsidRPr="00B95BDF" w:rsidRDefault="00917C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i/>
          <w:sz w:val="22"/>
          <w:szCs w:val="22"/>
        </w:rPr>
        <w:t>9.- Si, presentó la incidencia ante la Dirección General de Informática de este Instituto o al correo nelson.correa@infoem.org.mx</w:t>
      </w:r>
    </w:p>
    <w:p w14:paraId="6227542A"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No</w:t>
      </w:r>
    </w:p>
    <w:p w14:paraId="19D4C306"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10.- Proporcione una foja escaneada, correspondiente a una de las documentales que obran en uno de los expedientes concluidos en materia familiar en los que el Sistema Municipal DIF de Tlalnepantla ha tenido representación jurídica durante los años 2022 y 2023.</w:t>
      </w:r>
    </w:p>
    <w:p w14:paraId="124A8903"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 xml:space="preserve">Con fundamento en el artículo 12 de la Ley de Transparencia y Acceso a la Información Pública del Estado de México y Municipios, en mi calidad de sujeto obligado no es preciso darle un tratamiento especial a la documentación que se tiene bajo mi resguardo en este SMDIF. </w:t>
      </w:r>
    </w:p>
    <w:p w14:paraId="5076E4AC"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11.- Si, los documentos contienen información clasificada en términos de la Ley de Transparencia y Acceso a la Información Pública del Estado de México y de </w:t>
      </w:r>
      <w:r w:rsidRPr="00B95BDF">
        <w:rPr>
          <w:rFonts w:ascii="Palatino Linotype" w:eastAsia="Palatino Linotype" w:hAnsi="Palatino Linotype" w:cs="Palatino Linotype"/>
          <w:i/>
          <w:sz w:val="22"/>
          <w:szCs w:val="22"/>
        </w:rPr>
        <w:lastRenderedPageBreak/>
        <w:t>Municipios; en caso, afirmativo precise de manera general los datos o información que actualizan dicho supuesto y el fundamento legal de su clasificación.</w:t>
      </w:r>
    </w:p>
    <w:p w14:paraId="7C2F773E" w14:textId="77777777" w:rsidR="00EE5403" w:rsidRPr="00B95BDF" w:rsidRDefault="00917C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Si</w:t>
      </w:r>
      <w:r w:rsidRPr="00B95BDF">
        <w:rPr>
          <w:rFonts w:ascii="Palatino Linotype" w:eastAsia="Palatino Linotype" w:hAnsi="Palatino Linotype" w:cs="Palatino Linotype"/>
          <w:i/>
          <w:sz w:val="22"/>
          <w:szCs w:val="22"/>
        </w:rPr>
        <w:t>” (Énfasis añadido)</w:t>
      </w:r>
    </w:p>
    <w:p w14:paraId="43FE80C8"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No obstante lo anterior, la información solicitada versa sobre la copia de </w:t>
      </w:r>
      <w:r w:rsidRPr="00B95BDF">
        <w:rPr>
          <w:rFonts w:ascii="Palatino Linotype" w:eastAsia="Palatino Linotype" w:hAnsi="Palatino Linotype" w:cs="Palatino Linotype"/>
          <w:b/>
          <w:sz w:val="22"/>
          <w:szCs w:val="22"/>
        </w:rPr>
        <w:t>los expedientes que han tenido representación jurídica en juicios en materia familiar por parte del Sistema Municipal DIF de Tlalnepantla por los años 2022 y 2023 y todos los oficios firmados por el titular de la Dirección de Jurídico del DIF de Tlalnepantla, también por los años 2022 y 2023,</w:t>
      </w:r>
      <w:r w:rsidRPr="00B95BDF">
        <w:rPr>
          <w:rFonts w:ascii="Palatino Linotype" w:eastAsia="Palatino Linotype" w:hAnsi="Palatino Linotype" w:cs="Palatino Linotype"/>
          <w:sz w:val="22"/>
          <w:szCs w:val="22"/>
        </w:rPr>
        <w:t xml:space="preserve"> documentales que de conformidad con el Comité de Transparencia nos dan un total de </w:t>
      </w:r>
      <w:r w:rsidRPr="00B95BDF">
        <w:rPr>
          <w:rFonts w:ascii="Palatino Linotype" w:eastAsia="Palatino Linotype" w:hAnsi="Palatino Linotype" w:cs="Palatino Linotype"/>
          <w:b/>
          <w:sz w:val="22"/>
          <w:szCs w:val="22"/>
        </w:rPr>
        <w:t>19,683 fojas</w:t>
      </w:r>
      <w:r w:rsidRPr="00B95BDF">
        <w:rPr>
          <w:rFonts w:ascii="Palatino Linotype" w:eastAsia="Palatino Linotype" w:hAnsi="Palatino Linotype" w:cs="Palatino Linotype"/>
          <w:sz w:val="22"/>
          <w:szCs w:val="22"/>
        </w:rPr>
        <w:t xml:space="preserve">, por lo que debemos tener en cuenta que </w:t>
      </w:r>
      <w:r w:rsidRPr="00B95BDF">
        <w:rPr>
          <w:rFonts w:ascii="Palatino Linotype" w:eastAsia="Palatino Linotype" w:hAnsi="Palatino Linotype" w:cs="Palatino Linotype"/>
          <w:b/>
          <w:sz w:val="22"/>
          <w:szCs w:val="22"/>
        </w:rPr>
        <w:t>a partir de estos elementos es posible determinar que estemos ante una incapacidad técnica para cargar la información al SAIMEX.</w:t>
      </w:r>
    </w:p>
    <w:p w14:paraId="159F4ADB"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Por otro lado, resulta importante mencionar,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se tiene que  el </w:t>
      </w:r>
      <w:r w:rsidRPr="00B95BDF">
        <w:rPr>
          <w:rFonts w:ascii="Palatino Linotype" w:eastAsia="Palatino Linotype" w:hAnsi="Palatino Linotype" w:cs="Palatino Linotype"/>
          <w:b/>
          <w:sz w:val="22"/>
          <w:szCs w:val="22"/>
        </w:rPr>
        <w:t xml:space="preserve">Sujeto </w:t>
      </w:r>
      <w:r w:rsidRPr="00B95BDF">
        <w:rPr>
          <w:rFonts w:ascii="Palatino Linotype" w:eastAsia="Palatino Linotype" w:hAnsi="Palatino Linotype" w:cs="Palatino Linotype"/>
          <w:b/>
          <w:sz w:val="22"/>
          <w:szCs w:val="22"/>
          <w:u w:val="single"/>
        </w:rPr>
        <w:t>Obligado no proporcionó otras modalidades para la entrega de la información</w:t>
      </w:r>
      <w:r w:rsidRPr="00B95BDF">
        <w:rPr>
          <w:rFonts w:ascii="Palatino Linotype" w:eastAsia="Palatino Linotype" w:hAnsi="Palatino Linotype" w:cs="Palatino Linotype"/>
          <w:sz w:val="22"/>
          <w:szCs w:val="22"/>
        </w:rPr>
        <w:t>, a través de su respuesta que adjuntó al Sistema de Acceso a la Información Mexiquense (SAIMEX).</w:t>
      </w:r>
    </w:p>
    <w:p w14:paraId="1B077101" w14:textId="77777777" w:rsidR="00EE5403" w:rsidRPr="00B95BDF" w:rsidRDefault="00917C0A">
      <w:pPr>
        <w:spacing w:line="360" w:lineRule="auto"/>
        <w:jc w:val="both"/>
        <w:rPr>
          <w:sz w:val="22"/>
          <w:szCs w:val="22"/>
        </w:rPr>
      </w:pPr>
      <w:r w:rsidRPr="00B95BDF">
        <w:rPr>
          <w:rFonts w:ascii="Palatino Linotype" w:eastAsia="Palatino Linotype" w:hAnsi="Palatino Linotype" w:cs="Palatino Linotype"/>
          <w:sz w:val="22"/>
          <w:szCs w:val="22"/>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0786E4BF" w14:textId="77777777" w:rsidR="00EE5403" w:rsidRPr="00B95BDF" w:rsidRDefault="00EE5403">
      <w:pPr>
        <w:spacing w:line="360" w:lineRule="auto"/>
        <w:rPr>
          <w:sz w:val="22"/>
          <w:szCs w:val="22"/>
        </w:rPr>
      </w:pPr>
    </w:p>
    <w:p w14:paraId="5D021B66" w14:textId="77777777" w:rsidR="00EE5403" w:rsidRPr="00B95BDF" w:rsidRDefault="00917C0A">
      <w:pPr>
        <w:spacing w:after="120"/>
        <w:ind w:left="567" w:right="902"/>
        <w:jc w:val="center"/>
        <w:rPr>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CAPÍTULO X</w:t>
      </w:r>
    </w:p>
    <w:p w14:paraId="34E1F1BF" w14:textId="77777777" w:rsidR="00EE5403" w:rsidRPr="00B95BDF" w:rsidRDefault="00917C0A">
      <w:pPr>
        <w:spacing w:before="120" w:after="120"/>
        <w:ind w:left="567" w:right="902"/>
        <w:jc w:val="center"/>
        <w:rPr>
          <w:sz w:val="22"/>
          <w:szCs w:val="22"/>
        </w:rPr>
      </w:pPr>
      <w:r w:rsidRPr="00B95BDF">
        <w:rPr>
          <w:rFonts w:ascii="Palatino Linotype" w:eastAsia="Palatino Linotype" w:hAnsi="Palatino Linotype" w:cs="Palatino Linotype"/>
          <w:b/>
          <w:i/>
          <w:sz w:val="22"/>
          <w:szCs w:val="22"/>
        </w:rPr>
        <w:t>DE LA CONSULTA DIRECTA</w:t>
      </w:r>
    </w:p>
    <w:p w14:paraId="5B03F01F"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Sexagésimo séptimo</w:t>
      </w:r>
      <w:r w:rsidRPr="00B95BDF">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B95BDF">
        <w:rPr>
          <w:rFonts w:ascii="Palatino Linotype" w:eastAsia="Palatino Linotype" w:hAnsi="Palatino Linotype" w:cs="Palatino Linotype"/>
          <w:b/>
          <w:i/>
          <w:sz w:val="22"/>
          <w:szCs w:val="22"/>
        </w:rPr>
        <w:t>deberá emitir la resolución en la que funde y motive la clasificación</w:t>
      </w:r>
      <w:r w:rsidRPr="00B95BDF">
        <w:rPr>
          <w:rFonts w:ascii="Palatino Linotype" w:eastAsia="Palatino Linotype" w:hAnsi="Palatino Linotype" w:cs="Palatino Linotype"/>
          <w:i/>
          <w:sz w:val="22"/>
          <w:szCs w:val="22"/>
        </w:rPr>
        <w:t xml:space="preserve"> de las partes o secciones que no podrán dejarse a la vista del solicitante. </w:t>
      </w:r>
    </w:p>
    <w:p w14:paraId="411FB6E5"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Sexagésimo octavo</w:t>
      </w:r>
      <w:r w:rsidRPr="00B95BDF">
        <w:rPr>
          <w:rFonts w:ascii="Palatino Linotype" w:eastAsia="Palatino Linotype" w:hAnsi="Palatino Linotype" w:cs="Palatino Linotype"/>
          <w:i/>
          <w:sz w:val="22"/>
          <w:szCs w:val="22"/>
        </w:rPr>
        <w:t xml:space="preserve">. En la </w:t>
      </w:r>
      <w:r w:rsidRPr="00B95BDF">
        <w:rPr>
          <w:rFonts w:ascii="Palatino Linotype" w:eastAsia="Palatino Linotype" w:hAnsi="Palatino Linotype" w:cs="Palatino Linotype"/>
          <w:b/>
          <w:i/>
          <w:sz w:val="22"/>
          <w:szCs w:val="22"/>
        </w:rPr>
        <w:t>resolución del Comité de Transparencia</w:t>
      </w:r>
      <w:r w:rsidRPr="00B95BDF">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8B83CAA"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Sexagésimo noveno</w:t>
      </w:r>
      <w:r w:rsidRPr="00B95BDF">
        <w:rPr>
          <w:rFonts w:ascii="Palatino Linotype" w:eastAsia="Palatino Linotype" w:hAnsi="Palatino Linotype" w:cs="Palatino Linotype"/>
          <w:i/>
          <w:sz w:val="22"/>
          <w:szCs w:val="22"/>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EFC3EEB"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Septuagésimo</w:t>
      </w:r>
      <w:r w:rsidRPr="00B95BDF">
        <w:rPr>
          <w:rFonts w:ascii="Palatino Linotype" w:eastAsia="Palatino Linotype" w:hAnsi="Palatino Linotype" w:cs="Palatino Linotype"/>
          <w:i/>
          <w:sz w:val="22"/>
          <w:szCs w:val="22"/>
        </w:rPr>
        <w:t>. Para el desahogo de las actuaciones tendientes a permitir la consulta directa, en los casos en que ésta resulte procedente, los sujetos obligados deberán observar lo siguiente: </w:t>
      </w:r>
    </w:p>
    <w:p w14:paraId="3E068C45"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I.</w:t>
      </w:r>
      <w:r w:rsidRPr="00B95BDF">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C40172C"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lastRenderedPageBreak/>
        <w:t>II.</w:t>
      </w:r>
      <w:r w:rsidRPr="00B95BDF">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61C5C03C"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III.</w:t>
      </w:r>
      <w:r w:rsidRPr="00B95BDF">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A6CA20C"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IV.</w:t>
      </w:r>
      <w:r w:rsidRPr="00B95BDF">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3491A7E9"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V.</w:t>
      </w:r>
      <w:r w:rsidRPr="00B95BDF">
        <w:rPr>
          <w:rFonts w:ascii="Palatino Linotype" w:eastAsia="Palatino Linotype" w:hAnsi="Palatino Linotype" w:cs="Palatino Linotype"/>
          <w:i/>
          <w:sz w:val="22"/>
          <w:szCs w:val="22"/>
        </w:rPr>
        <w:t xml:space="preserve"> Abstenerse de requerir al solicitante que acredite interés alguno; </w:t>
      </w:r>
    </w:p>
    <w:p w14:paraId="52E371BB"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VI.</w:t>
      </w:r>
      <w:r w:rsidRPr="00B95BDF">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A8EF5D6"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a)</w:t>
      </w:r>
      <w:r w:rsidRPr="00B95BDF">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597A09F4"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b)</w:t>
      </w:r>
      <w:r w:rsidRPr="00B95BDF">
        <w:rPr>
          <w:rFonts w:ascii="Palatino Linotype" w:eastAsia="Palatino Linotype" w:hAnsi="Palatino Linotype" w:cs="Palatino Linotype"/>
          <w:i/>
          <w:sz w:val="22"/>
          <w:szCs w:val="22"/>
        </w:rPr>
        <w:t xml:space="preserve"> Equipo y personal de vigilancia;</w:t>
      </w:r>
    </w:p>
    <w:p w14:paraId="39DCAF2E"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c)</w:t>
      </w:r>
      <w:r w:rsidRPr="00B95BDF">
        <w:rPr>
          <w:rFonts w:ascii="Palatino Linotype" w:eastAsia="Palatino Linotype" w:hAnsi="Palatino Linotype" w:cs="Palatino Linotype"/>
          <w:i/>
          <w:sz w:val="22"/>
          <w:szCs w:val="22"/>
        </w:rPr>
        <w:t xml:space="preserve"> Plan de acción contra robo o vandalismo; </w:t>
      </w:r>
    </w:p>
    <w:p w14:paraId="623953DF"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d)</w:t>
      </w:r>
      <w:r w:rsidRPr="00B95BDF">
        <w:rPr>
          <w:rFonts w:ascii="Palatino Linotype" w:eastAsia="Palatino Linotype" w:hAnsi="Palatino Linotype" w:cs="Palatino Linotype"/>
          <w:i/>
          <w:sz w:val="22"/>
          <w:szCs w:val="22"/>
        </w:rPr>
        <w:t xml:space="preserve"> Extintores de fuego de gas inocuo; </w:t>
      </w:r>
    </w:p>
    <w:p w14:paraId="4C537BE3"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e)</w:t>
      </w:r>
      <w:r w:rsidRPr="00B95BDF">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39C48031"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f)</w:t>
      </w:r>
      <w:r w:rsidRPr="00B95BDF">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4276B1A4"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g)</w:t>
      </w:r>
      <w:r w:rsidRPr="00B95BDF">
        <w:rPr>
          <w:rFonts w:ascii="Palatino Linotype" w:eastAsia="Palatino Linotype" w:hAnsi="Palatino Linotype" w:cs="Palatino Linotype"/>
          <w:i/>
          <w:sz w:val="22"/>
          <w:szCs w:val="22"/>
        </w:rPr>
        <w:t xml:space="preserve"> Las demás que, a criterio de los sujetos obligados, resulten necesarias. </w:t>
      </w:r>
    </w:p>
    <w:p w14:paraId="5E89B240"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VII.</w:t>
      </w:r>
      <w:r w:rsidRPr="00B95BDF">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63881AA3"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VIII.</w:t>
      </w:r>
      <w:r w:rsidRPr="00B95BDF">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B95BDF">
        <w:rPr>
          <w:rFonts w:ascii="Palatino Linotype" w:eastAsia="Palatino Linotype" w:hAnsi="Palatino Linotype" w:cs="Palatino Linotype"/>
          <w:b/>
          <w:i/>
          <w:sz w:val="22"/>
          <w:szCs w:val="22"/>
        </w:rPr>
        <w:t>previo al acceso a la información, la resolución debidamente fundada y motivada del Comité de Transparencia, en la que se clasificaron las partes o secciones que no podrán dejarse a la vista del solicitante. </w:t>
      </w:r>
    </w:p>
    <w:p w14:paraId="7772D3CD"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lastRenderedPageBreak/>
        <w:t xml:space="preserve">Septuagésimo primero. </w:t>
      </w:r>
      <w:r w:rsidRPr="00B95BDF">
        <w:rPr>
          <w:rFonts w:ascii="Palatino Linotype" w:eastAsia="Palatino Linotype" w:hAnsi="Palatino Linotype" w:cs="Palatino Linotype"/>
          <w:i/>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B345198"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i/>
          <w:sz w:val="22"/>
          <w:szCs w:val="22"/>
        </w:rPr>
        <w:t>El solicitante deberá observar en todo momento las reglas que el sujeto obligado haya hecho de su conocimiento para efectos de la conservación de los documentos. </w:t>
      </w:r>
    </w:p>
    <w:p w14:paraId="712AD9E8"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Septuagésimo segundo.</w:t>
      </w:r>
      <w:r w:rsidRPr="00B95BDF">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13F68123"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2C4C5E6"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b/>
          <w:i/>
          <w:sz w:val="22"/>
          <w:szCs w:val="22"/>
        </w:rPr>
        <w:t>Septuagésimo tercero</w:t>
      </w:r>
      <w:r w:rsidRPr="00B95BDF">
        <w:rPr>
          <w:rFonts w:ascii="Palatino Linotype" w:eastAsia="Palatino Linotype" w:hAnsi="Palatino Linotype" w:cs="Palatino Linotype"/>
          <w:i/>
          <w:sz w:val="22"/>
          <w:szCs w:val="22"/>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1E8EC83" w14:textId="77777777" w:rsidR="00EE5403" w:rsidRPr="00B95BDF" w:rsidRDefault="00917C0A">
      <w:pPr>
        <w:spacing w:before="120" w:after="120"/>
        <w:ind w:left="567" w:right="902"/>
        <w:jc w:val="both"/>
        <w:rPr>
          <w:sz w:val="22"/>
          <w:szCs w:val="22"/>
        </w:rPr>
      </w:pPr>
      <w:r w:rsidRPr="00B95BDF">
        <w:rPr>
          <w:rFonts w:ascii="Palatino Linotype" w:eastAsia="Palatino Linotype" w:hAnsi="Palatino Linotype" w:cs="Palatino Linotype"/>
          <w:i/>
          <w:sz w:val="22"/>
          <w:szCs w:val="22"/>
        </w:rPr>
        <w:t>La información deberá ser entregada sin costo, cuando implique la entrega de no más de veinte hojas simples.”</w:t>
      </w:r>
    </w:p>
    <w:p w14:paraId="5FC61D0D" w14:textId="77777777" w:rsidR="00EE5403" w:rsidRPr="00B95BDF" w:rsidRDefault="00EE5403">
      <w:pPr>
        <w:ind w:left="567"/>
        <w:rPr>
          <w:sz w:val="22"/>
          <w:szCs w:val="22"/>
        </w:rPr>
      </w:pPr>
    </w:p>
    <w:p w14:paraId="4E557628"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Preceptos legales que de igual forma fueron inobservados por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para hacer el cambio de modalidad de entrega de la información, por lo que al momento de dar cumplimiento a la presente determinación deberá ofrecer a la parte Recurrente otras modalidades para la entrega de la información, tales como disco compacto, dispositivo de almacenamiento, consulta directa, copias simples o certificadas, con posibilidad de entrega en la Unidad de Transparencia o a domicilio por correo certificado, previo pago de los derechos correspondientes, siempre y cuando así lo permita la documentación.</w:t>
      </w:r>
    </w:p>
    <w:p w14:paraId="3FA2C5BB"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628871AC"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otro orden de ideas, resulta importante traer a colación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únicamente puso a disposición del particular la información por un día establecido que es el </w:t>
      </w:r>
      <w:r w:rsidRPr="00B95BDF">
        <w:rPr>
          <w:rFonts w:ascii="Palatino Linotype" w:eastAsia="Palatino Linotype" w:hAnsi="Palatino Linotype" w:cs="Palatino Linotype"/>
          <w:b/>
          <w:sz w:val="22"/>
          <w:szCs w:val="22"/>
        </w:rPr>
        <w:t>09 de mayo de 2024</w:t>
      </w:r>
      <w:r w:rsidRPr="00B95BDF">
        <w:rPr>
          <w:rFonts w:ascii="Palatino Linotype" w:eastAsia="Palatino Linotype" w:hAnsi="Palatino Linotype" w:cs="Palatino Linotype"/>
          <w:sz w:val="22"/>
          <w:szCs w:val="22"/>
        </w:rPr>
        <w:t xml:space="preserve">, en un periodo de nueve horas, es decir, de </w:t>
      </w:r>
      <w:r w:rsidRPr="00B95BDF">
        <w:rPr>
          <w:rFonts w:ascii="Palatino Linotype" w:eastAsia="Palatino Linotype" w:hAnsi="Palatino Linotype" w:cs="Palatino Linotype"/>
          <w:b/>
          <w:sz w:val="22"/>
          <w:szCs w:val="22"/>
        </w:rPr>
        <w:t>9:00 a 18:00 horas</w:t>
      </w:r>
      <w:r w:rsidRPr="00B95BDF">
        <w:rPr>
          <w:rFonts w:ascii="Palatino Linotype" w:eastAsia="Palatino Linotype" w:hAnsi="Palatino Linotype" w:cs="Palatino Linotype"/>
          <w:sz w:val="22"/>
          <w:szCs w:val="22"/>
        </w:rPr>
        <w:t xml:space="preserve">, por </w:t>
      </w:r>
      <w:r w:rsidRPr="00B95BDF">
        <w:rPr>
          <w:rFonts w:ascii="Palatino Linotype" w:eastAsia="Palatino Linotype" w:hAnsi="Palatino Linotype" w:cs="Palatino Linotype"/>
          <w:sz w:val="22"/>
          <w:szCs w:val="22"/>
        </w:rPr>
        <w:lastRenderedPageBreak/>
        <w:t xml:space="preserve">ende, estamos ante una violación a su derecho humano de acceso a la información pública, pues para este Organismo Garante resulta contradictorio que el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 xml:space="preserve">alegue como incapacidad técnica que se tratan de </w:t>
      </w:r>
      <w:r w:rsidRPr="00B95BDF">
        <w:rPr>
          <w:rFonts w:ascii="Palatino Linotype" w:eastAsia="Palatino Linotype" w:hAnsi="Palatino Linotype" w:cs="Palatino Linotype"/>
          <w:b/>
          <w:sz w:val="22"/>
          <w:szCs w:val="22"/>
        </w:rPr>
        <w:t xml:space="preserve">19,683 fojas </w:t>
      </w:r>
      <w:r w:rsidRPr="00B95BDF">
        <w:rPr>
          <w:rFonts w:ascii="Palatino Linotype" w:eastAsia="Palatino Linotype" w:hAnsi="Palatino Linotype" w:cs="Palatino Linotype"/>
          <w:sz w:val="22"/>
          <w:szCs w:val="22"/>
        </w:rPr>
        <w:t xml:space="preserve">pero a </w:t>
      </w:r>
      <w:r w:rsidRPr="00B95BDF">
        <w:rPr>
          <w:rFonts w:ascii="Palatino Linotype" w:eastAsia="Palatino Linotype" w:hAnsi="Palatino Linotype" w:cs="Palatino Linotype"/>
          <w:b/>
          <w:sz w:val="22"/>
          <w:szCs w:val="22"/>
        </w:rPr>
        <w:t xml:space="preserve">la parte Recurrente </w:t>
      </w:r>
      <w:r w:rsidRPr="00B95BDF">
        <w:rPr>
          <w:rFonts w:ascii="Palatino Linotype" w:eastAsia="Palatino Linotype" w:hAnsi="Palatino Linotype" w:cs="Palatino Linotype"/>
          <w:sz w:val="22"/>
          <w:szCs w:val="22"/>
        </w:rPr>
        <w:t xml:space="preserve">le indica que cuenta con un plazo de un día y específicamente de </w:t>
      </w:r>
      <w:r w:rsidRPr="00B95BDF">
        <w:rPr>
          <w:rFonts w:ascii="Palatino Linotype" w:eastAsia="Palatino Linotype" w:hAnsi="Palatino Linotype" w:cs="Palatino Linotype"/>
          <w:b/>
          <w:sz w:val="22"/>
          <w:szCs w:val="22"/>
        </w:rPr>
        <w:t>nueve horas</w:t>
      </w:r>
      <w:r w:rsidRPr="00B95BDF">
        <w:rPr>
          <w:rFonts w:ascii="Palatino Linotype" w:eastAsia="Palatino Linotype" w:hAnsi="Palatino Linotype" w:cs="Palatino Linotype"/>
          <w:sz w:val="22"/>
          <w:szCs w:val="22"/>
        </w:rPr>
        <w:t xml:space="preserve"> para consultar la información.</w:t>
      </w:r>
    </w:p>
    <w:p w14:paraId="277DAC0D"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1B3E3D06" w14:textId="77777777" w:rsidR="00EE5403" w:rsidRPr="00B95BDF" w:rsidRDefault="00917C0A">
      <w:pPr>
        <w:spacing w:line="360" w:lineRule="auto"/>
        <w:ind w:right="-9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Bajo otro orden de ideas, tenemos que abordar la naturaleza de la información, para ello debemos tener presente que lo solicitado fue acceder a los expedientes</w:t>
      </w:r>
      <w:r w:rsidRPr="00B95BDF">
        <w:t xml:space="preserve"> </w:t>
      </w:r>
      <w:r w:rsidRPr="00B95BDF">
        <w:rPr>
          <w:rFonts w:ascii="Palatino Linotype" w:eastAsia="Palatino Linotype" w:hAnsi="Palatino Linotype" w:cs="Palatino Linotype"/>
          <w:sz w:val="22"/>
          <w:szCs w:val="22"/>
        </w:rPr>
        <w:t>que han tenido representación jurídica en juicios en materia familiar por parte del Sistema Municipal DIF de Tlalnepantla por los años 2022 y 2023, en tal sentido debe resaltarse que el entonces Instituto Federal de Acceso a la Información Pública (IFAI), actualmente Instituto Nacional de Transparencia y Protección de Datos (INAI), contempla en la obra literaria “</w:t>
      </w:r>
      <w:r w:rsidRPr="00B95BDF">
        <w:rPr>
          <w:rFonts w:ascii="Palatino Linotype" w:eastAsia="Palatino Linotype" w:hAnsi="Palatino Linotype" w:cs="Palatino Linotype"/>
          <w:b/>
          <w:i/>
          <w:sz w:val="22"/>
          <w:szCs w:val="22"/>
        </w:rPr>
        <w:t>La Transparencia y el Acceso a la Información en los Expedientes Judiciales</w:t>
      </w:r>
      <w:r w:rsidRPr="00B95BDF">
        <w:rPr>
          <w:rFonts w:ascii="Palatino Linotype" w:eastAsia="Palatino Linotype" w:hAnsi="Palatino Linotype" w:cs="Palatino Linotype"/>
          <w:sz w:val="22"/>
          <w:szCs w:val="22"/>
        </w:rPr>
        <w:t xml:space="preserve">” que en materia de acceso a la información, </w:t>
      </w:r>
      <w:r w:rsidRPr="00B95BDF">
        <w:rPr>
          <w:rFonts w:ascii="Palatino Linotype" w:eastAsia="Palatino Linotype" w:hAnsi="Palatino Linotype" w:cs="Palatino Linotype"/>
          <w:b/>
          <w:sz w:val="22"/>
          <w:szCs w:val="22"/>
          <w:u w:val="single"/>
        </w:rPr>
        <w:t>cualquier acuerdo dictado por el juzgador en un expediente judicial es, en principio, público</w:t>
      </w:r>
      <w:r w:rsidRPr="00B95BDF">
        <w:rPr>
          <w:rFonts w:ascii="Palatino Linotype" w:eastAsia="Palatino Linotype" w:hAnsi="Palatino Linotype" w:cs="Palatino Linotype"/>
          <w:sz w:val="22"/>
          <w:szCs w:val="22"/>
        </w:rPr>
        <w:t xml:space="preserve">. No obstante, es plausible que se actualice alguna causal de reserva por el daño que pudiera ocasionarse al interés público con la divulgación de lo solicitado, asimismo que </w:t>
      </w:r>
      <w:r w:rsidRPr="00B95BDF">
        <w:rPr>
          <w:rFonts w:ascii="Palatino Linotype" w:eastAsia="Palatino Linotype" w:hAnsi="Palatino Linotype" w:cs="Palatino Linotype"/>
          <w:b/>
          <w:sz w:val="22"/>
          <w:szCs w:val="22"/>
          <w:u w:val="single"/>
        </w:rPr>
        <w:t>en todos los casos, las actuaciones judiciales admiten ser divulgadas en versión pública, en las que se suprime la información reservada o confidencial, incluyendo los datos personales que obren en el documento solicitado</w:t>
      </w:r>
      <w:r w:rsidRPr="00B95BDF">
        <w:rPr>
          <w:rFonts w:ascii="Palatino Linotype" w:eastAsia="Palatino Linotype" w:hAnsi="Palatino Linotype" w:cs="Palatino Linotype"/>
          <w:sz w:val="22"/>
          <w:szCs w:val="22"/>
        </w:rPr>
        <w:t>.</w:t>
      </w:r>
    </w:p>
    <w:p w14:paraId="3DB7E1E7" w14:textId="77777777" w:rsidR="00EE5403" w:rsidRPr="00B95BDF" w:rsidRDefault="00EE5403">
      <w:pPr>
        <w:spacing w:line="360" w:lineRule="auto"/>
        <w:ind w:right="-93"/>
        <w:jc w:val="both"/>
        <w:rPr>
          <w:rFonts w:ascii="Palatino Linotype" w:eastAsia="Palatino Linotype" w:hAnsi="Palatino Linotype" w:cs="Palatino Linotype"/>
          <w:sz w:val="22"/>
          <w:szCs w:val="22"/>
        </w:rPr>
      </w:pPr>
      <w:bookmarkStart w:id="8" w:name="_heading=h.35nkun2" w:colFirst="0" w:colLast="0"/>
      <w:bookmarkEnd w:id="8"/>
    </w:p>
    <w:p w14:paraId="526222C6" w14:textId="77777777" w:rsidR="00EE5403" w:rsidRPr="00B95BDF" w:rsidRDefault="00917C0A">
      <w:pPr>
        <w:spacing w:line="360" w:lineRule="auto"/>
        <w:ind w:right="-9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Por consiguiente, es dable afirmar que en efecto, existe un interés público de la ciudadanía para conocer el actuar de los órganos jurisdiccionales, por lo que en ese caso, es procedente la entrega de documentales que obran en los expedientes, siempre y cuando se entreguen en versión pública y sobre aquellos que ya hayan causado estado; por lo que trasladando esta premisa a nuestro caso, concluimos que </w:t>
      </w:r>
      <w:r w:rsidRPr="00B95BDF">
        <w:rPr>
          <w:rFonts w:ascii="Palatino Linotype" w:eastAsia="Palatino Linotype" w:hAnsi="Palatino Linotype" w:cs="Palatino Linotype"/>
          <w:b/>
          <w:sz w:val="22"/>
          <w:szCs w:val="22"/>
          <w:u w:val="single"/>
        </w:rPr>
        <w:t xml:space="preserve">únicamente procederá la entrega de los </w:t>
      </w:r>
      <w:r w:rsidRPr="00B95BDF">
        <w:rPr>
          <w:rFonts w:ascii="Palatino Linotype" w:eastAsia="Palatino Linotype" w:hAnsi="Palatino Linotype" w:cs="Palatino Linotype"/>
          <w:b/>
          <w:sz w:val="22"/>
          <w:szCs w:val="22"/>
          <w:u w:val="single"/>
        </w:rPr>
        <w:lastRenderedPageBreak/>
        <w:t xml:space="preserve">expedientes, en versión pública, siempre y cuando el procedimiento judicial haya quedado firme. </w:t>
      </w:r>
    </w:p>
    <w:p w14:paraId="19DCE730" w14:textId="77777777" w:rsidR="00EE5403" w:rsidRPr="00B95BDF" w:rsidRDefault="00EE5403">
      <w:pPr>
        <w:spacing w:line="360" w:lineRule="auto"/>
        <w:ind w:right="-93"/>
        <w:jc w:val="both"/>
        <w:rPr>
          <w:rFonts w:ascii="Palatino Linotype" w:eastAsia="Palatino Linotype" w:hAnsi="Palatino Linotype" w:cs="Palatino Linotype"/>
          <w:b/>
          <w:sz w:val="22"/>
          <w:szCs w:val="22"/>
          <w:u w:val="single"/>
        </w:rPr>
      </w:pPr>
    </w:p>
    <w:p w14:paraId="4A9DED6F"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Caso contrario ocurre cuando hablamos de </w:t>
      </w:r>
      <w:r w:rsidRPr="00B95BDF">
        <w:rPr>
          <w:rFonts w:ascii="Palatino Linotype" w:eastAsia="Palatino Linotype" w:hAnsi="Palatino Linotype" w:cs="Palatino Linotype"/>
          <w:b/>
          <w:sz w:val="22"/>
          <w:szCs w:val="22"/>
          <w:u w:val="single"/>
        </w:rPr>
        <w:t>procedimientos judiciales que aún no se encuentran firmes, es decir, que se encuentran en trámite</w:t>
      </w:r>
      <w:r w:rsidRPr="00B95BDF">
        <w:rPr>
          <w:rFonts w:ascii="Palatino Linotype" w:eastAsia="Palatino Linotype" w:hAnsi="Palatino Linotype" w:cs="Palatino Linotype"/>
          <w:sz w:val="22"/>
          <w:szCs w:val="22"/>
        </w:rPr>
        <w:t xml:space="preserve"> pues indudablemente actualizan una causal de clasificación; en este sentido, la clasificación se concibe como el acto administrativo mediante el cual los sujetos obligados</w:t>
      </w:r>
      <w:r w:rsidRPr="00B95BDF">
        <w:rPr>
          <w:rFonts w:ascii="Palatino Linotype" w:eastAsia="Palatino Linotype" w:hAnsi="Palatino Linotype" w:cs="Palatino Linotype"/>
          <w:b/>
          <w:sz w:val="22"/>
          <w:szCs w:val="22"/>
        </w:rPr>
        <w:t xml:space="preserve"> </w:t>
      </w:r>
      <w:r w:rsidRPr="00B95BDF">
        <w:rPr>
          <w:rFonts w:ascii="Palatino Linotype" w:eastAsia="Palatino Linotype" w:hAnsi="Palatino Linotype" w:cs="Palatino Linotype"/>
          <w:sz w:val="22"/>
          <w:szCs w:val="22"/>
        </w:rPr>
        <w:t xml:space="preserve">determinan que la información requerida actualiza alguno de los supuestos de confidencialidad </w:t>
      </w:r>
      <w:r w:rsidRPr="00B95BDF">
        <w:rPr>
          <w:rFonts w:ascii="Palatino Linotype" w:eastAsia="Palatino Linotype" w:hAnsi="Palatino Linotype" w:cs="Palatino Linotype"/>
          <w:b/>
          <w:sz w:val="22"/>
          <w:szCs w:val="22"/>
        </w:rPr>
        <w:t xml:space="preserve">o </w:t>
      </w:r>
      <w:r w:rsidRPr="00B95BDF">
        <w:rPr>
          <w:rFonts w:ascii="Palatino Linotype" w:eastAsia="Palatino Linotype" w:hAnsi="Palatino Linotype" w:cs="Palatino Linotype"/>
          <w:b/>
          <w:sz w:val="22"/>
          <w:szCs w:val="22"/>
          <w:u w:val="single"/>
        </w:rPr>
        <w:t>RESERVA,</w:t>
      </w:r>
      <w:r w:rsidRPr="00B95BDF">
        <w:rPr>
          <w:rFonts w:ascii="Palatino Linotype" w:eastAsia="Palatino Linotype" w:hAnsi="Palatino Linotype" w:cs="Palatino Linotype"/>
          <w:b/>
          <w:sz w:val="22"/>
          <w:szCs w:val="22"/>
        </w:rPr>
        <w:t xml:space="preserve"> </w:t>
      </w:r>
      <w:r w:rsidRPr="00B95BDF">
        <w:rPr>
          <w:rFonts w:ascii="Palatino Linotype" w:eastAsia="Palatino Linotype" w:hAnsi="Palatino Linotype" w:cs="Palatino Linotype"/>
          <w:sz w:val="22"/>
          <w:szCs w:val="22"/>
        </w:rPr>
        <w:t xml:space="preserve">de acuerdo con las bases y los principios inmersos en la normatividad aplicable. </w:t>
      </w:r>
    </w:p>
    <w:p w14:paraId="27AAA2BA"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8318685"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Luego entonces, para realizar la reserva de la información, no basta con invocar alguna de las causales previstas en la Ley de transparencia local. En sentido contrario, dicha valoración debe realizarse a través de lo que se conoce como </w:t>
      </w:r>
      <w:r w:rsidRPr="00B95BDF">
        <w:rPr>
          <w:rFonts w:ascii="Palatino Linotype" w:eastAsia="Palatino Linotype" w:hAnsi="Palatino Linotype" w:cs="Palatino Linotype"/>
          <w:b/>
          <w:i/>
          <w:sz w:val="22"/>
          <w:szCs w:val="22"/>
        </w:rPr>
        <w:t xml:space="preserve">“prueba de daño”, </w:t>
      </w:r>
      <w:r w:rsidRPr="00B95BDF">
        <w:rPr>
          <w:rFonts w:ascii="Palatino Linotype" w:eastAsia="Palatino Linotype" w:hAnsi="Palatino Linotype" w:cs="Palatino Linotype"/>
          <w:sz w:val="22"/>
          <w:szCs w:val="22"/>
        </w:rPr>
        <w:t>que consiste en exponer los argumentos y razones, basados en elementos objetivos o verificables, a partir de los cuales se derive que la divulgación de información, en particular, puede afectar, poner en riesgo o dañar el interés protegido</w:t>
      </w:r>
      <w:r w:rsidRPr="00B95BDF">
        <w:rPr>
          <w:rFonts w:ascii="Palatino Linotype" w:eastAsia="Palatino Linotype" w:hAnsi="Palatino Linotype" w:cs="Palatino Linotype"/>
          <w:sz w:val="22"/>
          <w:szCs w:val="22"/>
          <w:vertAlign w:val="superscript"/>
        </w:rPr>
        <w:footnoteReference w:id="2"/>
      </w:r>
      <w:r w:rsidRPr="00B95BDF">
        <w:rPr>
          <w:rFonts w:ascii="Palatino Linotype" w:eastAsia="Palatino Linotype" w:hAnsi="Palatino Linotype" w:cs="Palatino Linotype"/>
          <w:sz w:val="22"/>
          <w:szCs w:val="22"/>
        </w:rPr>
        <w:t>. Asimismo, ésta no debe basarse en meras especulaciones o suposiciones, sino en elementos objetivos que deban evaluar que existe un riego actual e inminente</w:t>
      </w:r>
      <w:r w:rsidRPr="00B95BDF">
        <w:rPr>
          <w:rFonts w:ascii="Palatino Linotype" w:eastAsia="Palatino Linotype" w:hAnsi="Palatino Linotype" w:cs="Palatino Linotype"/>
          <w:sz w:val="22"/>
          <w:szCs w:val="22"/>
          <w:vertAlign w:val="superscript"/>
        </w:rPr>
        <w:footnoteReference w:id="3"/>
      </w:r>
      <w:r w:rsidRPr="00B95BDF">
        <w:rPr>
          <w:rFonts w:ascii="Palatino Linotype" w:eastAsia="Palatino Linotype" w:hAnsi="Palatino Linotype" w:cs="Palatino Linotype"/>
          <w:sz w:val="22"/>
          <w:szCs w:val="22"/>
        </w:rPr>
        <w:t>.</w:t>
      </w:r>
    </w:p>
    <w:p w14:paraId="7F028B0F" w14:textId="77777777" w:rsidR="00EE5403" w:rsidRPr="00B95BDF" w:rsidRDefault="00EE5403">
      <w:pPr>
        <w:spacing w:line="360" w:lineRule="auto"/>
        <w:jc w:val="both"/>
        <w:rPr>
          <w:rFonts w:ascii="Palatino Linotype" w:eastAsia="Palatino Linotype" w:hAnsi="Palatino Linotype" w:cs="Palatino Linotype"/>
          <w:b/>
          <w:sz w:val="22"/>
          <w:szCs w:val="22"/>
        </w:rPr>
      </w:pPr>
    </w:p>
    <w:p w14:paraId="1F9DAA20"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Adicionalmente los artículos 128, 129, 135 y 140, 129 y 134 último párrafo de la Ley Estatal y 104 y 108 último párrafo de la Ley General, respectivamente, determinan las bases para llevar a cabo la reserva de la información, señalando que para ello, se debe realizar un </w:t>
      </w:r>
      <w:r w:rsidRPr="00B95BDF">
        <w:rPr>
          <w:rFonts w:ascii="Palatino Linotype" w:eastAsia="Palatino Linotype" w:hAnsi="Palatino Linotype" w:cs="Palatino Linotype"/>
          <w:sz w:val="22"/>
          <w:szCs w:val="22"/>
        </w:rPr>
        <w:lastRenderedPageBreak/>
        <w:t xml:space="preserve">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B95BDF">
        <w:rPr>
          <w:rFonts w:ascii="Palatino Linotype" w:eastAsia="Palatino Linotype" w:hAnsi="Palatino Linotype" w:cs="Palatino Linotype"/>
          <w:b/>
          <w:sz w:val="22"/>
          <w:szCs w:val="22"/>
          <w:u w:val="single"/>
        </w:rPr>
        <w:t>sino de cada uno de los documentos que lo integran</w:t>
      </w:r>
      <w:r w:rsidRPr="00B95BDF">
        <w:rPr>
          <w:rFonts w:ascii="Palatino Linotype" w:eastAsia="Palatino Linotype" w:hAnsi="Palatino Linotype" w:cs="Palatino Linotype"/>
          <w:sz w:val="22"/>
          <w:szCs w:val="22"/>
        </w:rPr>
        <w:t>.</w:t>
      </w:r>
    </w:p>
    <w:p w14:paraId="7E9441D9"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18AF12D4"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Para aplicar la prueba de daño, se deberán de precisar las razones objetivas por las que la apertura genera una afectación, acreditando que:</w:t>
      </w:r>
    </w:p>
    <w:p w14:paraId="0F71FF33"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2357F323" w14:textId="77777777" w:rsidR="00EE5403" w:rsidRPr="00B95BDF" w:rsidRDefault="00917C0A">
      <w:pPr>
        <w:widowControl w:val="0"/>
        <w:spacing w:line="360" w:lineRule="auto"/>
        <w:ind w:left="851" w:right="33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I. La divulgación de la información representa un riesgo real, demostrable e identificable del perjuicio significativo al interés público o a la seguridad pública; </w:t>
      </w:r>
    </w:p>
    <w:p w14:paraId="0017549E" w14:textId="77777777" w:rsidR="00EE5403" w:rsidRPr="00B95BDF" w:rsidRDefault="00917C0A">
      <w:pPr>
        <w:widowControl w:val="0"/>
        <w:spacing w:line="360" w:lineRule="auto"/>
        <w:ind w:left="851" w:right="33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II. El riesgo de perjuicio que supondría la divulgación supera el interés público general de que se difunda; y </w:t>
      </w:r>
    </w:p>
    <w:p w14:paraId="1A15EF24" w14:textId="77777777" w:rsidR="00EE5403" w:rsidRPr="00B95BDF" w:rsidRDefault="00917C0A">
      <w:pPr>
        <w:widowControl w:val="0"/>
        <w:spacing w:line="360" w:lineRule="auto"/>
        <w:ind w:left="851" w:right="33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III. La limitación se adecua al principio de proporcionalidad y representa el medio menos restrictivo disponible para evitar el perjuicio. </w:t>
      </w:r>
    </w:p>
    <w:p w14:paraId="56840554"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21CD596D"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DEC802A"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4FDB5BB"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 xml:space="preserve">Identificado ese riesgo, se debe demostrar que el mismo supera el interés público general porque se difunda dicha información. </w:t>
      </w:r>
    </w:p>
    <w:p w14:paraId="2431A50C"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1F95763B"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Y, por último,  que la limitación es acorde con el principio de proporcionalidad, para ello, se sugiere emplear los tres juicios propuestos por la Corte Constitucional Colombiana</w:t>
      </w:r>
      <w:r w:rsidRPr="00B95BDF">
        <w:rPr>
          <w:rFonts w:ascii="Palatino Linotype" w:eastAsia="Palatino Linotype" w:hAnsi="Palatino Linotype" w:cs="Palatino Linotype"/>
          <w:sz w:val="22"/>
          <w:szCs w:val="22"/>
          <w:vertAlign w:val="superscript"/>
        </w:rPr>
        <w:footnoteReference w:id="4"/>
      </w:r>
      <w:r w:rsidRPr="00B95BDF">
        <w:rPr>
          <w:rFonts w:ascii="Palatino Linotype" w:eastAsia="Palatino Linotype" w:hAnsi="Palatino Linotype" w:cs="Palatino Linotype"/>
          <w:sz w:val="22"/>
          <w:szCs w:val="22"/>
        </w:rPr>
        <w:t>, siguiendo el principio de ponderación propuesto por el Tribunal Constitucional Alemán,</w:t>
      </w:r>
      <w:r w:rsidRPr="00B95BDF">
        <w:rPr>
          <w:rFonts w:ascii="Palatino Linotype" w:eastAsia="Palatino Linotype" w:hAnsi="Palatino Linotype" w:cs="Palatino Linotype"/>
          <w:sz w:val="22"/>
          <w:szCs w:val="22"/>
          <w:vertAlign w:val="superscript"/>
        </w:rPr>
        <w:footnoteReference w:id="5"/>
      </w:r>
      <w:r w:rsidRPr="00B95BDF">
        <w:rPr>
          <w:rFonts w:ascii="Palatino Linotype" w:eastAsia="Palatino Linotype" w:hAnsi="Palatino Linotype" w:cs="Palatino Linotype"/>
          <w:sz w:val="22"/>
          <w:szCs w:val="22"/>
        </w:rPr>
        <w:t xml:space="preserve"> el juicio de idoneidad, que la medida adoptada sea la idónea para el ejercicio del derecho; de necesidad, que sea necesaria para que el derecho que prevalece se ejerza y el de estricta proporcionalidad esto es, que el derecho que prevalezca sea en la dimensión estrictamente proporcional al derecho que retrocede.</w:t>
      </w:r>
    </w:p>
    <w:p w14:paraId="43E58A1A"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7EFEB06"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Es así que, al configurarse tales requisitos, se otorga certidumbre jurídica y se protege la esfera más íntima del derecho humano constitucional y convencionalmente reconocido. </w:t>
      </w:r>
    </w:p>
    <w:p w14:paraId="2A182E61"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7CB819F9"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En virtud de lo anterior, se desprende que los Acuerdos de Reserva deberán de cumplir los siguientes parámetros de forma y fondo:</w:t>
      </w:r>
    </w:p>
    <w:p w14:paraId="3DC96463"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721CF869"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Número de folio de la solicitud.</w:t>
      </w:r>
    </w:p>
    <w:p w14:paraId="5C72DB2A"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Referencia a la información solicitada.</w:t>
      </w:r>
    </w:p>
    <w:p w14:paraId="3D4EC063"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Causal aplicable del artículo 113 de la Ley General, vinculándola con el Lineamiento específico del presente ordenamiento y, cuando corresponda, el supuesto normativo que expresamente le otorga el carácter de información reservada.</w:t>
      </w:r>
    </w:p>
    <w:p w14:paraId="11375F8C"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Fundamento y motivación legal.</w:t>
      </w:r>
    </w:p>
    <w:p w14:paraId="14593F93"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Conexión entre los fundamentos y motivos que dieron origen a la reserva de la información.</w:t>
      </w:r>
    </w:p>
    <w:p w14:paraId="3EE8A958" w14:textId="77777777" w:rsidR="00EE5403" w:rsidRPr="00B95BDF" w:rsidRDefault="00EE5403">
      <w:pPr>
        <w:spacing w:line="360" w:lineRule="auto"/>
        <w:ind w:left="720"/>
        <w:rPr>
          <w:rFonts w:ascii="Palatino Linotype" w:eastAsia="Palatino Linotype" w:hAnsi="Palatino Linotype" w:cs="Palatino Linotype"/>
          <w:sz w:val="22"/>
          <w:szCs w:val="22"/>
        </w:rPr>
      </w:pPr>
    </w:p>
    <w:p w14:paraId="7EB55E9F" w14:textId="77777777" w:rsidR="00EE5403" w:rsidRPr="00B95BDF" w:rsidRDefault="00917C0A">
      <w:pPr>
        <w:spacing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 xml:space="preserve">Prueba de daño </w:t>
      </w:r>
    </w:p>
    <w:p w14:paraId="0EFBE8CF"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Riesgo real, demostrable e identificable (modo, tiempo y lugar).</w:t>
      </w:r>
    </w:p>
    <w:p w14:paraId="711F082A"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Temporalidad de la reserva de la información.</w:t>
      </w:r>
    </w:p>
    <w:p w14:paraId="4E893196" w14:textId="77777777" w:rsidR="00EE5403" w:rsidRPr="00B95BDF" w:rsidRDefault="00917C0A">
      <w:pPr>
        <w:numPr>
          <w:ilvl w:val="0"/>
          <w:numId w:val="1"/>
        </w:num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Autoridades competentes.</w:t>
      </w:r>
    </w:p>
    <w:p w14:paraId="00402AED" w14:textId="77777777" w:rsidR="00EE5403" w:rsidRPr="00B95BDF" w:rsidRDefault="00EE5403">
      <w:pPr>
        <w:spacing w:line="360" w:lineRule="auto"/>
        <w:ind w:left="720"/>
        <w:rPr>
          <w:rFonts w:ascii="Palatino Linotype" w:eastAsia="Palatino Linotype" w:hAnsi="Palatino Linotype" w:cs="Palatino Linotype"/>
          <w:sz w:val="22"/>
          <w:szCs w:val="22"/>
        </w:rPr>
      </w:pPr>
    </w:p>
    <w:p w14:paraId="38BB7AFF"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fracción VIII de la Ley de Transparencia y Acceso a la Información Pública del Estado de México y Municipios, porción normativa que dispone a la literalidad lo siguiente: </w:t>
      </w:r>
    </w:p>
    <w:p w14:paraId="0B6A6B9F" w14:textId="77777777" w:rsidR="00EE5403" w:rsidRPr="00B95BDF" w:rsidRDefault="00EE5403">
      <w:pPr>
        <w:rPr>
          <w:rFonts w:ascii="Palatino Linotype" w:eastAsia="Palatino Linotype" w:hAnsi="Palatino Linotype" w:cs="Palatino Linotype"/>
          <w:sz w:val="22"/>
          <w:szCs w:val="22"/>
        </w:rPr>
      </w:pPr>
    </w:p>
    <w:p w14:paraId="0CAF729B" w14:textId="77777777" w:rsidR="00EE5403" w:rsidRPr="00B95BDF" w:rsidRDefault="00917C0A">
      <w:pPr>
        <w:spacing w:before="240" w:after="160"/>
        <w:ind w:left="567" w:right="616"/>
        <w:jc w:val="center"/>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 xml:space="preserve">Ley de Transparencia y Acceso a la Información Pública del Estado de México y Municipios </w:t>
      </w:r>
    </w:p>
    <w:p w14:paraId="41CC4E7E"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55EC1BBA"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lastRenderedPageBreak/>
        <w:t xml:space="preserve">I. Comprometa la seguridad pública y cuente con un propósito genuino y un efecto demostrable; </w:t>
      </w:r>
    </w:p>
    <w:p w14:paraId="5DF0943F"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II. Pueda menoscabar la conducción de las negociaciones y relaciones internacionales; </w:t>
      </w:r>
    </w:p>
    <w:p w14:paraId="71742161"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F31870B"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IV. Ponga en riesgo la vida, la seguridad o la salud de una persona física; </w:t>
      </w:r>
    </w:p>
    <w:p w14:paraId="7A166DC2"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V. Aquella cuya divulgación obstruya o pueda causar un serio perjuicio a: </w:t>
      </w:r>
    </w:p>
    <w:p w14:paraId="497DB798"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6F90F77"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2. La recaudación de las contribuciones. </w:t>
      </w:r>
    </w:p>
    <w:p w14:paraId="4BD352D9"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51E2A2C"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71449D91" w14:textId="77777777" w:rsidR="00EE5403" w:rsidRPr="00B95BDF" w:rsidRDefault="00917C0A">
      <w:pPr>
        <w:spacing w:before="240" w:after="160"/>
        <w:ind w:left="567" w:right="616"/>
        <w:jc w:val="both"/>
        <w:rPr>
          <w:rFonts w:ascii="Palatino Linotype" w:eastAsia="Palatino Linotype" w:hAnsi="Palatino Linotype" w:cs="Palatino Linotype"/>
          <w:b/>
          <w:i/>
          <w:sz w:val="22"/>
          <w:szCs w:val="22"/>
          <w:u w:val="single"/>
        </w:rPr>
      </w:pPr>
      <w:r w:rsidRPr="00B95BDF">
        <w:rPr>
          <w:rFonts w:ascii="Palatino Linotype" w:eastAsia="Palatino Linotype" w:hAnsi="Palatino Linotype" w:cs="Palatino Linotype"/>
          <w:b/>
          <w:i/>
          <w:sz w:val="22"/>
          <w:szCs w:val="22"/>
          <w:u w:val="single"/>
        </w:rPr>
        <w:t xml:space="preserve">VIII. Vulnere la conducción de los expedientes judiciales o de los procedimientos administrativos seguidos en forma de juicio, en tanto no hayan quedado firmes; </w:t>
      </w:r>
    </w:p>
    <w:p w14:paraId="705DBDBB"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IX. Se encuentre contenida dentro de las investigaciones de hechos que la Ley señale como delitos y se tramiten ante el Ministerio Público; </w:t>
      </w:r>
    </w:p>
    <w:p w14:paraId="5744AB17" w14:textId="77777777" w:rsidR="00EE5403" w:rsidRPr="00B95BDF" w:rsidRDefault="00917C0A">
      <w:pPr>
        <w:spacing w:before="240" w:after="160"/>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X. El daño que pueda producirse con la publicación de la información sea mayor que el interés público de conocer la información de referencia, siempre que esté directamente </w:t>
      </w:r>
      <w:r w:rsidRPr="00B95BDF">
        <w:rPr>
          <w:rFonts w:ascii="Palatino Linotype" w:eastAsia="Palatino Linotype" w:hAnsi="Palatino Linotype" w:cs="Palatino Linotype"/>
          <w:i/>
          <w:sz w:val="22"/>
          <w:szCs w:val="22"/>
        </w:rPr>
        <w:lastRenderedPageBreak/>
        <w:t xml:space="preserve">relacionado con procesos o procedimientos administrativos o judiciales que no hayan quedado firmes; </w:t>
      </w:r>
    </w:p>
    <w:p w14:paraId="00646A73" w14:textId="77777777" w:rsidR="00EE5403" w:rsidRPr="00B95BDF" w:rsidRDefault="00917C0A">
      <w:pPr>
        <w:ind w:left="567" w:right="616"/>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7547022" w14:textId="77777777" w:rsidR="00EE5403" w:rsidRPr="00B95BDF" w:rsidRDefault="00EE5403">
      <w:pPr>
        <w:ind w:left="567" w:right="616"/>
        <w:jc w:val="both"/>
        <w:rPr>
          <w:rFonts w:ascii="Palatino Linotype" w:eastAsia="Palatino Linotype" w:hAnsi="Palatino Linotype" w:cs="Palatino Linotype"/>
          <w:i/>
          <w:sz w:val="22"/>
          <w:szCs w:val="22"/>
        </w:rPr>
      </w:pPr>
    </w:p>
    <w:p w14:paraId="6D5E7E39" w14:textId="77777777" w:rsidR="00EE5403" w:rsidRPr="00B95BDF" w:rsidRDefault="00917C0A">
      <w:pPr>
        <w:ind w:left="567" w:right="616"/>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i/>
          <w:sz w:val="22"/>
          <w:szCs w:val="22"/>
        </w:rPr>
        <w:t xml:space="preserve">XI. Las que por disposición expresa de una ley tengan tal carácter, siempre que sean acordes con las bases, principios y disposiciones establecidos en esta Ley y no la contravengan; así como las previstas en tratados internacionales.” </w:t>
      </w:r>
    </w:p>
    <w:p w14:paraId="5D1D4FEF"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48906E26" w14:textId="77777777" w:rsidR="00EE5403" w:rsidRPr="00B95BDF" w:rsidRDefault="00917C0A">
      <w:pPr>
        <w:spacing w:line="360" w:lineRule="auto"/>
        <w:ind w:right="-9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En virtud de lo anterior, resulta competencia del sujeto obligado</w:t>
      </w:r>
      <w:r w:rsidRPr="00B95BDF">
        <w:rPr>
          <w:rFonts w:ascii="Palatino Linotype" w:eastAsia="Palatino Linotype" w:hAnsi="Palatino Linotype" w:cs="Palatino Linotype"/>
          <w:b/>
          <w:sz w:val="22"/>
          <w:szCs w:val="22"/>
        </w:rPr>
        <w:t xml:space="preserve"> </w:t>
      </w:r>
      <w:r w:rsidRPr="00B95BDF">
        <w:rPr>
          <w:rFonts w:ascii="Palatino Linotype" w:eastAsia="Palatino Linotype" w:hAnsi="Palatino Linotype" w:cs="Palatino Linotype"/>
          <w:sz w:val="22"/>
          <w:szCs w:val="22"/>
        </w:rPr>
        <w:t>apreciar el contenido de la información en cita, a efecto de valorar la posible actualización de una causal de reserva, y en consecuencia, proceder conforme a la pauta metodológica referida con anterioridad.</w:t>
      </w:r>
    </w:p>
    <w:p w14:paraId="67DE77FA" w14:textId="77777777" w:rsidR="00EE5403" w:rsidRPr="00B95BDF" w:rsidRDefault="00EE5403">
      <w:pPr>
        <w:spacing w:line="360" w:lineRule="auto"/>
        <w:ind w:right="-93"/>
        <w:jc w:val="both"/>
        <w:rPr>
          <w:rFonts w:ascii="Palatino Linotype" w:eastAsia="Palatino Linotype" w:hAnsi="Palatino Linotype" w:cs="Palatino Linotype"/>
          <w:b/>
          <w:sz w:val="22"/>
          <w:szCs w:val="22"/>
          <w:u w:val="single"/>
        </w:rPr>
      </w:pPr>
    </w:p>
    <w:p w14:paraId="5CAD994B" w14:textId="77777777" w:rsidR="00EE5403" w:rsidRPr="00B95BDF" w:rsidRDefault="00917C0A">
      <w:pPr>
        <w:spacing w:after="16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Expuestas estas consideraciones, se tiene que resulta pertinente otorgar el cambio de modalidad al </w:t>
      </w:r>
      <w:r w:rsidRPr="00B95BDF">
        <w:rPr>
          <w:rFonts w:ascii="Palatino Linotype" w:eastAsia="Palatino Linotype" w:hAnsi="Palatino Linotype" w:cs="Palatino Linotype"/>
          <w:b/>
          <w:sz w:val="22"/>
          <w:szCs w:val="22"/>
        </w:rPr>
        <w:t xml:space="preserve">Sujeto Obligado, </w:t>
      </w:r>
      <w:r w:rsidRPr="00B95BDF">
        <w:rPr>
          <w:rFonts w:ascii="Palatino Linotype" w:eastAsia="Palatino Linotype" w:hAnsi="Palatino Linotype" w:cs="Palatino Linotype"/>
          <w:sz w:val="22"/>
          <w:szCs w:val="22"/>
        </w:rPr>
        <w:t>en virtud de que acreditó imposibilidad técnica para la carga de la información, sin embargo, también se advirtieron las siguientes inconsistencias:</w:t>
      </w:r>
    </w:p>
    <w:p w14:paraId="0ADECC88" w14:textId="77777777" w:rsidR="00EE5403" w:rsidRPr="00B95BDF" w:rsidRDefault="00917C0A">
      <w:pPr>
        <w:numPr>
          <w:ilvl w:val="0"/>
          <w:numId w:val="8"/>
        </w:numPr>
        <w:pBdr>
          <w:top w:val="nil"/>
          <w:left w:val="nil"/>
          <w:bottom w:val="nil"/>
          <w:right w:val="nil"/>
          <w:between w:val="nil"/>
        </w:pBdr>
        <w:spacing w:before="240" w:after="160" w:line="360" w:lineRule="auto"/>
        <w:ind w:left="567" w:right="900" w:hanging="28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No ofreció otras modalidades </w:t>
      </w:r>
    </w:p>
    <w:p w14:paraId="205941AB" w14:textId="77777777" w:rsidR="00EE5403" w:rsidRPr="00B95BDF" w:rsidRDefault="00917C0A">
      <w:pPr>
        <w:numPr>
          <w:ilvl w:val="0"/>
          <w:numId w:val="8"/>
        </w:numPr>
        <w:pBdr>
          <w:top w:val="nil"/>
          <w:left w:val="nil"/>
          <w:bottom w:val="nil"/>
          <w:right w:val="nil"/>
          <w:between w:val="nil"/>
        </w:pBdr>
        <w:spacing w:before="240" w:after="160" w:line="360" w:lineRule="auto"/>
        <w:ind w:left="567" w:right="900" w:hanging="28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 El plazo establecido para la consulta de la información es restrictivo tomando en cuenta el volumen de la información.</w:t>
      </w:r>
    </w:p>
    <w:p w14:paraId="1B3902CF" w14:textId="77777777" w:rsidR="00EE5403" w:rsidRPr="00B95BDF" w:rsidRDefault="00917C0A">
      <w:pPr>
        <w:spacing w:line="360" w:lineRule="auto"/>
        <w:ind w:right="-28"/>
        <w:jc w:val="both"/>
        <w:rPr>
          <w:rFonts w:ascii="Palatino Linotype" w:eastAsia="Palatino Linotype" w:hAnsi="Palatino Linotype" w:cs="Palatino Linotype"/>
          <w:b/>
          <w:sz w:val="22"/>
          <w:szCs w:val="22"/>
        </w:rPr>
      </w:pPr>
      <w:bookmarkStart w:id="9" w:name="_heading=h.4d34og8" w:colFirst="0" w:colLast="0"/>
      <w:bookmarkEnd w:id="9"/>
      <w:r w:rsidRPr="00B95BDF">
        <w:rPr>
          <w:rFonts w:ascii="Palatino Linotype" w:eastAsia="Palatino Linotype" w:hAnsi="Palatino Linotype" w:cs="Palatino Linotype"/>
          <w:sz w:val="22"/>
          <w:szCs w:val="22"/>
        </w:rPr>
        <w:t xml:space="preserve">Conforme a lo anterior, el Sistema Municipal Para el Desarrollo Integral de la Familia de Tlalnepantla de Baz, si bien acreditó la imposibilidad para proporcionar la información a través del Sistema de Acceso a la Información Mexiquense, omitió ponerla a disposición en todas las modalidades posibles, lo cual da como resultado que el agravio resulte </w:t>
      </w:r>
      <w:r w:rsidRPr="00B95BDF">
        <w:rPr>
          <w:rFonts w:ascii="Palatino Linotype" w:eastAsia="Palatino Linotype" w:hAnsi="Palatino Linotype" w:cs="Palatino Linotype"/>
          <w:b/>
          <w:sz w:val="22"/>
          <w:szCs w:val="22"/>
        </w:rPr>
        <w:t>PARCIALMENTE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FUNDADO.</w:t>
      </w:r>
    </w:p>
    <w:p w14:paraId="752D6FD3"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6B27ED6E"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75CC97DC"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44EAB959"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Conforme a lo anterior, se considera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7BD570DB"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4657867B"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tal tesitura, si dentro del transcurso del término señalado en el párrafo anterior,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acude por la información,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levantará un acta de hechos misma que debe ser remitida a este Instituto, por conducto de la </w:t>
      </w:r>
      <w:r w:rsidRPr="00B95BDF">
        <w:rPr>
          <w:rFonts w:ascii="Palatino Linotype" w:eastAsia="Palatino Linotype" w:hAnsi="Palatino Linotype" w:cs="Palatino Linotype"/>
          <w:b/>
          <w:sz w:val="22"/>
          <w:szCs w:val="22"/>
        </w:rPr>
        <w:t>Secretaría Técnica del Pleno</w:t>
      </w:r>
      <w:r w:rsidRPr="00B95BDF">
        <w:rPr>
          <w:rFonts w:ascii="Palatino Linotype" w:eastAsia="Palatino Linotype" w:hAnsi="Palatino Linotype" w:cs="Palatino Linotype"/>
          <w:sz w:val="22"/>
          <w:szCs w:val="22"/>
        </w:rPr>
        <w:t xml:space="preserve">, junto con el acuse de recibo de la información del Particular; sin embargo, si una vez fenecido el plazo, no acudiera por los documentos ordenados,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mediante acuerdo dará por concluida la solicitud y podrá, de ser el caso, realizar la destrucción del material en el que se reprodujo, situación que también deberá informar a este Instituto, por el mismo conducto.</w:t>
      </w:r>
    </w:p>
    <w:p w14:paraId="26CEFF84"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6E2D34D4" w14:textId="77777777" w:rsidR="00EE5403" w:rsidRPr="00B95BDF" w:rsidRDefault="00917C0A">
      <w:pPr>
        <w:spacing w:line="360" w:lineRule="auto"/>
        <w:jc w:val="both"/>
        <w:rPr>
          <w:rFonts w:ascii="Palatino Linotype" w:eastAsia="Palatino Linotype" w:hAnsi="Palatino Linotype" w:cs="Palatino Linotype"/>
          <w:sz w:val="22"/>
          <w:szCs w:val="22"/>
        </w:rPr>
      </w:pPr>
      <w:bookmarkStart w:id="10" w:name="_heading=h.1ksv4uv" w:colFirst="0" w:colLast="0"/>
      <w:bookmarkEnd w:id="10"/>
      <w:r w:rsidRPr="00B95BDF">
        <w:rPr>
          <w:rFonts w:ascii="Palatino Linotype" w:eastAsia="Palatino Linotype" w:hAnsi="Palatino Linotype" w:cs="Palatino Linotype"/>
          <w:sz w:val="22"/>
          <w:szCs w:val="22"/>
        </w:rPr>
        <w:t xml:space="preserve">Por lo tanto, los motivos de inconformidad hechos valer por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devienen </w:t>
      </w:r>
      <w:r w:rsidRPr="00B95BDF">
        <w:rPr>
          <w:rFonts w:ascii="Palatino Linotype" w:eastAsia="Palatino Linotype" w:hAnsi="Palatino Linotype" w:cs="Palatino Linotype"/>
          <w:b/>
          <w:sz w:val="22"/>
          <w:szCs w:val="22"/>
        </w:rPr>
        <w:t>parcialmente fundados</w:t>
      </w:r>
      <w:r w:rsidRPr="00B95BDF">
        <w:rPr>
          <w:rFonts w:ascii="Palatino Linotype" w:eastAsia="Palatino Linotype" w:hAnsi="Palatino Linotype" w:cs="Palatino Linotype"/>
          <w:sz w:val="22"/>
          <w:szCs w:val="22"/>
        </w:rPr>
        <w:t xml:space="preserve">, y a efecto de garantizar en su totalidad el derecho de acceso a la información, resulta dable </w:t>
      </w:r>
      <w:r w:rsidRPr="00B95BDF">
        <w:rPr>
          <w:rFonts w:ascii="Palatino Linotype" w:eastAsia="Palatino Linotype" w:hAnsi="Palatino Linotype" w:cs="Palatino Linotype"/>
          <w:b/>
          <w:sz w:val="22"/>
          <w:szCs w:val="22"/>
        </w:rPr>
        <w:t>MODIFICAR</w:t>
      </w:r>
      <w:r w:rsidRPr="00B95BDF">
        <w:rPr>
          <w:rFonts w:ascii="Palatino Linotype" w:eastAsia="Palatino Linotype" w:hAnsi="Palatino Linotype" w:cs="Palatino Linotype"/>
          <w:sz w:val="22"/>
          <w:szCs w:val="22"/>
        </w:rPr>
        <w:t xml:space="preserve"> la respuesta del recurso de revisión </w:t>
      </w:r>
      <w:r w:rsidRPr="00B95BDF">
        <w:rPr>
          <w:rFonts w:ascii="Palatino Linotype" w:eastAsia="Palatino Linotype" w:hAnsi="Palatino Linotype" w:cs="Palatino Linotype"/>
          <w:b/>
          <w:sz w:val="22"/>
          <w:szCs w:val="22"/>
        </w:rPr>
        <w:t>03004/INFOEM/IP/RR/2024</w:t>
      </w:r>
      <w:r w:rsidRPr="00B95BDF">
        <w:rPr>
          <w:rFonts w:ascii="Palatino Linotype" w:eastAsia="Palatino Linotype" w:hAnsi="Palatino Linotype" w:cs="Palatino Linotype"/>
          <w:sz w:val="22"/>
          <w:szCs w:val="22"/>
        </w:rPr>
        <w:t xml:space="preserve">, para ordenar la entrega de los expedientes que se encuentren </w:t>
      </w:r>
      <w:r w:rsidRPr="00B95BDF">
        <w:rPr>
          <w:rFonts w:ascii="Palatino Linotype" w:eastAsia="Palatino Linotype" w:hAnsi="Palatino Linotype" w:cs="Palatino Linotype"/>
          <w:sz w:val="22"/>
          <w:szCs w:val="22"/>
        </w:rPr>
        <w:lastRenderedPageBreak/>
        <w:t xml:space="preserve">concluidos, en los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ha tenido representación jurídica, en juicios en materia familiar de los años 2022 y 2023, el acuerdo del Comité de Transparencia en el que se clasifique como información reservada los expedientes en los que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haya tenido representación jurídica, en juicios en materia familiar de los años 2022 y 2023, que a la fecha de la solicitud no hayan causado estado, de conformidad con los artículos 128, 129, 135 y 140, fracción VIII de la Ley de Transparencia y Acceso a la Información Pública del Estado de México y Municipios y los oficios firmados por el titular de la Dirección de Jurídico del DIF de Tlalnepantla, también por los años 2022 y 2023</w:t>
      </w:r>
      <w:r w:rsidRPr="00B95BDF">
        <w:rPr>
          <w:rFonts w:ascii="Palatino Linotype" w:eastAsia="Palatino Linotype" w:hAnsi="Palatino Linotype" w:cs="Palatino Linotype"/>
          <w:b/>
          <w:sz w:val="22"/>
          <w:szCs w:val="22"/>
        </w:rPr>
        <w:t>, en versión pública, conforme al considerando quinto</w:t>
      </w:r>
      <w:r w:rsidRPr="00B95BDF">
        <w:rPr>
          <w:rFonts w:ascii="Palatino Linotype" w:eastAsia="Palatino Linotype" w:hAnsi="Palatino Linotype" w:cs="Palatino Linotype"/>
          <w:sz w:val="22"/>
          <w:szCs w:val="22"/>
        </w:rPr>
        <w:t>,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w:t>
      </w:r>
    </w:p>
    <w:p w14:paraId="5750ACF7"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4D0854A0" w14:textId="77777777" w:rsidR="00EE5403" w:rsidRPr="00B95BDF" w:rsidRDefault="00917C0A">
      <w:pPr>
        <w:spacing w:line="360" w:lineRule="auto"/>
        <w:jc w:val="both"/>
      </w:pPr>
      <w:r w:rsidRPr="00B95BDF">
        <w:rPr>
          <w:rFonts w:ascii="Palatino Linotype" w:eastAsia="Palatino Linotype" w:hAnsi="Palatino Linotype" w:cs="Palatino Linotype"/>
          <w:sz w:val="22"/>
          <w:szCs w:val="22"/>
        </w:rPr>
        <w:t xml:space="preserve">Sin contrariar lo anterior, toda vez que la normatividad aplicable al caso concreto no establece como una obligación forzosa por parte de los entes públicos de generar oficios, para el caso de que los </w:t>
      </w:r>
      <w:r w:rsidRPr="00B95BDF">
        <w:rPr>
          <w:rFonts w:ascii="Palatino Linotype" w:eastAsia="Palatino Linotype" w:hAnsi="Palatino Linotype" w:cs="Palatino Linotype"/>
          <w:b/>
          <w:sz w:val="22"/>
          <w:szCs w:val="22"/>
          <w:u w:val="single"/>
        </w:rPr>
        <w:t>oficios firmados por la persona titular de la Dirección Jurídica de los años 2022 y 2023,</w:t>
      </w:r>
      <w:r w:rsidRPr="00B95BDF">
        <w:rPr>
          <w:rFonts w:ascii="Palatino Linotype" w:eastAsia="Palatino Linotype" w:hAnsi="Palatino Linotype" w:cs="Palatino Linotype"/>
          <w:sz w:val="22"/>
          <w:szCs w:val="22"/>
          <w:u w:val="single"/>
        </w:rPr>
        <w:t xml:space="preserve"> </w:t>
      </w:r>
      <w:r w:rsidRPr="00B95BDF">
        <w:rPr>
          <w:rFonts w:ascii="Palatino Linotype" w:eastAsia="Palatino Linotype" w:hAnsi="Palatino Linotype" w:cs="Palatino Linotype"/>
          <w:b/>
          <w:sz w:val="22"/>
          <w:szCs w:val="22"/>
          <w:u w:val="single"/>
        </w:rPr>
        <w:t>no se hubieran generado o se hubieran cancelado,</w:t>
      </w:r>
      <w:r w:rsidRPr="00B95BDF">
        <w:rPr>
          <w:rFonts w:ascii="Palatino Linotype" w:eastAsia="Palatino Linotype" w:hAnsi="Palatino Linotype" w:cs="Palatino Linotype"/>
          <w:sz w:val="22"/>
          <w:szCs w:val="22"/>
        </w:rPr>
        <w:t xml:space="preserve">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w:t>
      </w:r>
      <w:r w:rsidRPr="00B95BDF">
        <w:rPr>
          <w:rFonts w:ascii="Palatino Linotype" w:eastAsia="Palatino Linotype" w:hAnsi="Palatino Linotype" w:cs="Palatino Linotype"/>
        </w:rPr>
        <w:t>a saber:</w:t>
      </w:r>
    </w:p>
    <w:p w14:paraId="53A3503F" w14:textId="77777777" w:rsidR="00EE5403" w:rsidRPr="00B95BDF" w:rsidRDefault="00917C0A">
      <w:pPr>
        <w:pBdr>
          <w:top w:val="nil"/>
          <w:left w:val="nil"/>
          <w:bottom w:val="nil"/>
          <w:right w:val="nil"/>
          <w:between w:val="nil"/>
        </w:pBdr>
        <w:ind w:left="851" w:right="616"/>
        <w:jc w:val="both"/>
      </w:pPr>
      <w:r w:rsidRPr="00B95BDF">
        <w:rPr>
          <w:rFonts w:ascii="Palatino Linotype" w:eastAsia="Palatino Linotype" w:hAnsi="Palatino Linotype" w:cs="Palatino Linotype"/>
          <w:i/>
          <w:sz w:val="22"/>
          <w:szCs w:val="22"/>
        </w:rPr>
        <w:t>“Artículo 19…</w:t>
      </w:r>
    </w:p>
    <w:p w14:paraId="3B4A5DB9" w14:textId="77777777" w:rsidR="00EE5403" w:rsidRPr="00B95BDF" w:rsidRDefault="00917C0A">
      <w:pPr>
        <w:pBdr>
          <w:top w:val="nil"/>
          <w:left w:val="nil"/>
          <w:bottom w:val="nil"/>
          <w:right w:val="nil"/>
          <w:between w:val="nil"/>
        </w:pBdr>
        <w:ind w:left="851" w:right="616"/>
        <w:jc w:val="both"/>
      </w:pPr>
      <w:r w:rsidRPr="00B95BD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EFA5E12" w14:textId="77777777" w:rsidR="00EE5403" w:rsidRPr="00B95BDF" w:rsidRDefault="00EE5403"/>
    <w:p w14:paraId="55F7A68A" w14:textId="77777777" w:rsidR="00EE5403" w:rsidRPr="00B95BDF" w:rsidRDefault="00917C0A">
      <w:pPr>
        <w:tabs>
          <w:tab w:val="left" w:pos="6103"/>
        </w:tabs>
        <w:spacing w:before="240" w:after="240"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lastRenderedPageBreak/>
        <w:t xml:space="preserve">Por otro lado, no pasa por desapercibido que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 xml:space="preserve">Recurrente </w:t>
      </w:r>
      <w:r w:rsidRPr="00B95BDF">
        <w:rPr>
          <w:rFonts w:ascii="Palatino Linotype" w:eastAsia="Palatino Linotype" w:hAnsi="Palatino Linotype" w:cs="Palatino Linotype"/>
          <w:sz w:val="22"/>
          <w:szCs w:val="22"/>
        </w:rPr>
        <w:t>requirió la información indicada en “</w:t>
      </w:r>
      <w:r w:rsidRPr="00B95BDF">
        <w:rPr>
          <w:rFonts w:ascii="Palatino Linotype" w:eastAsia="Palatino Linotype" w:hAnsi="Palatino Linotype" w:cs="Palatino Linotype"/>
          <w:b/>
          <w:sz w:val="22"/>
          <w:szCs w:val="22"/>
        </w:rPr>
        <w:t>copia simple</w:t>
      </w:r>
      <w:r w:rsidRPr="00B95BDF">
        <w:rPr>
          <w:rFonts w:ascii="Palatino Linotype" w:eastAsia="Palatino Linotype" w:hAnsi="Palatino Linotype" w:cs="Palatino Linotype"/>
          <w:sz w:val="22"/>
          <w:szCs w:val="22"/>
        </w:rPr>
        <w:t xml:space="preserve">”, en este sentido, lo idóneo es ordenar la entrega de la información, a través del </w:t>
      </w:r>
      <w:r w:rsidRPr="00B95BDF">
        <w:rPr>
          <w:rFonts w:ascii="Palatino Linotype" w:eastAsia="Palatino Linotype" w:hAnsi="Palatino Linotype" w:cs="Palatino Linotype"/>
          <w:b/>
          <w:sz w:val="22"/>
          <w:szCs w:val="22"/>
        </w:rPr>
        <w:t>SAIMEX</w:t>
      </w:r>
      <w:r w:rsidRPr="00B95BDF">
        <w:rPr>
          <w:rFonts w:ascii="Palatino Linotype" w:eastAsia="Palatino Linotype" w:hAnsi="Palatino Linotype" w:cs="Palatino Linotype"/>
          <w:sz w:val="22"/>
          <w:szCs w:val="22"/>
        </w:rPr>
        <w:t xml:space="preserve">, puesto que, al ser un documento electrónico o digitalizado, cuentan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B95BDF">
        <w:rPr>
          <w:rFonts w:ascii="Palatino Linotype" w:eastAsia="Palatino Linotype" w:hAnsi="Palatino Linotype" w:cs="Palatino Linotype"/>
          <w:b/>
          <w:sz w:val="22"/>
          <w:szCs w:val="22"/>
        </w:rPr>
        <w:t>sea impreso, lo que se configura como copia simple</w:t>
      </w:r>
      <w:r w:rsidRPr="00B95BDF">
        <w:rPr>
          <w:rFonts w:ascii="Palatino Linotype" w:eastAsia="Palatino Linotype" w:hAnsi="Palatino Linotype" w:cs="Palatino Linotype"/>
          <w:sz w:val="22"/>
          <w:szCs w:val="22"/>
        </w:rPr>
        <w:t xml:space="preserve">; de lo anterior, tenemos que, al ser entregado de forma digital o electrónica a través del </w:t>
      </w:r>
      <w:r w:rsidRPr="00B95BDF">
        <w:rPr>
          <w:rFonts w:ascii="Palatino Linotype" w:eastAsia="Palatino Linotype" w:hAnsi="Palatino Linotype" w:cs="Palatino Linotype"/>
          <w:b/>
          <w:sz w:val="22"/>
          <w:szCs w:val="22"/>
        </w:rPr>
        <w:t>SAIMEX</w:t>
      </w:r>
      <w:r w:rsidRPr="00B95BDF">
        <w:rPr>
          <w:rFonts w:ascii="Palatino Linotype" w:eastAsia="Palatino Linotype" w:hAnsi="Palatino Linotype" w:cs="Palatino Linotype"/>
          <w:sz w:val="22"/>
          <w:szCs w:val="22"/>
        </w:rPr>
        <w:t xml:space="preserve">, como es el caso, la hoy parte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xml:space="preserve"> puede hacer uso de la información a su libre elección.</w:t>
      </w:r>
    </w:p>
    <w:p w14:paraId="18BCD959"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Quinto. Versión Pública. </w:t>
      </w:r>
      <w:r w:rsidRPr="00B95BDF">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xml:space="preserve"> sin menoscabar el derecho a la protección de los datos personales de terceros.</w:t>
      </w:r>
    </w:p>
    <w:p w14:paraId="1FEADD50"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1038FF76" w14:textId="77777777" w:rsidR="00EE5403" w:rsidRPr="00B95BDF" w:rsidRDefault="00917C0A">
      <w:pPr>
        <w:ind w:left="993" w:right="1041"/>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 xml:space="preserve"> “Artículo 3. Para los efectos de la presente Ley se entenderá por:</w:t>
      </w:r>
    </w:p>
    <w:p w14:paraId="75AD0A96"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lastRenderedPageBreak/>
        <w:t>IX. Datos personales:</w:t>
      </w:r>
      <w:r w:rsidRPr="00B95BDF">
        <w:rPr>
          <w:rFonts w:ascii="Palatino Linotype" w:eastAsia="Palatino Linotype" w:hAnsi="Palatino Linotype" w:cs="Palatino Linotype"/>
          <w:i/>
          <w:sz w:val="22"/>
          <w:szCs w:val="22"/>
        </w:rPr>
        <w:t xml:space="preserve"> </w:t>
      </w:r>
      <w:r w:rsidRPr="00B95BDF">
        <w:rPr>
          <w:rFonts w:ascii="Palatino Linotype" w:eastAsia="Palatino Linotype" w:hAnsi="Palatino Linotype" w:cs="Palatino Linotype"/>
          <w:b/>
          <w:i/>
          <w:sz w:val="22"/>
          <w:szCs w:val="22"/>
        </w:rPr>
        <w:t>La información concerniente a una persona, identificada o identificable</w:t>
      </w:r>
      <w:r w:rsidRPr="00B95BDF">
        <w:rPr>
          <w:rFonts w:ascii="Palatino Linotype" w:eastAsia="Palatino Linotype" w:hAnsi="Palatino Linotype" w:cs="Palatino Linotype"/>
          <w:i/>
          <w:sz w:val="22"/>
          <w:szCs w:val="22"/>
        </w:rPr>
        <w:t xml:space="preserve"> según lo dispuesto por la Ley de Protección de Datos Personales del Estado de México;</w:t>
      </w:r>
    </w:p>
    <w:p w14:paraId="0A7C0997"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XX. Información clasificada:</w:t>
      </w:r>
      <w:r w:rsidRPr="00B95BDF">
        <w:rPr>
          <w:rFonts w:ascii="Palatino Linotype" w:eastAsia="Palatino Linotype" w:hAnsi="Palatino Linotype" w:cs="Palatino Linotype"/>
          <w:i/>
          <w:sz w:val="22"/>
          <w:szCs w:val="22"/>
        </w:rPr>
        <w:t xml:space="preserve"> Aquella considerada por la presente Ley como reservada o confidencial;</w:t>
      </w:r>
    </w:p>
    <w:p w14:paraId="5388AB50"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XXXII. Protección de Datos Personales:</w:t>
      </w:r>
      <w:r w:rsidRPr="00B95BD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D210483"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XLV. Versión pública</w:t>
      </w:r>
      <w:r w:rsidRPr="00B95BD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6B6F75F" w14:textId="77777777" w:rsidR="00EE5403" w:rsidRPr="00B95BDF" w:rsidRDefault="00EE5403">
      <w:pPr>
        <w:ind w:left="993" w:right="1041"/>
        <w:jc w:val="both"/>
        <w:rPr>
          <w:rFonts w:ascii="Palatino Linotype" w:eastAsia="Palatino Linotype" w:hAnsi="Palatino Linotype" w:cs="Palatino Linotype"/>
          <w:i/>
          <w:sz w:val="22"/>
          <w:szCs w:val="22"/>
        </w:rPr>
      </w:pPr>
    </w:p>
    <w:p w14:paraId="243CD2ED"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“Artículo 6.</w:t>
      </w:r>
      <w:r w:rsidRPr="00B95BD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7498A7" w14:textId="77777777" w:rsidR="00EE5403" w:rsidRPr="00B95BDF" w:rsidRDefault="00EE5403">
      <w:pPr>
        <w:ind w:left="993" w:right="1041"/>
        <w:jc w:val="both"/>
        <w:rPr>
          <w:rFonts w:ascii="Palatino Linotype" w:eastAsia="Palatino Linotype" w:hAnsi="Palatino Linotype" w:cs="Palatino Linotype"/>
          <w:i/>
          <w:sz w:val="22"/>
          <w:szCs w:val="22"/>
        </w:rPr>
      </w:pPr>
    </w:p>
    <w:p w14:paraId="30110E3E" w14:textId="77777777" w:rsidR="00EE5403" w:rsidRPr="00B95BDF" w:rsidRDefault="00917C0A">
      <w:pPr>
        <w:ind w:left="993" w:right="1041"/>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“Artículo 137.</w:t>
      </w:r>
      <w:r w:rsidRPr="00B95BD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95C369E" w14:textId="77777777" w:rsidR="00EE5403" w:rsidRPr="00B95BDF" w:rsidRDefault="00EE5403">
      <w:pPr>
        <w:ind w:left="993" w:right="1041"/>
        <w:jc w:val="both"/>
        <w:rPr>
          <w:rFonts w:ascii="Palatino Linotype" w:eastAsia="Palatino Linotype" w:hAnsi="Palatino Linotype" w:cs="Palatino Linotype"/>
          <w:b/>
          <w:i/>
          <w:sz w:val="22"/>
          <w:szCs w:val="22"/>
        </w:rPr>
      </w:pPr>
    </w:p>
    <w:p w14:paraId="01A819ED"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“Artículo 143</w:t>
      </w:r>
      <w:r w:rsidRPr="00B95BD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8F75A5D"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I.</w:t>
      </w:r>
      <w:r w:rsidRPr="00B95BD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4525D48"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6D15AAD" w14:textId="77777777" w:rsidR="00EE5403" w:rsidRPr="00B95BDF" w:rsidRDefault="00917C0A">
      <w:pPr>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389073EE" w14:textId="77777777" w:rsidR="00EE5403" w:rsidRPr="00B95BDF" w:rsidRDefault="00EE5403">
      <w:pPr>
        <w:ind w:left="993" w:right="1041"/>
        <w:jc w:val="both"/>
        <w:rPr>
          <w:rFonts w:ascii="Palatino Linotype" w:eastAsia="Palatino Linotype" w:hAnsi="Palatino Linotype" w:cs="Palatino Linotype"/>
          <w:i/>
          <w:sz w:val="22"/>
          <w:szCs w:val="22"/>
        </w:rPr>
      </w:pPr>
    </w:p>
    <w:p w14:paraId="18BC41C9" w14:textId="77777777" w:rsidR="00EE5403" w:rsidRPr="00B95BDF" w:rsidRDefault="00917C0A">
      <w:pPr>
        <w:spacing w:line="360" w:lineRule="auto"/>
        <w:ind w:right="51"/>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9348B13" w14:textId="77777777" w:rsidR="00EE5403" w:rsidRPr="00B95BDF" w:rsidRDefault="00EE5403">
      <w:pPr>
        <w:spacing w:line="360" w:lineRule="auto"/>
        <w:ind w:right="51"/>
        <w:jc w:val="both"/>
        <w:rPr>
          <w:rFonts w:ascii="Palatino Linotype" w:eastAsia="Palatino Linotype" w:hAnsi="Palatino Linotype" w:cs="Palatino Linotype"/>
          <w:sz w:val="22"/>
          <w:szCs w:val="22"/>
        </w:rPr>
      </w:pPr>
    </w:p>
    <w:p w14:paraId="3FC7FD38" w14:textId="77777777" w:rsidR="00EE5403" w:rsidRPr="00B95BDF" w:rsidRDefault="00917C0A">
      <w:pPr>
        <w:spacing w:line="360" w:lineRule="auto"/>
        <w:ind w:right="50"/>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64A125A" w14:textId="77777777" w:rsidR="00EE5403" w:rsidRPr="00B95BDF" w:rsidRDefault="00EE5403">
      <w:pPr>
        <w:spacing w:line="360" w:lineRule="auto"/>
        <w:ind w:right="51"/>
        <w:jc w:val="both"/>
        <w:rPr>
          <w:rFonts w:ascii="Palatino Linotype" w:eastAsia="Palatino Linotype" w:hAnsi="Palatino Linotype" w:cs="Palatino Linotype"/>
          <w:sz w:val="22"/>
          <w:szCs w:val="22"/>
        </w:rPr>
      </w:pPr>
    </w:p>
    <w:p w14:paraId="12AEEBB4" w14:textId="77777777" w:rsidR="00EE5403" w:rsidRPr="00B95BDF" w:rsidRDefault="00917C0A">
      <w:pPr>
        <w:spacing w:line="360" w:lineRule="auto"/>
        <w:ind w:right="51"/>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5B95062C" w14:textId="77777777" w:rsidR="00EE5403" w:rsidRPr="00B95BDF" w:rsidRDefault="00EE5403">
      <w:pPr>
        <w:spacing w:line="360" w:lineRule="auto"/>
        <w:ind w:right="51"/>
        <w:jc w:val="both"/>
        <w:rPr>
          <w:rFonts w:ascii="Palatino Linotype" w:eastAsia="Palatino Linotype" w:hAnsi="Palatino Linotype" w:cs="Palatino Linotype"/>
          <w:sz w:val="22"/>
          <w:szCs w:val="22"/>
        </w:rPr>
      </w:pPr>
    </w:p>
    <w:p w14:paraId="7F1A9F25" w14:textId="77777777" w:rsidR="00EE5403" w:rsidRPr="00B95BDF" w:rsidRDefault="00917C0A">
      <w:pPr>
        <w:ind w:left="992" w:right="1043"/>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lastRenderedPageBreak/>
        <w:t>“Artículo 49.</w:t>
      </w:r>
      <w:r w:rsidRPr="00B95BDF">
        <w:rPr>
          <w:rFonts w:ascii="Palatino Linotype" w:eastAsia="Palatino Linotype" w:hAnsi="Palatino Linotype" w:cs="Palatino Linotype"/>
          <w:i/>
          <w:sz w:val="22"/>
          <w:szCs w:val="22"/>
        </w:rPr>
        <w:t xml:space="preserve"> </w:t>
      </w:r>
      <w:r w:rsidRPr="00B95BDF">
        <w:rPr>
          <w:rFonts w:ascii="Palatino Linotype" w:eastAsia="Palatino Linotype" w:hAnsi="Palatino Linotype" w:cs="Palatino Linotype"/>
          <w:b/>
          <w:i/>
          <w:sz w:val="22"/>
          <w:szCs w:val="22"/>
        </w:rPr>
        <w:t>Los Comités de Transparencia</w:t>
      </w:r>
      <w:r w:rsidRPr="00B95BDF">
        <w:rPr>
          <w:rFonts w:ascii="Palatino Linotype" w:eastAsia="Palatino Linotype" w:hAnsi="Palatino Linotype" w:cs="Palatino Linotype"/>
          <w:i/>
          <w:sz w:val="22"/>
          <w:szCs w:val="22"/>
        </w:rPr>
        <w:t xml:space="preserve"> tendrán las siguientes atribuciones:</w:t>
      </w:r>
    </w:p>
    <w:p w14:paraId="3B58547D" w14:textId="77777777" w:rsidR="00EE5403" w:rsidRPr="00B95BDF" w:rsidRDefault="00917C0A">
      <w:pPr>
        <w:ind w:left="992" w:right="1043"/>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VIII. Aprobar, modificar o revocar la clasificación de la información</w:t>
      </w:r>
      <w:r w:rsidRPr="00B95BDF">
        <w:rPr>
          <w:rFonts w:ascii="Palatino Linotype" w:eastAsia="Palatino Linotype" w:hAnsi="Palatino Linotype" w:cs="Palatino Linotype"/>
          <w:i/>
          <w:sz w:val="22"/>
          <w:szCs w:val="22"/>
        </w:rPr>
        <w:t>…”</w:t>
      </w:r>
    </w:p>
    <w:p w14:paraId="46AE179A" w14:textId="77777777" w:rsidR="00EE5403" w:rsidRPr="00B95BDF" w:rsidRDefault="00917C0A">
      <w:pPr>
        <w:ind w:left="992" w:right="1043"/>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53.</w:t>
      </w:r>
      <w:r w:rsidRPr="00B95BDF">
        <w:rPr>
          <w:rFonts w:ascii="Palatino Linotype" w:eastAsia="Palatino Linotype" w:hAnsi="Palatino Linotype" w:cs="Palatino Linotype"/>
          <w:i/>
          <w:sz w:val="22"/>
          <w:szCs w:val="22"/>
        </w:rPr>
        <w:t xml:space="preserve"> Las </w:t>
      </w:r>
      <w:r w:rsidRPr="00B95BDF">
        <w:rPr>
          <w:rFonts w:ascii="Palatino Linotype" w:eastAsia="Palatino Linotype" w:hAnsi="Palatino Linotype" w:cs="Palatino Linotype"/>
          <w:b/>
          <w:i/>
          <w:sz w:val="22"/>
          <w:szCs w:val="22"/>
        </w:rPr>
        <w:t>Unidades de Transparencia</w:t>
      </w:r>
      <w:r w:rsidRPr="00B95BDF">
        <w:rPr>
          <w:rFonts w:ascii="Palatino Linotype" w:eastAsia="Palatino Linotype" w:hAnsi="Palatino Linotype" w:cs="Palatino Linotype"/>
          <w:i/>
          <w:sz w:val="22"/>
          <w:szCs w:val="22"/>
        </w:rPr>
        <w:t xml:space="preserve"> tendrán las siguientes </w:t>
      </w:r>
      <w:r w:rsidRPr="00B95BDF">
        <w:rPr>
          <w:rFonts w:ascii="Palatino Linotype" w:eastAsia="Palatino Linotype" w:hAnsi="Palatino Linotype" w:cs="Palatino Linotype"/>
          <w:b/>
          <w:i/>
          <w:sz w:val="22"/>
          <w:szCs w:val="22"/>
        </w:rPr>
        <w:t>funciones</w:t>
      </w:r>
      <w:r w:rsidRPr="00B95BDF">
        <w:rPr>
          <w:rFonts w:ascii="Palatino Linotype" w:eastAsia="Palatino Linotype" w:hAnsi="Palatino Linotype" w:cs="Palatino Linotype"/>
          <w:i/>
          <w:sz w:val="22"/>
          <w:szCs w:val="22"/>
        </w:rPr>
        <w:t>:</w:t>
      </w:r>
    </w:p>
    <w:p w14:paraId="1FCC40C5" w14:textId="77777777" w:rsidR="00EE5403" w:rsidRPr="00B95BDF" w:rsidRDefault="00917C0A">
      <w:pPr>
        <w:ind w:left="992" w:right="1043"/>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X. Presentar ante el Comité, el proyecto de clasificación de información</w:t>
      </w:r>
      <w:r w:rsidRPr="00B95BDF">
        <w:rPr>
          <w:rFonts w:ascii="Palatino Linotype" w:eastAsia="Palatino Linotype" w:hAnsi="Palatino Linotype" w:cs="Palatino Linotype"/>
          <w:i/>
          <w:sz w:val="22"/>
          <w:szCs w:val="22"/>
        </w:rPr>
        <w:t xml:space="preserve">…” </w:t>
      </w:r>
    </w:p>
    <w:p w14:paraId="79DD8687" w14:textId="77777777" w:rsidR="00EE5403" w:rsidRPr="00B95BDF" w:rsidRDefault="00917C0A">
      <w:pPr>
        <w:ind w:left="992" w:right="1043"/>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“Artículo 59.</w:t>
      </w:r>
      <w:r w:rsidRPr="00B95BDF">
        <w:rPr>
          <w:rFonts w:ascii="Palatino Linotype" w:eastAsia="Palatino Linotype" w:hAnsi="Palatino Linotype" w:cs="Palatino Linotype"/>
          <w:i/>
          <w:sz w:val="22"/>
          <w:szCs w:val="22"/>
        </w:rPr>
        <w:t xml:space="preserve"> Los </w:t>
      </w:r>
      <w:r w:rsidRPr="00B95BDF">
        <w:rPr>
          <w:rFonts w:ascii="Palatino Linotype" w:eastAsia="Palatino Linotype" w:hAnsi="Palatino Linotype" w:cs="Palatino Linotype"/>
          <w:b/>
          <w:i/>
          <w:sz w:val="22"/>
          <w:szCs w:val="22"/>
        </w:rPr>
        <w:t>servidores públicos habilitados</w:t>
      </w:r>
      <w:r w:rsidRPr="00B95BDF">
        <w:rPr>
          <w:rFonts w:ascii="Palatino Linotype" w:eastAsia="Palatino Linotype" w:hAnsi="Palatino Linotype" w:cs="Palatino Linotype"/>
          <w:i/>
          <w:sz w:val="22"/>
          <w:szCs w:val="22"/>
        </w:rPr>
        <w:t xml:space="preserve"> tendrán las </w:t>
      </w:r>
      <w:r w:rsidRPr="00B95BDF">
        <w:rPr>
          <w:rFonts w:ascii="Palatino Linotype" w:eastAsia="Palatino Linotype" w:hAnsi="Palatino Linotype" w:cs="Palatino Linotype"/>
          <w:b/>
          <w:i/>
          <w:sz w:val="22"/>
          <w:szCs w:val="22"/>
        </w:rPr>
        <w:t>funciones</w:t>
      </w:r>
      <w:r w:rsidRPr="00B95BDF">
        <w:rPr>
          <w:rFonts w:ascii="Palatino Linotype" w:eastAsia="Palatino Linotype" w:hAnsi="Palatino Linotype" w:cs="Palatino Linotype"/>
          <w:i/>
          <w:sz w:val="22"/>
          <w:szCs w:val="22"/>
        </w:rPr>
        <w:t xml:space="preserve"> siguientes:</w:t>
      </w:r>
    </w:p>
    <w:p w14:paraId="427ED564" w14:textId="77777777" w:rsidR="00EE5403" w:rsidRPr="00B95BDF" w:rsidRDefault="00917C0A">
      <w:pPr>
        <w:ind w:left="992" w:right="1043"/>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95BDF">
        <w:rPr>
          <w:rFonts w:ascii="Palatino Linotype" w:eastAsia="Palatino Linotype" w:hAnsi="Palatino Linotype" w:cs="Palatino Linotype"/>
          <w:i/>
          <w:sz w:val="22"/>
          <w:szCs w:val="22"/>
        </w:rPr>
        <w:t xml:space="preserve">, la cual tendrá los fundamentos y argumentos en que se basa dicha propuesta…” </w:t>
      </w:r>
    </w:p>
    <w:p w14:paraId="16CD29FC" w14:textId="77777777" w:rsidR="00EE5403" w:rsidRPr="00B95BDF" w:rsidRDefault="00EE5403">
      <w:pPr>
        <w:ind w:left="992" w:right="1043"/>
        <w:jc w:val="both"/>
        <w:rPr>
          <w:rFonts w:ascii="Palatino Linotype" w:eastAsia="Palatino Linotype" w:hAnsi="Palatino Linotype" w:cs="Palatino Linotype"/>
          <w:i/>
          <w:sz w:val="22"/>
          <w:szCs w:val="22"/>
        </w:rPr>
      </w:pPr>
    </w:p>
    <w:p w14:paraId="57D0550E"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E5BCFE0"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342C3C1"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35C94DC" w14:textId="77777777" w:rsidR="00EE5403" w:rsidRPr="00B95BDF" w:rsidRDefault="00917C0A">
      <w:pPr>
        <w:spacing w:after="240"/>
        <w:ind w:left="993" w:right="1041"/>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149.</w:t>
      </w:r>
      <w:r w:rsidRPr="00B95BDF">
        <w:rPr>
          <w:rFonts w:ascii="Palatino Linotype" w:eastAsia="Palatino Linotype" w:hAnsi="Palatino Linotype" w:cs="Palatino Linotype"/>
          <w:i/>
          <w:sz w:val="22"/>
          <w:szCs w:val="22"/>
        </w:rPr>
        <w:t xml:space="preserve"> El </w:t>
      </w:r>
      <w:r w:rsidRPr="00B95BDF">
        <w:rPr>
          <w:rFonts w:ascii="Palatino Linotype" w:eastAsia="Palatino Linotype" w:hAnsi="Palatino Linotype" w:cs="Palatino Linotype"/>
          <w:b/>
          <w:i/>
          <w:sz w:val="22"/>
          <w:szCs w:val="22"/>
        </w:rPr>
        <w:t>acuerdo que clasifique la información como confidencial</w:t>
      </w:r>
      <w:r w:rsidRPr="00B95BD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51C79C47" w14:textId="77777777" w:rsidR="00EE5403" w:rsidRPr="00B95BDF" w:rsidRDefault="00917C0A">
      <w:pPr>
        <w:spacing w:line="360" w:lineRule="auto"/>
        <w:ind w:right="51"/>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Es decir,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w:t>
      </w:r>
      <w:r w:rsidRPr="00B95BDF">
        <w:rPr>
          <w:rFonts w:ascii="Palatino Linotype" w:eastAsia="Palatino Linotype" w:hAnsi="Palatino Linotype" w:cs="Palatino Linotype"/>
          <w:sz w:val="22"/>
          <w:szCs w:val="22"/>
        </w:rPr>
        <w:lastRenderedPageBreak/>
        <w:t>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1C34042" w14:textId="77777777" w:rsidR="00EE5403" w:rsidRPr="00B95BDF" w:rsidRDefault="00917C0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Nombre de las partes en juicios.</w:t>
      </w:r>
    </w:p>
    <w:p w14:paraId="6A851677"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0EBBC20E"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4103900"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Al respecto, cabe precisar que el nombre de la persona demandante debe ser motivo de protección, ello en atención a que este Órgano Garante debe ofrecer la mayor protección de una persona que al demandar ejercita su derecho a reclamar ante un órgano el cumplimiento de sus derechos civiles, por lo que, dar a conocer su nombre puede hacerlo identificable.</w:t>
      </w:r>
    </w:p>
    <w:p w14:paraId="0D678B65"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85B65BA"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Por lo anterior, se determina que si una persona presenta una demanda, constituye un dato personal confidencial y debe ser protegido en términos del artículo 143, fracción I de la Ley de Transparencia y Acceso a la Información Pública del Estado de México y Municipios.</w:t>
      </w:r>
    </w:p>
    <w:p w14:paraId="455A67B6"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38499479" w14:textId="77777777" w:rsidR="00EE5403" w:rsidRPr="00B95BDF" w:rsidRDefault="00917C0A">
      <w:pPr>
        <w:numPr>
          <w:ilvl w:val="0"/>
          <w:numId w:val="5"/>
        </w:numPr>
        <w:spacing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Representantes legales del Actor y Sujeto Obligado</w:t>
      </w:r>
    </w:p>
    <w:p w14:paraId="79D1BA40"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Al respecto, resulta necesario señalar que las personas son representadas mediante personas físicas, debidamente acreditadas para realizar determinados actos a nombre de esta, por lo que, el nombre de dichos individuos no puede ser objeto de clasificación, en virtud de que la representación persigue la finalidad de dar certeza jurídica a los actos que realiza, en el presente caso, la representación de las partes en un Juicio.</w:t>
      </w:r>
    </w:p>
    <w:p w14:paraId="7DE31059"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0AF72424"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En esa tesitura, la representación de las personas se realizará por medio de representantes o apoderados, y en el caso específico de las sociedades mercantiles, dicha representación se otorgará mediante instrumento público. Ello, toda vez que la representación legal debe ser conocida para surtir efectos ante terceros; es decir, la publicidad de esta tiene por objeto dar certeza a quienes se relacionan con la persona representada, que las actuaciones de su representante están previamente autorizadas y que surtirán efectos legales a que constriñe cada acto.</w:t>
      </w:r>
    </w:p>
    <w:p w14:paraId="46322BA8" w14:textId="77777777" w:rsidR="00EE5403" w:rsidRPr="00B95BDF" w:rsidRDefault="00EE5403">
      <w:pPr>
        <w:spacing w:line="360" w:lineRule="auto"/>
        <w:jc w:val="both"/>
        <w:rPr>
          <w:rFonts w:ascii="Palatino Linotype" w:eastAsia="Palatino Linotype" w:hAnsi="Palatino Linotype" w:cs="Palatino Linotype"/>
          <w:sz w:val="20"/>
          <w:szCs w:val="20"/>
        </w:rPr>
      </w:pPr>
    </w:p>
    <w:p w14:paraId="0DC196D0"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 los representantes dentro de un juicio, </w:t>
      </w:r>
      <w:r w:rsidRPr="00B95BDF">
        <w:rPr>
          <w:rFonts w:ascii="Palatino Linotype" w:eastAsia="Palatino Linotype" w:hAnsi="Palatino Linotype" w:cs="Palatino Linotype"/>
          <w:b/>
          <w:sz w:val="22"/>
          <w:szCs w:val="22"/>
        </w:rPr>
        <w:t xml:space="preserve">es público, </w:t>
      </w:r>
      <w:r w:rsidRPr="00B95BDF">
        <w:rPr>
          <w:rFonts w:ascii="Palatino Linotype" w:eastAsia="Palatino Linotype" w:hAnsi="Palatino Linotype" w:cs="Palatino Linotype"/>
          <w:sz w:val="22"/>
          <w:szCs w:val="22"/>
        </w:rPr>
        <w:t xml:space="preserve">toda vez que por conducto de este, una persona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56C367AD"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216D47F1"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lastRenderedPageBreak/>
        <w:t>Lo anterior, se robustece con el criterio 01/19, emitido por el Instituto Nacional de Transparencia, Acceso a la Información Pública y Protección de Datos Personales, que establece lo siguiente:</w:t>
      </w:r>
    </w:p>
    <w:p w14:paraId="786DB832" w14:textId="77777777" w:rsidR="00EE5403" w:rsidRPr="00B95BDF" w:rsidRDefault="00EE5403">
      <w:pPr>
        <w:spacing w:line="360" w:lineRule="auto"/>
        <w:jc w:val="both"/>
        <w:rPr>
          <w:rFonts w:ascii="Palatino Linotype" w:eastAsia="Palatino Linotype" w:hAnsi="Palatino Linotype" w:cs="Palatino Linotype"/>
          <w:sz w:val="20"/>
          <w:szCs w:val="20"/>
        </w:rPr>
      </w:pPr>
    </w:p>
    <w:p w14:paraId="24405997" w14:textId="77777777" w:rsidR="00EE5403" w:rsidRPr="00B95BDF" w:rsidRDefault="00917C0A">
      <w:pPr>
        <w:ind w:left="567" w:right="567"/>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“Datos de identificación del representante o apoderado legal.</w:t>
      </w:r>
      <w:r w:rsidRPr="00B95BDF">
        <w:rPr>
          <w:rFonts w:ascii="Palatino Linotype" w:eastAsia="Palatino Linotype" w:hAnsi="Palatino Linotype" w:cs="Palatino Linotype"/>
          <w:i/>
          <w:sz w:val="22"/>
          <w:szCs w:val="22"/>
        </w:rPr>
        <w:t xml:space="preserve"> </w:t>
      </w:r>
      <w:r w:rsidRPr="00B95BDF">
        <w:rPr>
          <w:rFonts w:ascii="Palatino Linotype" w:eastAsia="Palatino Linotype" w:hAnsi="Palatino Linotype" w:cs="Palatino Linotype"/>
          <w:b/>
          <w:i/>
          <w:sz w:val="22"/>
          <w:szCs w:val="22"/>
        </w:rPr>
        <w:t xml:space="preserve">Naturaleza jurídica. </w:t>
      </w:r>
      <w:r w:rsidRPr="00B95BDF">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53B9C069" w14:textId="77777777" w:rsidR="00EE5403" w:rsidRPr="00B95BDF" w:rsidRDefault="00EE5403">
      <w:pPr>
        <w:spacing w:line="360" w:lineRule="auto"/>
        <w:jc w:val="both"/>
        <w:rPr>
          <w:rFonts w:ascii="Palatino Linotype" w:eastAsia="Palatino Linotype" w:hAnsi="Palatino Linotype" w:cs="Palatino Linotype"/>
        </w:rPr>
      </w:pPr>
    </w:p>
    <w:p w14:paraId="18174BB9"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Ante tales situaciones, el nombre del representante legal de las partes no es susceptible de ser clasificado como confidencial, en términos del artículo 143, fracción I de la Ley Federal de Transparencia y Acceso a la Información Pública.</w:t>
      </w:r>
    </w:p>
    <w:p w14:paraId="50C0A7F0"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09F770B7" w14:textId="77777777" w:rsidR="00EE5403" w:rsidRPr="00B95BDF" w:rsidRDefault="00917C0A">
      <w:pPr>
        <w:numPr>
          <w:ilvl w:val="0"/>
          <w:numId w:val="6"/>
        </w:numPr>
        <w:pBdr>
          <w:top w:val="nil"/>
          <w:left w:val="nil"/>
          <w:bottom w:val="nil"/>
          <w:right w:val="nil"/>
          <w:between w:val="nil"/>
        </w:pBdr>
        <w:ind w:left="502" w:hanging="218"/>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Del tratamiento de datos personales de menores de edad. </w:t>
      </w:r>
    </w:p>
    <w:p w14:paraId="74ABDDBD" w14:textId="77777777" w:rsidR="00EE5403" w:rsidRPr="00B95BDF" w:rsidRDefault="00EE5403">
      <w:pPr>
        <w:pBdr>
          <w:top w:val="nil"/>
          <w:left w:val="nil"/>
          <w:bottom w:val="nil"/>
          <w:right w:val="nil"/>
          <w:between w:val="nil"/>
        </w:pBdr>
        <w:shd w:val="clear" w:color="auto" w:fill="FFFFFF"/>
        <w:jc w:val="both"/>
      </w:pPr>
    </w:p>
    <w:p w14:paraId="0066A3E2"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t xml:space="preserve">De conformidad con el artículo 1 de la Ley General de Protección de Datos Personales en Posesión de Sujetos Obligados,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w:t>
      </w:r>
      <w:r w:rsidRPr="00B95BDF">
        <w:rPr>
          <w:rFonts w:ascii="Palatino Linotype" w:eastAsia="Palatino Linotype" w:hAnsi="Palatino Linotype" w:cs="Palatino Linotype"/>
          <w:sz w:val="22"/>
          <w:szCs w:val="22"/>
        </w:rPr>
        <w:lastRenderedPageBreak/>
        <w:t>la niñez, constituido como el eje rector que orienta las determinaciones de los sujetos obligados para cualquier tratamiento de datos que tenga que ver con menores de edad.</w:t>
      </w:r>
    </w:p>
    <w:p w14:paraId="7CA9D144" w14:textId="77777777" w:rsidR="00EE5403" w:rsidRPr="00B95BDF" w:rsidRDefault="00EE5403">
      <w:pPr>
        <w:spacing w:line="360" w:lineRule="auto"/>
        <w:jc w:val="both"/>
        <w:rPr>
          <w:sz w:val="22"/>
          <w:szCs w:val="22"/>
        </w:rPr>
      </w:pPr>
    </w:p>
    <w:p w14:paraId="19CE1871"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t>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destinados a garantizar el pleno desarrollo humano integral, así como el máximo bienestar personal, familiar y social de los niños, niñas y adolescentes. </w:t>
      </w:r>
    </w:p>
    <w:p w14:paraId="128C56C9"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t>Para mejor referencia se cita el artículo 3 de la Convención sobre los Derechos del Niño:</w:t>
      </w:r>
    </w:p>
    <w:p w14:paraId="2CEA052F" w14:textId="77777777" w:rsidR="00EE5403" w:rsidRPr="00B95BDF" w:rsidRDefault="00EE5403">
      <w:pPr>
        <w:pBdr>
          <w:top w:val="nil"/>
          <w:left w:val="nil"/>
          <w:bottom w:val="nil"/>
          <w:right w:val="nil"/>
          <w:between w:val="nil"/>
        </w:pBdr>
        <w:shd w:val="clear" w:color="auto" w:fill="FFFFFF"/>
        <w:spacing w:line="360" w:lineRule="auto"/>
        <w:jc w:val="both"/>
        <w:rPr>
          <w:sz w:val="22"/>
          <w:szCs w:val="22"/>
        </w:rPr>
      </w:pPr>
    </w:p>
    <w:p w14:paraId="28D59D57" w14:textId="77777777" w:rsidR="00EE5403" w:rsidRPr="00B95BDF" w:rsidRDefault="00917C0A">
      <w:pPr>
        <w:pBdr>
          <w:top w:val="nil"/>
          <w:left w:val="nil"/>
          <w:bottom w:val="nil"/>
          <w:right w:val="nil"/>
          <w:between w:val="nil"/>
        </w:pBdr>
        <w:spacing w:line="276" w:lineRule="auto"/>
        <w:ind w:left="567" w:right="567"/>
        <w:jc w:val="both"/>
        <w:rPr>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3 </w:t>
      </w:r>
    </w:p>
    <w:p w14:paraId="2601CE1A" w14:textId="77777777" w:rsidR="00EE5403" w:rsidRPr="00B95BDF" w:rsidRDefault="00917C0A">
      <w:pPr>
        <w:pBdr>
          <w:top w:val="nil"/>
          <w:left w:val="nil"/>
          <w:bottom w:val="nil"/>
          <w:right w:val="nil"/>
          <w:between w:val="nil"/>
        </w:pBdr>
        <w:spacing w:line="276" w:lineRule="auto"/>
        <w:ind w:left="567" w:right="567"/>
        <w:jc w:val="both"/>
        <w:rPr>
          <w:sz w:val="22"/>
          <w:szCs w:val="22"/>
        </w:rPr>
      </w:pPr>
      <w:r w:rsidRPr="00B95BDF">
        <w:rPr>
          <w:rFonts w:ascii="Palatino Linotype" w:eastAsia="Palatino Linotype" w:hAnsi="Palatino Linotype" w:cs="Palatino Linotype"/>
          <w:b/>
          <w:i/>
          <w:sz w:val="22"/>
          <w:szCs w:val="22"/>
        </w:rPr>
        <w:t>1.</w:t>
      </w:r>
      <w:r w:rsidRPr="00B95BDF">
        <w:rPr>
          <w:rFonts w:ascii="Palatino Linotype" w:eastAsia="Palatino Linotype" w:hAnsi="Palatino Linotype" w:cs="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2E4C7777" w14:textId="77777777" w:rsidR="00EE5403" w:rsidRPr="00B95BDF" w:rsidRDefault="00917C0A">
      <w:pPr>
        <w:pBdr>
          <w:top w:val="nil"/>
          <w:left w:val="nil"/>
          <w:bottom w:val="nil"/>
          <w:right w:val="nil"/>
          <w:between w:val="nil"/>
        </w:pBdr>
        <w:spacing w:line="276" w:lineRule="auto"/>
        <w:ind w:left="567" w:right="567"/>
        <w:jc w:val="both"/>
        <w:rPr>
          <w:sz w:val="22"/>
          <w:szCs w:val="22"/>
        </w:rPr>
      </w:pPr>
      <w:r w:rsidRPr="00B95BDF">
        <w:rPr>
          <w:rFonts w:ascii="Palatino Linotype" w:eastAsia="Palatino Linotype" w:hAnsi="Palatino Linotype" w:cs="Palatino Linotype"/>
          <w:b/>
          <w:i/>
          <w:sz w:val="22"/>
          <w:szCs w:val="22"/>
        </w:rPr>
        <w:t>2.</w:t>
      </w:r>
      <w:r w:rsidRPr="00B95BDF">
        <w:rPr>
          <w:rFonts w:ascii="Palatino Linotype" w:eastAsia="Palatino Linotype" w:hAnsi="Palatino Linotype" w:cs="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468FD6AA" w14:textId="77777777" w:rsidR="00EE5403" w:rsidRPr="00B95BDF" w:rsidRDefault="00EE5403">
      <w:pPr>
        <w:spacing w:line="360" w:lineRule="auto"/>
        <w:jc w:val="both"/>
        <w:rPr>
          <w:sz w:val="22"/>
          <w:szCs w:val="22"/>
        </w:rPr>
      </w:pPr>
    </w:p>
    <w:p w14:paraId="172B07B6"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t>Así las cosas, el “principio de interés superior de la niñez” constituye el eje cuya protección deben promover y garantizar los Estados en el ejercicio de sus funciones, por tratarse de un asunto de orden público e interés social.</w:t>
      </w:r>
    </w:p>
    <w:p w14:paraId="68D37D53" w14:textId="77777777" w:rsidR="00EE5403" w:rsidRPr="00B95BDF" w:rsidRDefault="00EE5403">
      <w:pPr>
        <w:spacing w:line="360" w:lineRule="auto"/>
        <w:jc w:val="both"/>
        <w:rPr>
          <w:sz w:val="22"/>
          <w:szCs w:val="22"/>
        </w:rPr>
      </w:pPr>
    </w:p>
    <w:p w14:paraId="147BB970"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lastRenderedPageBreak/>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6985C0D2" w14:textId="77777777" w:rsidR="00EE5403" w:rsidRPr="00B95BDF" w:rsidRDefault="00EE5403">
      <w:pPr>
        <w:spacing w:line="360" w:lineRule="auto"/>
        <w:jc w:val="both"/>
        <w:rPr>
          <w:sz w:val="22"/>
          <w:szCs w:val="22"/>
        </w:rPr>
      </w:pPr>
    </w:p>
    <w:p w14:paraId="4B432EE6" w14:textId="77777777" w:rsidR="00EE5403" w:rsidRPr="00B95BDF" w:rsidRDefault="00917C0A">
      <w:pPr>
        <w:pBdr>
          <w:top w:val="nil"/>
          <w:left w:val="nil"/>
          <w:bottom w:val="nil"/>
          <w:right w:val="nil"/>
          <w:between w:val="nil"/>
        </w:pBdr>
        <w:spacing w:line="276" w:lineRule="auto"/>
        <w:ind w:left="567" w:right="567"/>
        <w:jc w:val="both"/>
        <w:rPr>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2</w:t>
      </w:r>
      <w:r w:rsidRPr="00B95BDF">
        <w:rPr>
          <w:rFonts w:ascii="Palatino Linotype" w:eastAsia="Palatino Linotype" w:hAnsi="Palatino Linotype" w:cs="Palatino Linotype"/>
          <w:i/>
          <w:sz w:val="22"/>
          <w:szCs w:val="22"/>
        </w:rPr>
        <w:t>. Para garantizar la protección de los derechos de niñas, niños y adolescentes, las autoridades realizarán las acciones y tomarán medidas, de conformidad con los principios establecidos en la presente Ley…</w:t>
      </w:r>
    </w:p>
    <w:p w14:paraId="6B6B1BFF" w14:textId="77777777" w:rsidR="00EE5403" w:rsidRPr="00B95BDF" w:rsidRDefault="00917C0A">
      <w:pPr>
        <w:pBdr>
          <w:top w:val="nil"/>
          <w:left w:val="nil"/>
          <w:bottom w:val="nil"/>
          <w:right w:val="nil"/>
          <w:between w:val="nil"/>
        </w:pBdr>
        <w:spacing w:line="276" w:lineRule="auto"/>
        <w:ind w:left="567" w:right="567"/>
        <w:jc w:val="both"/>
        <w:rPr>
          <w:sz w:val="22"/>
          <w:szCs w:val="22"/>
        </w:rPr>
      </w:pPr>
      <w:r w:rsidRPr="00B95BDF">
        <w:rPr>
          <w:rFonts w:ascii="Palatino Linotype" w:eastAsia="Palatino Linotype" w:hAnsi="Palatino Linotype" w:cs="Palatino Linotype"/>
          <w:i/>
          <w:sz w:val="22"/>
          <w:szCs w:val="22"/>
        </w:rPr>
        <w:t>(…)</w:t>
      </w:r>
    </w:p>
    <w:p w14:paraId="071DFBCD" w14:textId="77777777" w:rsidR="00EE5403" w:rsidRPr="00B95BDF" w:rsidRDefault="00EE5403">
      <w:pPr>
        <w:spacing w:line="360" w:lineRule="auto"/>
        <w:jc w:val="both"/>
        <w:rPr>
          <w:sz w:val="22"/>
          <w:szCs w:val="22"/>
        </w:rPr>
      </w:pPr>
    </w:p>
    <w:p w14:paraId="2451AC2F"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t>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 (…)”</w:t>
      </w:r>
    </w:p>
    <w:p w14:paraId="6C475034" w14:textId="77777777" w:rsidR="00EE5403" w:rsidRPr="00B95BDF" w:rsidRDefault="00EE5403">
      <w:pPr>
        <w:spacing w:line="360" w:lineRule="auto"/>
        <w:jc w:val="both"/>
        <w:rPr>
          <w:sz w:val="22"/>
          <w:szCs w:val="22"/>
        </w:rPr>
      </w:pPr>
    </w:p>
    <w:p w14:paraId="06DCBF86" w14:textId="77777777" w:rsidR="00EE5403" w:rsidRPr="00B95BDF" w:rsidRDefault="00917C0A">
      <w:pPr>
        <w:pBdr>
          <w:top w:val="nil"/>
          <w:left w:val="nil"/>
          <w:bottom w:val="nil"/>
          <w:right w:val="nil"/>
          <w:between w:val="nil"/>
        </w:pBdr>
        <w:spacing w:line="276" w:lineRule="auto"/>
        <w:ind w:left="567" w:right="709"/>
        <w:jc w:val="both"/>
        <w:rPr>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5.</w:t>
      </w:r>
      <w:r w:rsidRPr="00B95BDF">
        <w:rPr>
          <w:rFonts w:ascii="Palatino Linotype" w:eastAsia="Palatino Linotype" w:hAnsi="Palatino Linotype" w:cs="Palatino Linotype"/>
          <w:i/>
          <w:sz w:val="22"/>
          <w:szCs w:val="22"/>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5DAC290E" w14:textId="77777777" w:rsidR="00EE5403" w:rsidRPr="00B95BDF" w:rsidRDefault="00917C0A">
      <w:pPr>
        <w:pBdr>
          <w:top w:val="nil"/>
          <w:left w:val="nil"/>
          <w:bottom w:val="nil"/>
          <w:right w:val="nil"/>
          <w:between w:val="nil"/>
        </w:pBdr>
        <w:spacing w:line="276" w:lineRule="auto"/>
        <w:ind w:left="567" w:right="709"/>
        <w:jc w:val="both"/>
        <w:rPr>
          <w:sz w:val="22"/>
          <w:szCs w:val="22"/>
        </w:rPr>
      </w:pPr>
      <w:r w:rsidRPr="00B95BDF">
        <w:rPr>
          <w:rFonts w:ascii="Palatino Linotype" w:eastAsia="Palatino Linotype" w:hAnsi="Palatino Linotype" w:cs="Palatino Linotype"/>
          <w:i/>
          <w:sz w:val="22"/>
          <w:szCs w:val="22"/>
        </w:rPr>
        <w:t>(…)”</w:t>
      </w:r>
    </w:p>
    <w:p w14:paraId="30AFF2D3" w14:textId="77777777" w:rsidR="00EE5403" w:rsidRPr="00B95BDF" w:rsidRDefault="00EE5403">
      <w:pPr>
        <w:spacing w:line="276" w:lineRule="auto"/>
        <w:jc w:val="both"/>
        <w:rPr>
          <w:sz w:val="22"/>
          <w:szCs w:val="22"/>
        </w:rPr>
      </w:pPr>
    </w:p>
    <w:p w14:paraId="69036257" w14:textId="77777777" w:rsidR="00EE5403" w:rsidRPr="00B95BDF" w:rsidRDefault="00917C0A">
      <w:pPr>
        <w:pBdr>
          <w:top w:val="nil"/>
          <w:left w:val="nil"/>
          <w:bottom w:val="nil"/>
          <w:right w:val="nil"/>
          <w:between w:val="nil"/>
        </w:pBdr>
        <w:spacing w:line="276" w:lineRule="auto"/>
        <w:ind w:left="567" w:right="709"/>
        <w:jc w:val="both"/>
        <w:rPr>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Artículo 6.</w:t>
      </w:r>
      <w:r w:rsidRPr="00B95BDF">
        <w:rPr>
          <w:rFonts w:ascii="Palatino Linotype" w:eastAsia="Palatino Linotype" w:hAnsi="Palatino Linotype" w:cs="Palatino Linotype"/>
          <w:i/>
          <w:sz w:val="22"/>
          <w:szCs w:val="22"/>
        </w:rPr>
        <w:t xml:space="preserve"> Para efectos del artículo 2 de esta Ley, son principios rectores, los siguientes: </w:t>
      </w:r>
    </w:p>
    <w:p w14:paraId="41E08DB4" w14:textId="77777777" w:rsidR="00EE5403" w:rsidRPr="00B95BDF" w:rsidRDefault="00917C0A">
      <w:pPr>
        <w:pBdr>
          <w:top w:val="nil"/>
          <w:left w:val="nil"/>
          <w:bottom w:val="nil"/>
          <w:right w:val="nil"/>
          <w:between w:val="nil"/>
        </w:pBdr>
        <w:spacing w:line="276" w:lineRule="auto"/>
        <w:ind w:left="567" w:right="709"/>
        <w:jc w:val="both"/>
        <w:rPr>
          <w:sz w:val="22"/>
          <w:szCs w:val="22"/>
        </w:rPr>
      </w:pPr>
      <w:r w:rsidRPr="00B95BDF">
        <w:rPr>
          <w:rFonts w:ascii="Palatino Linotype" w:eastAsia="Palatino Linotype" w:hAnsi="Palatino Linotype" w:cs="Palatino Linotype"/>
          <w:i/>
          <w:sz w:val="22"/>
          <w:szCs w:val="22"/>
        </w:rPr>
        <w:t>I. El interés superior de la niñez;</w:t>
      </w:r>
    </w:p>
    <w:p w14:paraId="5EA91405" w14:textId="77777777" w:rsidR="00EE5403" w:rsidRPr="00B95BDF" w:rsidRDefault="00917C0A">
      <w:pPr>
        <w:pBdr>
          <w:top w:val="nil"/>
          <w:left w:val="nil"/>
          <w:bottom w:val="nil"/>
          <w:right w:val="nil"/>
          <w:between w:val="nil"/>
        </w:pBdr>
        <w:spacing w:line="276" w:lineRule="auto"/>
        <w:ind w:left="567" w:right="709"/>
        <w:jc w:val="both"/>
        <w:rPr>
          <w:sz w:val="22"/>
          <w:szCs w:val="22"/>
        </w:rPr>
      </w:pPr>
      <w:r w:rsidRPr="00B95BDF">
        <w:rPr>
          <w:rFonts w:ascii="Palatino Linotype" w:eastAsia="Palatino Linotype" w:hAnsi="Palatino Linotype" w:cs="Palatino Linotype"/>
          <w:i/>
          <w:sz w:val="22"/>
          <w:szCs w:val="22"/>
        </w:rPr>
        <w:t>(…)”</w:t>
      </w:r>
    </w:p>
    <w:p w14:paraId="1771F7A9" w14:textId="77777777" w:rsidR="00EE5403" w:rsidRPr="00B95BDF" w:rsidRDefault="00EE5403">
      <w:pPr>
        <w:spacing w:line="360" w:lineRule="auto"/>
        <w:jc w:val="both"/>
        <w:rPr>
          <w:sz w:val="22"/>
          <w:szCs w:val="22"/>
        </w:rPr>
      </w:pPr>
    </w:p>
    <w:p w14:paraId="0A36BAD5" w14:textId="77777777" w:rsidR="00EE5403" w:rsidRPr="00B95BDF" w:rsidRDefault="00917C0A">
      <w:pPr>
        <w:pBdr>
          <w:top w:val="nil"/>
          <w:left w:val="nil"/>
          <w:bottom w:val="nil"/>
          <w:right w:val="nil"/>
          <w:between w:val="nil"/>
        </w:pBdr>
        <w:spacing w:line="360" w:lineRule="auto"/>
        <w:jc w:val="both"/>
        <w:rPr>
          <w:sz w:val="22"/>
          <w:szCs w:val="22"/>
        </w:rPr>
      </w:pPr>
      <w:r w:rsidRPr="00B95BDF">
        <w:rPr>
          <w:rFonts w:ascii="Palatino Linotype" w:eastAsia="Palatino Linotype" w:hAnsi="Palatino Linotype" w:cs="Palatino Linotype"/>
          <w:sz w:val="22"/>
          <w:szCs w:val="22"/>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w:t>
      </w:r>
      <w:r w:rsidRPr="00B95BDF">
        <w:rPr>
          <w:rFonts w:ascii="Palatino Linotype" w:eastAsia="Palatino Linotype" w:hAnsi="Palatino Linotype" w:cs="Palatino Linotype"/>
          <w:sz w:val="22"/>
          <w:szCs w:val="22"/>
        </w:rPr>
        <w:lastRenderedPageBreak/>
        <w:t xml:space="preserve">el principio del </w:t>
      </w:r>
      <w:r w:rsidRPr="00B95BDF">
        <w:rPr>
          <w:rFonts w:ascii="Palatino Linotype" w:eastAsia="Palatino Linotype" w:hAnsi="Palatino Linotype" w:cs="Palatino Linotype"/>
          <w:i/>
          <w:sz w:val="22"/>
          <w:szCs w:val="22"/>
        </w:rPr>
        <w:t>“interés superior de la niñez”</w:t>
      </w:r>
      <w:r w:rsidRPr="00B95BDF">
        <w:rPr>
          <w:rFonts w:ascii="Palatino Linotype" w:eastAsia="Palatino Linotype" w:hAnsi="Palatino Linotype" w:cs="Palatino Linotype"/>
          <w:sz w:val="22"/>
          <w:szCs w:val="22"/>
        </w:rPr>
        <w:t xml:space="preserve"> debe constituir un eje rector en el diseño y aplicación de políticas públicas.</w:t>
      </w:r>
    </w:p>
    <w:p w14:paraId="70AA25D6" w14:textId="77777777" w:rsidR="00EE5403" w:rsidRPr="00B95BDF" w:rsidRDefault="00917C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95BDF">
        <w:rPr>
          <w:sz w:val="22"/>
          <w:szCs w:val="22"/>
        </w:rPr>
        <w:br/>
      </w:r>
      <w:r w:rsidRPr="00B95BDF">
        <w:rPr>
          <w:rFonts w:ascii="Palatino Linotype" w:eastAsia="Palatino Linotype" w:hAnsi="Palatino Linotype" w:cs="Palatino Linotype"/>
          <w:sz w:val="22"/>
          <w:szCs w:val="22"/>
        </w:rPr>
        <w:t xml:space="preserve">En ese sentido,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deberá clasificar los nombres de los menores de edad en términos de la fracción I del artículo 143 de la Ley de Transparencia y Acceso a la Información Pública del Estado de México y Municipios.</w:t>
      </w:r>
    </w:p>
    <w:p w14:paraId="4A7A863E" w14:textId="77777777" w:rsidR="00EE5403" w:rsidRPr="00B95BDF" w:rsidRDefault="00EE540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7CC9F8" w14:textId="77777777" w:rsidR="00EE5403" w:rsidRPr="00B95BDF" w:rsidRDefault="00917C0A">
      <w:pPr>
        <w:numPr>
          <w:ilvl w:val="0"/>
          <w:numId w:val="5"/>
        </w:numPr>
        <w:spacing w:line="360" w:lineRule="auto"/>
        <w:ind w:left="567" w:hanging="141"/>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b/>
          <w:sz w:val="22"/>
          <w:szCs w:val="22"/>
        </w:rPr>
        <w:t>De los testigos que participan en el juicio.</w:t>
      </w:r>
    </w:p>
    <w:p w14:paraId="235D19F2"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Al respecto, cabe señalar que, en el presente caso, se trata de los nombres que participaron en el juicio, pero que no fueron las partes en controversia, actor o demandado, sino que se trata de los testigos o bien, que participaron por alguna otra circunstancia, en beneficio de alguna de las partes, lo cual atañe a la vida privada de estos.</w:t>
      </w:r>
    </w:p>
    <w:p w14:paraId="45B90D24"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6739E8B4"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Lo anterior, toda vez que proporcionar el nombre de dichas personas, </w:t>
      </w:r>
      <w:r w:rsidRPr="00B95BDF">
        <w:rPr>
          <w:rFonts w:ascii="Palatino Linotype" w:eastAsia="Palatino Linotype" w:hAnsi="Palatino Linotype" w:cs="Palatino Linotype"/>
          <w:b/>
          <w:sz w:val="22"/>
          <w:szCs w:val="22"/>
        </w:rPr>
        <w:t xml:space="preserve">revelaría su decisión personal </w:t>
      </w:r>
      <w:r w:rsidRPr="00B95BDF">
        <w:rPr>
          <w:rFonts w:ascii="Palatino Linotype" w:eastAsia="Palatino Linotype" w:hAnsi="Palatino Linotype" w:cs="Palatino Linotype"/>
          <w:sz w:val="22"/>
          <w:szCs w:val="22"/>
        </w:rPr>
        <w:t>de dichos individuos de decidir participar en algún juicio, en el presente caso, en beneficio de la parte actora o demandada; al respecto, el artículo 12 de la Declaración Universal de los Derechos Humanos</w:t>
      </w:r>
      <w:r w:rsidRPr="00B95BDF">
        <w:rPr>
          <w:rFonts w:ascii="Palatino Linotype" w:eastAsia="Palatino Linotype" w:hAnsi="Palatino Linotype" w:cs="Palatino Linotype"/>
          <w:i/>
          <w:sz w:val="22"/>
          <w:szCs w:val="22"/>
        </w:rPr>
        <w:t xml:space="preserve"> </w:t>
      </w:r>
      <w:r w:rsidRPr="00B95BDF">
        <w:rPr>
          <w:rFonts w:ascii="Palatino Linotype" w:eastAsia="Palatino Linotype" w:hAnsi="Palatino Linotype" w:cs="Palatino Linotype"/>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33A13E4C"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4BDFBB95"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w:t>
      </w:r>
      <w:r w:rsidRPr="00B95BDF">
        <w:rPr>
          <w:rFonts w:ascii="Palatino Linotype" w:eastAsia="Palatino Linotype" w:hAnsi="Palatino Linotype" w:cs="Palatino Linotype"/>
          <w:sz w:val="22"/>
          <w:szCs w:val="22"/>
        </w:rPr>
        <w:lastRenderedPageBreak/>
        <w:t>a su honra o reputación; y que toda persona tiene derecho a la protección de la ley contra esas injerencias o esos ataques.</w:t>
      </w:r>
    </w:p>
    <w:p w14:paraId="612C1207"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72BC7AA5"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43B9FF8E" w14:textId="77777777" w:rsidR="00EE5403" w:rsidRPr="00B95BDF" w:rsidRDefault="00EE5403">
      <w:pPr>
        <w:tabs>
          <w:tab w:val="left" w:pos="2475"/>
        </w:tabs>
        <w:spacing w:line="360" w:lineRule="auto"/>
        <w:jc w:val="both"/>
        <w:rPr>
          <w:rFonts w:ascii="Palatino Linotype" w:eastAsia="Palatino Linotype" w:hAnsi="Palatino Linotype" w:cs="Palatino Linotype"/>
          <w:sz w:val="22"/>
          <w:szCs w:val="22"/>
        </w:rPr>
      </w:pPr>
    </w:p>
    <w:p w14:paraId="518DCEEA" w14:textId="77777777" w:rsidR="00EE5403" w:rsidRPr="00B95BDF" w:rsidRDefault="00917C0A">
      <w:pPr>
        <w:spacing w:line="360" w:lineRule="auto"/>
        <w:ind w:right="-93"/>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Abona a lo anterior,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4847C92A" w14:textId="77777777" w:rsidR="00EE5403" w:rsidRPr="00B95BDF" w:rsidRDefault="00EE5403">
      <w:pPr>
        <w:spacing w:line="360" w:lineRule="auto"/>
        <w:ind w:right="-93"/>
        <w:jc w:val="both"/>
        <w:rPr>
          <w:rFonts w:ascii="Palatino Linotype" w:eastAsia="Palatino Linotype" w:hAnsi="Palatino Linotype" w:cs="Palatino Linotype"/>
          <w:sz w:val="22"/>
          <w:szCs w:val="22"/>
        </w:rPr>
      </w:pPr>
    </w:p>
    <w:p w14:paraId="04FD2827" w14:textId="77777777" w:rsidR="00EE5403" w:rsidRPr="00B95BDF" w:rsidRDefault="00917C0A">
      <w:pPr>
        <w:ind w:left="567" w:right="567"/>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B95BDF">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w:t>
      </w:r>
      <w:r w:rsidRPr="00B95BDF">
        <w:rPr>
          <w:rFonts w:ascii="Palatino Linotype" w:eastAsia="Palatino Linotype" w:hAnsi="Palatino Linotype" w:cs="Palatino Linotype"/>
          <w:i/>
          <w:sz w:val="22"/>
          <w:szCs w:val="22"/>
        </w:rPr>
        <w:lastRenderedPageBreak/>
        <w:t xml:space="preserve">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B95BDF">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B95BDF">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B95BDF">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B95BDF">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7EFA161D" w14:textId="77777777" w:rsidR="00EE5403" w:rsidRPr="00B95BDF" w:rsidRDefault="00EE5403">
      <w:pPr>
        <w:spacing w:line="360" w:lineRule="auto"/>
        <w:ind w:right="-93"/>
        <w:jc w:val="both"/>
        <w:rPr>
          <w:rFonts w:ascii="Palatino Linotype" w:eastAsia="Palatino Linotype" w:hAnsi="Palatino Linotype" w:cs="Palatino Linotype"/>
          <w:sz w:val="22"/>
          <w:szCs w:val="22"/>
        </w:rPr>
      </w:pPr>
    </w:p>
    <w:p w14:paraId="5B2F4E58" w14:textId="77777777" w:rsidR="00EE5403" w:rsidRPr="00B95BDF" w:rsidRDefault="00917C0A">
      <w:pPr>
        <w:spacing w:line="360" w:lineRule="auto"/>
        <w:ind w:right="-93"/>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t xml:space="preserve">De conformidad con lo señalado, se colige que </w:t>
      </w:r>
      <w:r w:rsidRPr="00B95BDF">
        <w:rPr>
          <w:rFonts w:ascii="Palatino Linotype" w:eastAsia="Palatino Linotype" w:hAnsi="Palatino Linotype" w:cs="Palatino Linotype"/>
          <w:b/>
          <w:sz w:val="22"/>
          <w:szCs w:val="22"/>
          <w:u w:val="single"/>
        </w:rPr>
        <w:t>las actividades que realicen los particulares, dentro del ámbito privado, o dentro de la esfera particular, es información que debe protegerse.</w:t>
      </w:r>
      <w:r w:rsidRPr="00B95BDF">
        <w:rPr>
          <w:rFonts w:ascii="Palatino Linotype" w:eastAsia="Palatino Linotype" w:hAnsi="Palatino Linotype" w:cs="Palatino Linotype"/>
          <w:b/>
          <w:sz w:val="22"/>
          <w:szCs w:val="22"/>
        </w:rPr>
        <w:t xml:space="preserve"> </w:t>
      </w:r>
      <w:r w:rsidRPr="00B95BDF">
        <w:rPr>
          <w:rFonts w:ascii="Palatino Linotype" w:eastAsia="Palatino Linotype" w:hAnsi="Palatino Linotype" w:cs="Palatino Linotype"/>
          <w:sz w:val="22"/>
          <w:szCs w:val="22"/>
        </w:rPr>
        <w:t xml:space="preserve">En el presente caso, proporcionar el nombre, vinculado con el hecho de que participó en algún juicio, para acreditar el dicho de alguna de las partes en controversia, iría </w:t>
      </w:r>
      <w:r w:rsidRPr="00B95BDF">
        <w:rPr>
          <w:rFonts w:ascii="Palatino Linotype" w:eastAsia="Palatino Linotype" w:hAnsi="Palatino Linotype" w:cs="Palatino Linotype"/>
          <w:sz w:val="22"/>
          <w:szCs w:val="22"/>
        </w:rPr>
        <w:lastRenderedPageBreak/>
        <w:t>en contra del derecho a la vida privada, pues daría cuenta de la decisión personal; es decir, un acto de voluntad de dicha persona para actuar en dicho procedimiento, en su carácter particular.</w:t>
      </w:r>
    </w:p>
    <w:p w14:paraId="40DD70E4"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0A40BC63"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Además, entregar su nombre, no abona a nada a la transparencia, pues el objetivo de entregar el documento en cuestión. En ese orden de ideas,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7087E878" w14:textId="77777777" w:rsidR="00EE5403" w:rsidRPr="00B95BDF" w:rsidRDefault="00917C0A">
      <w:pPr>
        <w:ind w:left="567" w:right="567"/>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 xml:space="preserve">“DERECHO A LA PRIVACIDAD O INTIMIDAD. ESTÁ PROTEGIDO POR EL ARTÍCULO 16, PRIMER PÁRRAFO, DE LA CONSTITUCIÓN POLÍTICA DE LOS ESTADOS UNIDOS MEXICANOS. </w:t>
      </w:r>
      <w:r w:rsidRPr="00B95BDF">
        <w:rPr>
          <w:rFonts w:ascii="Palatino Linotype" w:eastAsia="Palatino Linotype" w:hAnsi="Palatino Linotype" w:cs="Palatino Linotype"/>
          <w:i/>
          <w:sz w:val="22"/>
          <w:szCs w:val="22"/>
        </w:rPr>
        <w:t>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28EE40E0"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73B9FD3"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w:t>
      </w:r>
      <w:r w:rsidRPr="00B95BDF">
        <w:rPr>
          <w:rFonts w:ascii="Palatino Linotype" w:eastAsia="Palatino Linotype" w:hAnsi="Palatino Linotype" w:cs="Palatino Linotype"/>
          <w:sz w:val="22"/>
          <w:szCs w:val="22"/>
        </w:rPr>
        <w:lastRenderedPageBreak/>
        <w:t xml:space="preserve">personal y familiar que debe quedar excluido del conocimiento ajeno y de las intromisiones de los demás, con la limitante prevista en la Constitución Política de los Estados Unidos Mexicanos. </w:t>
      </w:r>
    </w:p>
    <w:p w14:paraId="256F4250" w14:textId="77777777" w:rsidR="00EE5403" w:rsidRPr="00B95BDF" w:rsidRDefault="00EE5403">
      <w:pPr>
        <w:spacing w:line="360" w:lineRule="auto"/>
        <w:jc w:val="both"/>
        <w:rPr>
          <w:rFonts w:ascii="Palatino Linotype" w:eastAsia="Palatino Linotype" w:hAnsi="Palatino Linotype" w:cs="Palatino Linotype"/>
          <w:b/>
          <w:sz w:val="22"/>
          <w:szCs w:val="22"/>
        </w:rPr>
      </w:pPr>
    </w:p>
    <w:p w14:paraId="384FB6AD" w14:textId="77777777" w:rsidR="00EE5403" w:rsidRPr="00B95BDF" w:rsidRDefault="00917C0A">
      <w:pPr>
        <w:spacing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w:t>
      </w:r>
      <w:r w:rsidRPr="00B95BDF">
        <w:rPr>
          <w:rFonts w:ascii="Palatino Linotype" w:eastAsia="Palatino Linotype" w:hAnsi="Palatino Linotype" w:cs="Palatino Linotype"/>
          <w:b/>
          <w:sz w:val="22"/>
          <w:szCs w:val="22"/>
        </w:rPr>
        <w:t xml:space="preserve">se da el reconocimiento de un derecho a la privacidad de las personas que implica no ser sujeto de intromisiones o molestias en el ámbito reservado de su vida o intimidad. </w:t>
      </w:r>
    </w:p>
    <w:p w14:paraId="651FECDA"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14CE5784" w14:textId="77777777" w:rsidR="00EE5403" w:rsidRPr="00B95BDF" w:rsidRDefault="00917C0A">
      <w:pPr>
        <w:spacing w:line="360" w:lineRule="auto"/>
        <w:jc w:val="both"/>
        <w:rPr>
          <w:rFonts w:ascii="Palatino Linotype" w:eastAsia="Palatino Linotype" w:hAnsi="Palatino Linotype" w:cs="Palatino Linotype"/>
          <w:b/>
          <w:sz w:val="22"/>
          <w:szCs w:val="22"/>
        </w:rPr>
      </w:pPr>
      <w:r w:rsidRPr="00B95BDF">
        <w:rPr>
          <w:rFonts w:ascii="Palatino Linotype" w:eastAsia="Palatino Linotype" w:hAnsi="Palatino Linotype" w:cs="Palatino Linotype"/>
          <w:sz w:val="22"/>
          <w:szCs w:val="22"/>
        </w:rPr>
        <w:t xml:space="preserve">En el presente caso, proporcionar el nombre de aquellas personas que, en su carácter particular, decidieron participar en un juicio y que no son las partes en controversia, implicaría revelar </w:t>
      </w:r>
      <w:r w:rsidRPr="00B95BDF">
        <w:rPr>
          <w:rFonts w:ascii="Palatino Linotype" w:eastAsia="Palatino Linotype" w:hAnsi="Palatino Linotype" w:cs="Palatino Linotype"/>
          <w:b/>
          <w:sz w:val="22"/>
          <w:szCs w:val="22"/>
        </w:rPr>
        <w:t>un aspecto de la vida privada</w:t>
      </w:r>
      <w:r w:rsidRPr="00B95BDF">
        <w:rPr>
          <w:rFonts w:ascii="Palatino Linotype" w:eastAsia="Palatino Linotype" w:hAnsi="Palatino Linotype" w:cs="Palatino Linotype"/>
          <w:sz w:val="22"/>
          <w:szCs w:val="22"/>
        </w:rPr>
        <w:t xml:space="preserve">, correspondiente a la decisión personal de ayudar a la parte actora o demandada, a acreditar su dicho o demostrar hechos y, por lo tanto, también se afectaría, </w:t>
      </w:r>
      <w:r w:rsidRPr="00B95BDF">
        <w:rPr>
          <w:rFonts w:ascii="Palatino Linotype" w:eastAsia="Palatino Linotype" w:hAnsi="Palatino Linotype" w:cs="Palatino Linotype"/>
          <w:b/>
          <w:sz w:val="22"/>
          <w:szCs w:val="22"/>
        </w:rPr>
        <w:t>su intimidad.</w:t>
      </w:r>
    </w:p>
    <w:p w14:paraId="4B002125"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F045923"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Por tales circunstancias, </w:t>
      </w:r>
      <w:r w:rsidRPr="00B95BDF">
        <w:rPr>
          <w:rFonts w:ascii="Palatino Linotype" w:eastAsia="Palatino Linotype" w:hAnsi="Palatino Linotype" w:cs="Palatino Linotype"/>
          <w:b/>
          <w:sz w:val="22"/>
          <w:szCs w:val="22"/>
        </w:rPr>
        <w:t>se estima procedente la clasificación</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 xml:space="preserve">del nombre de las personas que participaron en algún juicio, en su carácter de testigos </w:t>
      </w:r>
      <w:r w:rsidRPr="00B95BDF">
        <w:rPr>
          <w:rFonts w:ascii="Palatino Linotype" w:eastAsia="Palatino Linotype" w:hAnsi="Palatino Linotype" w:cs="Palatino Linotype"/>
          <w:sz w:val="22"/>
          <w:szCs w:val="22"/>
        </w:rPr>
        <w:t>que auxiliaron a las partes para acreditar su dicho, en términos del artículo 143, fracción I de la Ley de Transparencia y Acceso a la Información Pública del Estado de México y Municipios.</w:t>
      </w:r>
    </w:p>
    <w:p w14:paraId="44DC859B"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5AFE68BE"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Al respecto, se destaca que la versión pública que elabore el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w:t>
      </w:r>
      <w:r w:rsidRPr="00B95BDF">
        <w:rPr>
          <w:rFonts w:ascii="Palatino Linotype" w:eastAsia="Palatino Linotype" w:hAnsi="Palatino Linotype" w:cs="Palatino Linotype"/>
          <w:sz w:val="22"/>
          <w:szCs w:val="22"/>
        </w:rPr>
        <w:lastRenderedPageBreak/>
        <w:t xml:space="preserve">cabalmente con las formalidades previstas en el artículo 137 de la Ley de Transparencia y Acceso a la Información Pública del Estado de México y Municipios, ya expuesto; así como con los numerales aplicables de los </w:t>
      </w:r>
      <w:r w:rsidRPr="00B95BDF">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B95BDF">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D052E44" w14:textId="77777777" w:rsidR="00EE5403" w:rsidRPr="00B95BDF" w:rsidRDefault="00EE5403">
      <w:pPr>
        <w:ind w:left="709" w:right="709"/>
        <w:jc w:val="both"/>
        <w:rPr>
          <w:rFonts w:ascii="Palatino Linotype" w:eastAsia="Palatino Linotype" w:hAnsi="Palatino Linotype" w:cs="Palatino Linotype"/>
          <w:b/>
          <w:i/>
          <w:sz w:val="22"/>
          <w:szCs w:val="22"/>
        </w:rPr>
      </w:pPr>
    </w:p>
    <w:p w14:paraId="7ACCE075"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0CBEF27"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w:t>
      </w:r>
      <w:r w:rsidRPr="00B95BDF">
        <w:rPr>
          <w:rFonts w:ascii="Palatino Linotype" w:eastAsia="Palatino Linotype" w:hAnsi="Palatino Linotype" w:cs="Palatino Linotype"/>
          <w:b/>
          <w:i/>
          <w:sz w:val="22"/>
          <w:szCs w:val="22"/>
        </w:rPr>
        <w:t>Segundo.-</w:t>
      </w:r>
      <w:r w:rsidRPr="00B95BDF">
        <w:rPr>
          <w:rFonts w:ascii="Palatino Linotype" w:eastAsia="Palatino Linotype" w:hAnsi="Palatino Linotype" w:cs="Palatino Linotype"/>
          <w:i/>
          <w:sz w:val="22"/>
          <w:szCs w:val="22"/>
        </w:rPr>
        <w:t xml:space="preserve"> Para efectos de los presentes Lineamientos Generales, se entenderá por:</w:t>
      </w:r>
    </w:p>
    <w:p w14:paraId="4AA26E61"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XVIII.</w:t>
      </w:r>
      <w:r w:rsidRPr="00B95BDF">
        <w:rPr>
          <w:rFonts w:ascii="Palatino Linotype" w:eastAsia="Palatino Linotype" w:hAnsi="Palatino Linotype" w:cs="Palatino Linotype"/>
          <w:i/>
          <w:sz w:val="22"/>
          <w:szCs w:val="22"/>
        </w:rPr>
        <w:t xml:space="preserve"> </w:t>
      </w:r>
      <w:r w:rsidRPr="00B95BDF">
        <w:rPr>
          <w:rFonts w:ascii="Palatino Linotype" w:eastAsia="Palatino Linotype" w:hAnsi="Palatino Linotype" w:cs="Palatino Linotype"/>
          <w:b/>
          <w:i/>
          <w:sz w:val="22"/>
          <w:szCs w:val="22"/>
        </w:rPr>
        <w:t>Versión pública:</w:t>
      </w:r>
      <w:r w:rsidRPr="00B95BD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95BDF">
        <w:rPr>
          <w:rFonts w:ascii="Palatino Linotype" w:eastAsia="Palatino Linotype" w:hAnsi="Palatino Linotype" w:cs="Palatino Linotype"/>
          <w:b/>
          <w:i/>
          <w:sz w:val="22"/>
          <w:szCs w:val="22"/>
          <w:u w:val="single"/>
        </w:rPr>
        <w:t>fundando y motivando la</w:t>
      </w:r>
      <w:r w:rsidRPr="00B95BDF">
        <w:rPr>
          <w:rFonts w:ascii="Palatino Linotype" w:eastAsia="Palatino Linotype" w:hAnsi="Palatino Linotype" w:cs="Palatino Linotype"/>
          <w:i/>
          <w:sz w:val="22"/>
          <w:szCs w:val="22"/>
        </w:rPr>
        <w:t xml:space="preserve"> reserva o </w:t>
      </w:r>
      <w:r w:rsidRPr="00B95BDF">
        <w:rPr>
          <w:rFonts w:ascii="Palatino Linotype" w:eastAsia="Palatino Linotype" w:hAnsi="Palatino Linotype" w:cs="Palatino Linotype"/>
          <w:b/>
          <w:i/>
          <w:sz w:val="22"/>
          <w:szCs w:val="22"/>
          <w:u w:val="single"/>
        </w:rPr>
        <w:t>confidencialidad</w:t>
      </w:r>
      <w:r w:rsidRPr="00B95BDF">
        <w:rPr>
          <w:rFonts w:ascii="Palatino Linotype" w:eastAsia="Palatino Linotype" w:hAnsi="Palatino Linotype" w:cs="Palatino Linotype"/>
          <w:i/>
          <w:sz w:val="22"/>
          <w:szCs w:val="22"/>
        </w:rPr>
        <w:t>, a través de la resolución que para tal efecto emita el Comité de Transparencia.</w:t>
      </w:r>
    </w:p>
    <w:p w14:paraId="54715674"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Cuarto.</w:t>
      </w:r>
      <w:r w:rsidRPr="00B95BD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0E8A77"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7E2C768"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Quinto.</w:t>
      </w:r>
      <w:r w:rsidRPr="00B95BD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08A1E4"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w:t>
      </w:r>
    </w:p>
    <w:p w14:paraId="5037A21C"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Séptimo.</w:t>
      </w:r>
      <w:r w:rsidRPr="00B95BDF">
        <w:rPr>
          <w:rFonts w:ascii="Palatino Linotype" w:eastAsia="Palatino Linotype" w:hAnsi="Palatino Linotype" w:cs="Palatino Linotype"/>
          <w:i/>
          <w:sz w:val="22"/>
          <w:szCs w:val="22"/>
        </w:rPr>
        <w:t xml:space="preserve"> La clasificación de la información se llevará a cabo en el momento en que:</w:t>
      </w:r>
    </w:p>
    <w:p w14:paraId="0152F6CD"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lastRenderedPageBreak/>
        <w:t>I.</w:t>
      </w:r>
      <w:r w:rsidRPr="00B95BDF">
        <w:rPr>
          <w:rFonts w:ascii="Palatino Linotype" w:eastAsia="Palatino Linotype" w:hAnsi="Palatino Linotype" w:cs="Palatino Linotype"/>
          <w:i/>
          <w:sz w:val="22"/>
          <w:szCs w:val="22"/>
        </w:rPr>
        <w:t xml:space="preserve"> Se reciba una solicitud de acceso a la información;</w:t>
      </w:r>
    </w:p>
    <w:p w14:paraId="66D2B5CA" w14:textId="77777777" w:rsidR="00EE5403" w:rsidRPr="00B95BDF" w:rsidRDefault="00917C0A">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II.</w:t>
      </w:r>
      <w:r w:rsidRPr="00B95BDF">
        <w:rPr>
          <w:rFonts w:ascii="Palatino Linotype" w:eastAsia="Palatino Linotype" w:hAnsi="Palatino Linotype" w:cs="Palatino Linotype"/>
          <w:i/>
          <w:sz w:val="22"/>
          <w:szCs w:val="22"/>
        </w:rPr>
        <w:t xml:space="preserve"> Se  determine mediante resolución del Comité de Transparencia, el órgano garante </w:t>
      </w:r>
    </w:p>
    <w:p w14:paraId="3C9503BD"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competente, o en cumplimiento a una sentencia del Poder Judicial; o</w:t>
      </w:r>
    </w:p>
    <w:p w14:paraId="3BBD4A8B"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III.</w:t>
      </w:r>
      <w:r w:rsidRPr="00B95BD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7E18B03"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29EEE18"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Octavo.</w:t>
      </w:r>
      <w:r w:rsidRPr="00B95BD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6210029"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B0FFEE3" w14:textId="77777777" w:rsidR="00EE5403" w:rsidRPr="00B95BDF" w:rsidRDefault="00917C0A">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FB203B6"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Noveno.</w:t>
      </w:r>
      <w:r w:rsidRPr="00B95BD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B452E45"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b/>
          <w:i/>
          <w:sz w:val="22"/>
          <w:szCs w:val="22"/>
        </w:rPr>
        <w:t>Décimo.</w:t>
      </w:r>
      <w:r w:rsidRPr="00B95BD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80CB5AD"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AA298EC" w14:textId="77777777" w:rsidR="00EE5403" w:rsidRPr="00B95BDF" w:rsidRDefault="00917C0A">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Décimo primero.</w:t>
      </w:r>
      <w:r w:rsidRPr="00B95BD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AD15EF0" w14:textId="77777777" w:rsidR="00EE5403" w:rsidRPr="00B95BDF" w:rsidRDefault="00EE5403">
      <w:pPr>
        <w:pBdr>
          <w:top w:val="nil"/>
          <w:left w:val="nil"/>
          <w:bottom w:val="nil"/>
          <w:right w:val="nil"/>
          <w:between w:val="nil"/>
        </w:pBdr>
        <w:ind w:right="709"/>
        <w:jc w:val="both"/>
        <w:rPr>
          <w:sz w:val="22"/>
          <w:szCs w:val="22"/>
        </w:rPr>
      </w:pPr>
    </w:p>
    <w:p w14:paraId="7D3408C8" w14:textId="77777777" w:rsidR="00EE5403" w:rsidRPr="00B95BDF" w:rsidRDefault="00917C0A">
      <w:pPr>
        <w:pBdr>
          <w:top w:val="nil"/>
          <w:left w:val="nil"/>
          <w:bottom w:val="nil"/>
          <w:right w:val="nil"/>
          <w:between w:val="nil"/>
        </w:pBdr>
        <w:ind w:left="709" w:right="709"/>
        <w:jc w:val="both"/>
        <w:rPr>
          <w:sz w:val="22"/>
          <w:szCs w:val="22"/>
        </w:rPr>
      </w:pPr>
      <w:r w:rsidRPr="00B95BDF">
        <w:rPr>
          <w:rFonts w:ascii="Palatino Linotype" w:eastAsia="Palatino Linotype" w:hAnsi="Palatino Linotype" w:cs="Palatino Linotype"/>
          <w:i/>
          <w:sz w:val="22"/>
          <w:szCs w:val="22"/>
        </w:rPr>
        <w:t>[…]</w:t>
      </w:r>
    </w:p>
    <w:p w14:paraId="5041DA90" w14:textId="77777777" w:rsidR="00EE5403" w:rsidRPr="00B95BDF" w:rsidRDefault="00917C0A">
      <w:pPr>
        <w:pBdr>
          <w:top w:val="nil"/>
          <w:left w:val="nil"/>
          <w:bottom w:val="nil"/>
          <w:right w:val="nil"/>
          <w:between w:val="nil"/>
        </w:pBdr>
        <w:ind w:left="709" w:right="709"/>
        <w:jc w:val="center"/>
        <w:rPr>
          <w:sz w:val="22"/>
          <w:szCs w:val="22"/>
        </w:rPr>
      </w:pPr>
      <w:r w:rsidRPr="00B95BDF">
        <w:rPr>
          <w:rFonts w:ascii="Palatino Linotype" w:eastAsia="Palatino Linotype" w:hAnsi="Palatino Linotype" w:cs="Palatino Linotype"/>
          <w:b/>
          <w:i/>
          <w:sz w:val="22"/>
          <w:szCs w:val="22"/>
        </w:rPr>
        <w:t>CAPÍTULO VIII</w:t>
      </w:r>
    </w:p>
    <w:p w14:paraId="096AB489" w14:textId="77777777" w:rsidR="00EE5403" w:rsidRPr="00B95BDF" w:rsidRDefault="00917C0A">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DE LOS ELEMENTOS PARA LA CLASIFICACIÓN</w:t>
      </w:r>
    </w:p>
    <w:p w14:paraId="5D9CA6A9"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Quincuagésimo</w:t>
      </w:r>
      <w:r w:rsidRPr="00B95BDF">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DB298C1"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Quincuagésimo primero</w:t>
      </w:r>
      <w:r w:rsidRPr="00B95BDF">
        <w:rPr>
          <w:rFonts w:ascii="Palatino Linotype" w:eastAsia="Palatino Linotype" w:hAnsi="Palatino Linotype" w:cs="Palatino Linotype"/>
          <w:i/>
          <w:sz w:val="22"/>
          <w:szCs w:val="22"/>
        </w:rPr>
        <w:t>. Toda acta del Comité de Transparencia deberá contener:</w:t>
      </w:r>
    </w:p>
    <w:p w14:paraId="279B0B84"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I. El número de sesión y fecha; </w:t>
      </w:r>
    </w:p>
    <w:p w14:paraId="021593E9"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 El nombre del área que solicitó la clasificación de información;</w:t>
      </w:r>
    </w:p>
    <w:p w14:paraId="10D7F3AA"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III. La fundamentación legal y motivación correspondiente;</w:t>
      </w:r>
    </w:p>
    <w:p w14:paraId="47AB8612"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IV. La resolución o resoluciones aprobadas; y</w:t>
      </w:r>
    </w:p>
    <w:p w14:paraId="1A432BB2"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V. La rúbrica o firma digital de cada integrante del Comité de Transparencia. </w:t>
      </w:r>
    </w:p>
    <w:p w14:paraId="1DF00643"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1C2CED77"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 Los motivos y razonamientos que sustenten la confirmación o modificación de la prueba de daño;</w:t>
      </w:r>
    </w:p>
    <w:p w14:paraId="029EBFC2"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 Descripción de las partes o secciones reservadas, en caso de clasificación parcial;</w:t>
      </w:r>
    </w:p>
    <w:p w14:paraId="1F2F1A92"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III. El periodo por el que mantendrá su clasificación y fecha de expiración; y</w:t>
      </w:r>
    </w:p>
    <w:p w14:paraId="6D1B0325"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IV. El nombre del titular y área encargada de realizar la versión pública del documento, en su caso.</w:t>
      </w:r>
    </w:p>
    <w:p w14:paraId="40548473"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569F9BC"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D9E5F7D"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Quincuagésimo segundo</w:t>
      </w:r>
      <w:r w:rsidRPr="00B95BD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w:t>
      </w:r>
      <w:r w:rsidRPr="00B95BDF">
        <w:rPr>
          <w:rFonts w:ascii="Palatino Linotype" w:eastAsia="Palatino Linotype" w:hAnsi="Palatino Linotype" w:cs="Palatino Linotype"/>
          <w:i/>
          <w:sz w:val="22"/>
          <w:szCs w:val="22"/>
        </w:rPr>
        <w:lastRenderedPageBreak/>
        <w:t>asegurar que el espacio utilizado para testar la información no podrá ser empleado para la sobreposición de contenido distinto al autorizado por el Comité.</w:t>
      </w:r>
    </w:p>
    <w:p w14:paraId="4FC20F1B"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2CA70B3"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B526077"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24B7C1C"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III. Señalar las personas o instancias autorizadas a acceder a la información clasificada.</w:t>
      </w:r>
    </w:p>
    <w:p w14:paraId="54E537EE" w14:textId="77777777" w:rsidR="00EE5403" w:rsidRPr="00B95BDF" w:rsidRDefault="00917C0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89F85BE" w14:textId="77777777" w:rsidR="00EE5403" w:rsidRPr="00B95BDF" w:rsidRDefault="00917C0A">
      <w:pPr>
        <w:pBdr>
          <w:top w:val="nil"/>
          <w:left w:val="nil"/>
          <w:bottom w:val="nil"/>
          <w:right w:val="nil"/>
          <w:between w:val="nil"/>
        </w:pBdr>
        <w:spacing w:after="160"/>
        <w:ind w:left="709" w:right="709"/>
        <w:jc w:val="both"/>
        <w:rPr>
          <w:sz w:val="22"/>
          <w:szCs w:val="22"/>
        </w:rPr>
      </w:pPr>
      <w:r w:rsidRPr="00B95BDF">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ADAB386" w14:textId="77777777" w:rsidR="00EE5403" w:rsidRPr="00B95BDF" w:rsidRDefault="00EE5403">
      <w:pPr>
        <w:rPr>
          <w:sz w:val="22"/>
          <w:szCs w:val="22"/>
        </w:rPr>
      </w:pPr>
    </w:p>
    <w:p w14:paraId="5325EBED" w14:textId="77777777" w:rsidR="00EE5403" w:rsidRPr="00B95BDF" w:rsidRDefault="00917C0A">
      <w:pPr>
        <w:spacing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70D8D18A" w14:textId="77777777" w:rsidR="00EE5403" w:rsidRPr="00B95BDF" w:rsidRDefault="00EE5403">
      <w:pPr>
        <w:spacing w:line="360" w:lineRule="auto"/>
        <w:jc w:val="both"/>
        <w:rPr>
          <w:rFonts w:ascii="Palatino Linotype" w:eastAsia="Palatino Linotype" w:hAnsi="Palatino Linotype" w:cs="Palatino Linotype"/>
          <w:sz w:val="22"/>
          <w:szCs w:val="22"/>
        </w:rPr>
      </w:pPr>
    </w:p>
    <w:p w14:paraId="48EB914B" w14:textId="77777777" w:rsidR="00EE5403" w:rsidRPr="00B95BDF" w:rsidRDefault="00917C0A">
      <w:pPr>
        <w:shd w:val="clear" w:color="auto" w:fill="FFFFFF"/>
        <w:spacing w:line="360" w:lineRule="auto"/>
        <w:ind w:right="51"/>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w:t>
      </w:r>
      <w:r w:rsidRPr="00B95BDF">
        <w:rPr>
          <w:rFonts w:ascii="Palatino Linotype" w:eastAsia="Palatino Linotype" w:hAnsi="Palatino Linotype" w:cs="Palatino Linotype"/>
          <w:sz w:val="22"/>
          <w:szCs w:val="22"/>
        </w:rPr>
        <w:lastRenderedPageBreak/>
        <w:t xml:space="preserve">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B95BDF">
        <w:rPr>
          <w:rFonts w:ascii="Palatino Linotype" w:eastAsia="Palatino Linotype" w:hAnsi="Palatino Linotype" w:cs="Palatino Linotype"/>
          <w:b/>
          <w:sz w:val="22"/>
          <w:szCs w:val="22"/>
        </w:rPr>
        <w:t>la parte</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Recurrente</w:t>
      </w:r>
      <w:r w:rsidRPr="00B95BDF">
        <w:rPr>
          <w:rFonts w:ascii="Palatino Linotype" w:eastAsia="Palatino Linotype" w:hAnsi="Palatino Linotype" w:cs="Palatino Linotype"/>
          <w:sz w:val="22"/>
          <w:szCs w:val="22"/>
        </w:rPr>
        <w:t>.</w:t>
      </w:r>
    </w:p>
    <w:p w14:paraId="1031D552" w14:textId="77777777" w:rsidR="00EE5403" w:rsidRPr="00B95BDF" w:rsidRDefault="00917C0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2D173EB" w14:textId="77777777" w:rsidR="00EE5403" w:rsidRPr="00B95BDF" w:rsidRDefault="00917C0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B95BDF">
        <w:rPr>
          <w:rFonts w:ascii="Palatino Linotype" w:eastAsia="Palatino Linotype" w:hAnsi="Palatino Linotype" w:cs="Palatino Linotype"/>
          <w:b/>
          <w:sz w:val="22"/>
          <w:szCs w:val="22"/>
        </w:rPr>
        <w:t>III. R E S U E L V E</w:t>
      </w:r>
    </w:p>
    <w:p w14:paraId="1858E301"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bookmarkStart w:id="12" w:name="_heading=h.26in1rg" w:colFirst="0" w:colLast="0"/>
      <w:bookmarkEnd w:id="12"/>
      <w:r w:rsidRPr="00B95BDF">
        <w:rPr>
          <w:rFonts w:ascii="Palatino Linotype" w:eastAsia="Palatino Linotype" w:hAnsi="Palatino Linotype" w:cs="Palatino Linotype"/>
          <w:b/>
          <w:sz w:val="22"/>
          <w:szCs w:val="22"/>
        </w:rPr>
        <w:t xml:space="preserve">Primero. </w:t>
      </w:r>
      <w:r w:rsidRPr="00B95BDF">
        <w:rPr>
          <w:rFonts w:ascii="Palatino Linotype" w:eastAsia="Palatino Linotype" w:hAnsi="Palatino Linotype" w:cs="Palatino Linotype"/>
          <w:sz w:val="22"/>
          <w:szCs w:val="22"/>
        </w:rPr>
        <w:t xml:space="preserve">Resultan </w:t>
      </w:r>
      <w:r w:rsidRPr="00B95BDF">
        <w:rPr>
          <w:rFonts w:ascii="Palatino Linotype" w:eastAsia="Palatino Linotype" w:hAnsi="Palatino Linotype" w:cs="Palatino Linotype"/>
          <w:b/>
          <w:sz w:val="22"/>
          <w:szCs w:val="22"/>
        </w:rPr>
        <w:t>parcialmente fundadas</w:t>
      </w:r>
      <w:r w:rsidRPr="00B95BDF">
        <w:rPr>
          <w:rFonts w:ascii="Palatino Linotype" w:eastAsia="Palatino Linotype" w:hAnsi="Palatino Linotype" w:cs="Palatino Linotype"/>
          <w:sz w:val="22"/>
          <w:szCs w:val="22"/>
        </w:rPr>
        <w:t xml:space="preserve"> las razones o motivos de inconformidad hechos valer por </w:t>
      </w:r>
      <w:r w:rsidRPr="00B95BDF">
        <w:rPr>
          <w:rFonts w:ascii="Palatino Linotype" w:eastAsia="Palatino Linotype" w:hAnsi="Palatino Linotype" w:cs="Palatino Linotype"/>
          <w:b/>
          <w:sz w:val="22"/>
          <w:szCs w:val="22"/>
        </w:rPr>
        <w:t>la parte Recurrente</w:t>
      </w:r>
      <w:r w:rsidRPr="00B95BDF">
        <w:rPr>
          <w:rFonts w:ascii="Palatino Linotype" w:eastAsia="Palatino Linotype" w:hAnsi="Palatino Linotype" w:cs="Palatino Linotype"/>
          <w:sz w:val="22"/>
          <w:szCs w:val="22"/>
        </w:rPr>
        <w:t xml:space="preserve"> en el recurso de revisión </w:t>
      </w:r>
      <w:r w:rsidRPr="00B95BDF">
        <w:rPr>
          <w:rFonts w:ascii="Palatino Linotype" w:eastAsia="Palatino Linotype" w:hAnsi="Palatino Linotype" w:cs="Palatino Linotype"/>
          <w:b/>
          <w:sz w:val="22"/>
          <w:szCs w:val="22"/>
        </w:rPr>
        <w:t>03004/INFOEM/IP/RR/2024</w:t>
      </w:r>
      <w:r w:rsidRPr="00B95BDF">
        <w:rPr>
          <w:rFonts w:ascii="Palatino Linotype" w:eastAsia="Palatino Linotype" w:hAnsi="Palatino Linotype" w:cs="Palatino Linotype"/>
          <w:sz w:val="22"/>
          <w:szCs w:val="22"/>
        </w:rPr>
        <w:t xml:space="preserve">; por lo que, en términos del </w:t>
      </w:r>
      <w:r w:rsidRPr="00B95BDF">
        <w:rPr>
          <w:rFonts w:ascii="Palatino Linotype" w:eastAsia="Palatino Linotype" w:hAnsi="Palatino Linotype" w:cs="Palatino Linotype"/>
          <w:b/>
          <w:sz w:val="22"/>
          <w:szCs w:val="22"/>
        </w:rPr>
        <w:t>Considerando</w:t>
      </w:r>
      <w:r w:rsidRPr="00B95BDF">
        <w:rPr>
          <w:rFonts w:ascii="Palatino Linotype" w:eastAsia="Palatino Linotype" w:hAnsi="Palatino Linotype" w:cs="Palatino Linotype"/>
          <w:sz w:val="22"/>
          <w:szCs w:val="22"/>
        </w:rPr>
        <w:t xml:space="preserve"> </w:t>
      </w:r>
      <w:r w:rsidRPr="00B95BDF">
        <w:rPr>
          <w:rFonts w:ascii="Palatino Linotype" w:eastAsia="Palatino Linotype" w:hAnsi="Palatino Linotype" w:cs="Palatino Linotype"/>
          <w:b/>
          <w:sz w:val="22"/>
          <w:szCs w:val="22"/>
        </w:rPr>
        <w:t xml:space="preserve">Cuarto </w:t>
      </w:r>
      <w:r w:rsidRPr="00B95BDF">
        <w:rPr>
          <w:rFonts w:ascii="Palatino Linotype" w:eastAsia="Palatino Linotype" w:hAnsi="Palatino Linotype" w:cs="Palatino Linotype"/>
          <w:sz w:val="22"/>
          <w:szCs w:val="22"/>
        </w:rPr>
        <w:t xml:space="preserve">de esta resolución, se </w:t>
      </w:r>
      <w:r w:rsidRPr="00B95BDF">
        <w:rPr>
          <w:rFonts w:ascii="Palatino Linotype" w:eastAsia="Palatino Linotype" w:hAnsi="Palatino Linotype" w:cs="Palatino Linotype"/>
          <w:b/>
          <w:sz w:val="22"/>
          <w:szCs w:val="22"/>
        </w:rPr>
        <w:t xml:space="preserve">MODIFICA </w:t>
      </w:r>
      <w:r w:rsidRPr="00B95BDF">
        <w:rPr>
          <w:rFonts w:ascii="Palatino Linotype" w:eastAsia="Palatino Linotype" w:hAnsi="Palatino Linotype" w:cs="Palatino Linotype"/>
          <w:sz w:val="22"/>
          <w:szCs w:val="22"/>
        </w:rPr>
        <w:t xml:space="preserve">la respuesta emitida por el </w:t>
      </w:r>
      <w:r w:rsidRPr="00B95BDF">
        <w:rPr>
          <w:rFonts w:ascii="Palatino Linotype" w:eastAsia="Palatino Linotype" w:hAnsi="Palatino Linotype" w:cs="Palatino Linotype"/>
          <w:b/>
          <w:sz w:val="22"/>
          <w:szCs w:val="22"/>
        </w:rPr>
        <w:t xml:space="preserve">Sujeto Obligado. </w:t>
      </w:r>
    </w:p>
    <w:p w14:paraId="25094EAB" w14:textId="77777777" w:rsidR="00EE5403" w:rsidRPr="00B95BDF" w:rsidRDefault="00917C0A">
      <w:pPr>
        <w:spacing w:before="240" w:after="240" w:line="360" w:lineRule="auto"/>
        <w:ind w:right="49"/>
        <w:jc w:val="both"/>
        <w:rPr>
          <w:rFonts w:ascii="Palatino Linotype" w:eastAsia="Palatino Linotype" w:hAnsi="Palatino Linotype" w:cs="Palatino Linotype"/>
          <w:b/>
          <w:sz w:val="22"/>
          <w:szCs w:val="22"/>
        </w:rPr>
      </w:pPr>
      <w:bookmarkStart w:id="13" w:name="_heading=h.lnxbz9" w:colFirst="0" w:colLast="0"/>
      <w:bookmarkEnd w:id="13"/>
      <w:r w:rsidRPr="00B95BDF">
        <w:rPr>
          <w:rFonts w:ascii="Palatino Linotype" w:eastAsia="Palatino Linotype" w:hAnsi="Palatino Linotype" w:cs="Palatino Linotype"/>
          <w:b/>
          <w:sz w:val="22"/>
          <w:szCs w:val="22"/>
        </w:rPr>
        <w:t xml:space="preserve">Segundo. </w:t>
      </w:r>
      <w:r w:rsidRPr="00B95BDF">
        <w:rPr>
          <w:rFonts w:ascii="Palatino Linotype" w:eastAsia="Palatino Linotype" w:hAnsi="Palatino Linotype" w:cs="Palatino Linotype"/>
          <w:sz w:val="22"/>
          <w:szCs w:val="22"/>
        </w:rPr>
        <w:t xml:space="preserve">Se </w:t>
      </w:r>
      <w:r w:rsidRPr="00B95BDF">
        <w:rPr>
          <w:rFonts w:ascii="Palatino Linotype" w:eastAsia="Palatino Linotype" w:hAnsi="Palatino Linotype" w:cs="Palatino Linotype"/>
          <w:b/>
          <w:sz w:val="22"/>
          <w:szCs w:val="22"/>
        </w:rPr>
        <w:t>Ordena</w:t>
      </w:r>
      <w:r w:rsidRPr="00B95BDF">
        <w:rPr>
          <w:rFonts w:ascii="Palatino Linotype" w:eastAsia="Palatino Linotype" w:hAnsi="Palatino Linotype" w:cs="Palatino Linotype"/>
          <w:sz w:val="22"/>
          <w:szCs w:val="22"/>
        </w:rPr>
        <w:t xml:space="preserve"> al </w:t>
      </w:r>
      <w:r w:rsidRPr="00B95BDF">
        <w:rPr>
          <w:rFonts w:ascii="Palatino Linotype" w:eastAsia="Palatino Linotype" w:hAnsi="Palatino Linotype" w:cs="Palatino Linotype"/>
          <w:b/>
          <w:sz w:val="22"/>
          <w:szCs w:val="22"/>
        </w:rPr>
        <w:t>Sujeto Obligado</w:t>
      </w:r>
      <w:r w:rsidRPr="00B95BDF">
        <w:rPr>
          <w:rFonts w:ascii="Palatino Linotype" w:eastAsia="Palatino Linotype" w:hAnsi="Palatino Linotype" w:cs="Palatino Linotype"/>
          <w:sz w:val="22"/>
          <w:szCs w:val="22"/>
        </w:rPr>
        <w:t xml:space="preserve">, en términos de los Considerandos </w:t>
      </w:r>
      <w:r w:rsidRPr="00B95BDF">
        <w:rPr>
          <w:rFonts w:ascii="Palatino Linotype" w:eastAsia="Palatino Linotype" w:hAnsi="Palatino Linotype" w:cs="Palatino Linotype"/>
          <w:b/>
          <w:sz w:val="22"/>
          <w:szCs w:val="22"/>
        </w:rPr>
        <w:t xml:space="preserve">Cuarto y Quinto </w:t>
      </w:r>
      <w:r w:rsidRPr="00B95BDF">
        <w:rPr>
          <w:rFonts w:ascii="Palatino Linotype" w:eastAsia="Palatino Linotype" w:hAnsi="Palatino Linotype" w:cs="Palatino Linotype"/>
          <w:sz w:val="22"/>
          <w:szCs w:val="22"/>
        </w:rPr>
        <w:t>de esta resolución, haga entrega,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ser procedente en versión pública, lo siguiente:</w:t>
      </w:r>
    </w:p>
    <w:p w14:paraId="711BBD86" w14:textId="77777777" w:rsidR="00EE5403" w:rsidRPr="00B95BDF" w:rsidRDefault="00917C0A">
      <w:pPr>
        <w:numPr>
          <w:ilvl w:val="0"/>
          <w:numId w:val="2"/>
        </w:numPr>
        <w:pBdr>
          <w:top w:val="nil"/>
          <w:left w:val="nil"/>
          <w:bottom w:val="nil"/>
          <w:right w:val="nil"/>
          <w:between w:val="nil"/>
        </w:pBdr>
        <w:tabs>
          <w:tab w:val="left" w:pos="7655"/>
        </w:tabs>
        <w:spacing w:line="276" w:lineRule="auto"/>
        <w:ind w:left="567" w:right="900" w:hanging="283"/>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lastRenderedPageBreak/>
        <w:t xml:space="preserve">Los expedientes en los que el Sujeto Obligado haya tenido representación jurídica, en juicios en materia familiar de los años 2022 y 2023, que hayan causado estado.  </w:t>
      </w:r>
    </w:p>
    <w:p w14:paraId="5042C1DA" w14:textId="77777777" w:rsidR="00EE5403" w:rsidRPr="00B95BDF" w:rsidRDefault="00917C0A">
      <w:pPr>
        <w:numPr>
          <w:ilvl w:val="0"/>
          <w:numId w:val="2"/>
        </w:numPr>
        <w:pBdr>
          <w:top w:val="nil"/>
          <w:left w:val="nil"/>
          <w:bottom w:val="nil"/>
          <w:right w:val="nil"/>
          <w:between w:val="nil"/>
        </w:pBdr>
        <w:tabs>
          <w:tab w:val="left" w:pos="7655"/>
        </w:tabs>
        <w:spacing w:line="276" w:lineRule="auto"/>
        <w:ind w:left="567" w:right="900" w:hanging="283"/>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 xml:space="preserve">Acuerdo del Comité de Transparencia en el que se clasifique como información reservada, los expedientes en los que el Sujeto Obligado haya tenido representación jurídica, en juicios en materia familiar de los años 2022 y 2023, que a la fecha de la solicitud no hayan causado estado, de conformidad con los artículos 128, 129, 135 y 140 fracción VIII, de la Ley de Transparencia y Acceso a la Información Pública del Estado de México y Municipios. </w:t>
      </w:r>
    </w:p>
    <w:p w14:paraId="2C13B1EC" w14:textId="77777777" w:rsidR="00EE5403" w:rsidRPr="00B95BDF" w:rsidRDefault="00917C0A">
      <w:pPr>
        <w:numPr>
          <w:ilvl w:val="0"/>
          <w:numId w:val="2"/>
        </w:numPr>
        <w:pBdr>
          <w:top w:val="nil"/>
          <w:left w:val="nil"/>
          <w:bottom w:val="nil"/>
          <w:right w:val="nil"/>
          <w:between w:val="nil"/>
        </w:pBdr>
        <w:tabs>
          <w:tab w:val="left" w:pos="7655"/>
        </w:tabs>
        <w:spacing w:after="120" w:line="276" w:lineRule="auto"/>
        <w:ind w:left="567" w:right="900" w:hanging="283"/>
        <w:jc w:val="both"/>
        <w:rPr>
          <w:rFonts w:ascii="Palatino Linotype" w:eastAsia="Palatino Linotype" w:hAnsi="Palatino Linotype" w:cs="Palatino Linotype"/>
          <w:b/>
          <w:i/>
          <w:sz w:val="22"/>
          <w:szCs w:val="22"/>
        </w:rPr>
      </w:pPr>
      <w:r w:rsidRPr="00B95BDF">
        <w:rPr>
          <w:rFonts w:ascii="Palatino Linotype" w:eastAsia="Palatino Linotype" w:hAnsi="Palatino Linotype" w:cs="Palatino Linotype"/>
          <w:b/>
          <w:i/>
          <w:sz w:val="22"/>
          <w:szCs w:val="22"/>
        </w:rPr>
        <w:t>Los oficios firmados por el titular de la Dirección Jurídica del DIF de Tlalnepantla, de los años 2022 y 2023.</w:t>
      </w:r>
    </w:p>
    <w:p w14:paraId="0A9D6987" w14:textId="77777777" w:rsidR="00EE5403" w:rsidRPr="00B95BDF" w:rsidRDefault="00917C0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95BDF">
        <w:rPr>
          <w:rFonts w:ascii="Palatino Linotype" w:eastAsia="Palatino Linotype" w:hAnsi="Palatino Linotype" w:cs="Palatino Linotype"/>
          <w:b/>
          <w:i/>
          <w:sz w:val="22"/>
          <w:szCs w:val="22"/>
        </w:rPr>
        <w:t>Recurrente</w:t>
      </w:r>
      <w:r w:rsidRPr="00B95BDF">
        <w:rPr>
          <w:rFonts w:ascii="Palatino Linotype" w:eastAsia="Palatino Linotype" w:hAnsi="Palatino Linotype" w:cs="Palatino Linotype"/>
          <w:i/>
          <w:sz w:val="22"/>
          <w:szCs w:val="22"/>
        </w:rPr>
        <w:t>.</w:t>
      </w:r>
    </w:p>
    <w:p w14:paraId="53E61BC3" w14:textId="77777777" w:rsidR="00EE5403" w:rsidRPr="00B95BDF" w:rsidRDefault="00917C0A">
      <w:pP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b/>
          <w:i/>
          <w:sz w:val="22"/>
          <w:szCs w:val="22"/>
        </w:rPr>
        <w:t>En el supuesto que alguno de los oficios que se ordenan en el punto 2 no obre en los archivos del Sujeto Obligado por no haberse generado o se hubieran cancelado,</w:t>
      </w:r>
      <w:r w:rsidRPr="00B95BDF">
        <w:rPr>
          <w:rFonts w:ascii="Palatino Linotype" w:eastAsia="Palatino Linotype" w:hAnsi="Palatino Linotype" w:cs="Palatino Linotype"/>
          <w:i/>
          <w:sz w:val="22"/>
          <w:szCs w:val="22"/>
        </w:rPr>
        <w:t xml:space="preserve">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14:paraId="3DC3D8C3" w14:textId="77777777" w:rsidR="00EE5403" w:rsidRPr="00B95BDF" w:rsidRDefault="00EE5403">
      <w:pPr>
        <w:spacing w:line="276" w:lineRule="auto"/>
        <w:ind w:left="567" w:right="900"/>
        <w:jc w:val="both"/>
        <w:rPr>
          <w:rFonts w:ascii="Palatino Linotype" w:eastAsia="Palatino Linotype" w:hAnsi="Palatino Linotype" w:cs="Palatino Linotype"/>
          <w:i/>
          <w:sz w:val="22"/>
          <w:szCs w:val="22"/>
        </w:rPr>
      </w:pPr>
    </w:p>
    <w:p w14:paraId="1D5F9146" w14:textId="77777777" w:rsidR="00EE5403" w:rsidRPr="00B95BDF" w:rsidRDefault="00917C0A">
      <w:pPr>
        <w:spacing w:line="276" w:lineRule="auto"/>
        <w:ind w:left="567" w:right="900"/>
        <w:jc w:val="both"/>
        <w:rPr>
          <w:rFonts w:ascii="Palatino Linotype" w:eastAsia="Palatino Linotype" w:hAnsi="Palatino Linotype" w:cs="Palatino Linotype"/>
          <w:i/>
          <w:sz w:val="22"/>
          <w:szCs w:val="22"/>
        </w:rPr>
      </w:pPr>
      <w:r w:rsidRPr="00B95BDF">
        <w:rPr>
          <w:rFonts w:ascii="Palatino Linotype" w:eastAsia="Palatino Linotype" w:hAnsi="Palatino Linotype" w:cs="Palatino Linotype"/>
          <w:i/>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w:t>
      </w:r>
      <w:r w:rsidRPr="00B95BDF">
        <w:rPr>
          <w:rFonts w:ascii="Palatino Linotype" w:eastAsia="Palatino Linotype" w:hAnsi="Palatino Linotype" w:cs="Palatino Linotype"/>
          <w:b/>
          <w:i/>
          <w:sz w:val="22"/>
          <w:szCs w:val="22"/>
        </w:rPr>
        <w:t>la parte Recurrente</w:t>
      </w:r>
      <w:r w:rsidRPr="00B95BDF">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7654FB80" w14:textId="77777777" w:rsidR="00EE5403" w:rsidRPr="00B95BDF" w:rsidRDefault="00EE5403">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p>
    <w:p w14:paraId="35414BDF" w14:textId="77777777" w:rsidR="00EE5403" w:rsidRPr="00B95BDF" w:rsidRDefault="00917C0A">
      <w:pPr>
        <w:spacing w:before="240" w:after="240" w:line="360" w:lineRule="auto"/>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Tercero.  Notifíquese vía SAIMEX, </w:t>
      </w:r>
      <w:r w:rsidRPr="00B95BD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0872EB" w14:textId="77777777"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Cuarto. </w:t>
      </w:r>
      <w:r w:rsidRPr="00B95BDF">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2D7118" w14:textId="267AE6E4" w:rsidR="00EE5403" w:rsidRPr="00B95BDF" w:rsidRDefault="00917C0A">
      <w:pPr>
        <w:spacing w:before="240" w:after="240" w:line="360" w:lineRule="auto"/>
        <w:ind w:right="49"/>
        <w:jc w:val="both"/>
        <w:rPr>
          <w:rFonts w:ascii="Palatino Linotype" w:eastAsia="Palatino Linotype" w:hAnsi="Palatino Linotype" w:cs="Palatino Linotype"/>
          <w:sz w:val="22"/>
          <w:szCs w:val="22"/>
        </w:rPr>
      </w:pPr>
      <w:r w:rsidRPr="00B95BDF">
        <w:rPr>
          <w:rFonts w:ascii="Palatino Linotype" w:eastAsia="Palatino Linotype" w:hAnsi="Palatino Linotype" w:cs="Palatino Linotype"/>
          <w:b/>
          <w:sz w:val="22"/>
          <w:szCs w:val="22"/>
        </w:rPr>
        <w:t xml:space="preserve">Quinto. Notifíquese vía SAIMEX, </w:t>
      </w:r>
      <w:r w:rsidRPr="00B95BDF">
        <w:rPr>
          <w:rFonts w:ascii="Palatino Linotype" w:eastAsia="Palatino Linotype" w:hAnsi="Palatino Linotype" w:cs="Palatino Linotype"/>
          <w:sz w:val="22"/>
          <w:szCs w:val="22"/>
        </w:rPr>
        <w:t>a</w:t>
      </w:r>
      <w:r w:rsidRPr="00B95BDF">
        <w:rPr>
          <w:rFonts w:ascii="Palatino Linotype" w:eastAsia="Palatino Linotype" w:hAnsi="Palatino Linotype" w:cs="Palatino Linotype"/>
          <w:b/>
          <w:sz w:val="22"/>
          <w:szCs w:val="22"/>
        </w:rPr>
        <w:t xml:space="preserve"> la parte Recurrente</w:t>
      </w:r>
      <w:r w:rsidRPr="00B95BDF">
        <w:rPr>
          <w:rFonts w:ascii="Palatino Linotype" w:eastAsia="Palatino Linotype" w:hAnsi="Palatino Linotype" w:cs="Palatino Linotype"/>
          <w:sz w:val="22"/>
          <w:szCs w:val="22"/>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53F886E7" w14:textId="77777777" w:rsidR="00674614" w:rsidRPr="00B95BDF" w:rsidRDefault="00674614">
      <w:pPr>
        <w:spacing w:before="240" w:after="240" w:line="360" w:lineRule="auto"/>
        <w:ind w:right="49"/>
        <w:jc w:val="both"/>
        <w:rPr>
          <w:rFonts w:ascii="Palatino Linotype" w:eastAsia="Palatino Linotype" w:hAnsi="Palatino Linotype" w:cs="Palatino Linotype"/>
          <w:sz w:val="22"/>
          <w:szCs w:val="22"/>
        </w:rPr>
      </w:pPr>
    </w:p>
    <w:p w14:paraId="7A5889BF" w14:textId="77777777" w:rsidR="00EE5403" w:rsidRPr="00B95BDF" w:rsidRDefault="00917C0A">
      <w:pPr>
        <w:spacing w:line="360" w:lineRule="auto"/>
        <w:jc w:val="both"/>
        <w:rPr>
          <w:rFonts w:ascii="Palatino Linotype" w:eastAsia="Palatino Linotype" w:hAnsi="Palatino Linotype" w:cs="Palatino Linotype"/>
        </w:rPr>
      </w:pPr>
      <w:bookmarkStart w:id="14" w:name="_heading=h.17dp8vu" w:colFirst="0" w:colLast="0"/>
      <w:bookmarkEnd w:id="14"/>
      <w:r w:rsidRPr="00B95BDF">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CUARTA SESIÓN ORDINARIA, CELEBRADA EL VEINTICINCO DE SEPTIEMBRE DE DOS MIL VEINTICUATRO, ANTE EL SECRETARIO TÉCNICO DEL PLENO ALEXIS TAPIA RAMÍREZ. </w:t>
      </w:r>
    </w:p>
    <w:p w14:paraId="31A95109" w14:textId="77777777" w:rsidR="00EE5403" w:rsidRPr="00B95BDF" w:rsidRDefault="00EE5403">
      <w:pPr>
        <w:rPr>
          <w:rFonts w:ascii="Palatino Linotype" w:eastAsia="Palatino Linotype" w:hAnsi="Palatino Linotype" w:cs="Palatino Linotype"/>
        </w:rPr>
      </w:pPr>
    </w:p>
    <w:p w14:paraId="4796886E" w14:textId="09E4CB3B" w:rsidR="00EE5403" w:rsidRPr="00B95BDF" w:rsidRDefault="00E870B1" w:rsidP="00E870B1">
      <w:pPr>
        <w:tabs>
          <w:tab w:val="left" w:pos="2805"/>
        </w:tabs>
        <w:rPr>
          <w:rFonts w:ascii="Palatino Linotype" w:eastAsia="Palatino Linotype" w:hAnsi="Palatino Linotype" w:cs="Palatino Linotype"/>
        </w:rPr>
      </w:pPr>
      <w:r w:rsidRPr="00B95BDF">
        <w:rPr>
          <w:rFonts w:ascii="Palatino Linotype" w:eastAsia="Palatino Linotype" w:hAnsi="Palatino Linotype" w:cs="Palatino Linotype"/>
        </w:rPr>
        <w:tab/>
      </w:r>
    </w:p>
    <w:p w14:paraId="74FCCCB5" w14:textId="77777777" w:rsidR="00EE5403" w:rsidRPr="00B95BDF" w:rsidRDefault="00EE5403">
      <w:pPr>
        <w:spacing w:line="360" w:lineRule="auto"/>
        <w:jc w:val="both"/>
        <w:rPr>
          <w:rFonts w:ascii="Palatino Linotype" w:eastAsia="Palatino Linotype" w:hAnsi="Palatino Linotype" w:cs="Palatino Linotype"/>
        </w:rPr>
      </w:pPr>
      <w:bookmarkStart w:id="15" w:name="_heading=h.3rdcrjn" w:colFirst="0" w:colLast="0"/>
      <w:bookmarkEnd w:id="15"/>
    </w:p>
    <w:p w14:paraId="21463969" w14:textId="77777777" w:rsidR="00EE5403" w:rsidRPr="00B95BDF" w:rsidRDefault="00EE5403">
      <w:pPr>
        <w:spacing w:line="360" w:lineRule="auto"/>
        <w:jc w:val="both"/>
        <w:rPr>
          <w:rFonts w:ascii="Palatino Linotype" w:eastAsia="Palatino Linotype" w:hAnsi="Palatino Linotype" w:cs="Palatino Linotype"/>
        </w:rPr>
      </w:pPr>
    </w:p>
    <w:p w14:paraId="1E153C26" w14:textId="77777777" w:rsidR="00EE5403" w:rsidRPr="00B95BDF" w:rsidRDefault="00EE5403">
      <w:pPr>
        <w:spacing w:line="360" w:lineRule="auto"/>
        <w:jc w:val="both"/>
        <w:rPr>
          <w:rFonts w:ascii="Palatino Linotype" w:eastAsia="Palatino Linotype" w:hAnsi="Palatino Linotype" w:cs="Palatino Linotype"/>
        </w:rPr>
      </w:pPr>
    </w:p>
    <w:p w14:paraId="2FB150D4" w14:textId="77777777" w:rsidR="00EE5403" w:rsidRPr="00B95BDF" w:rsidRDefault="00EE5403">
      <w:pPr>
        <w:spacing w:line="360" w:lineRule="auto"/>
        <w:jc w:val="both"/>
        <w:rPr>
          <w:rFonts w:ascii="Palatino Linotype" w:eastAsia="Palatino Linotype" w:hAnsi="Palatino Linotype" w:cs="Palatino Linotype"/>
        </w:rPr>
      </w:pPr>
      <w:bookmarkStart w:id="16" w:name="_heading=h.1t3h5sf" w:colFirst="0" w:colLast="0"/>
      <w:bookmarkEnd w:id="16"/>
    </w:p>
    <w:p w14:paraId="40769262" w14:textId="77777777" w:rsidR="00EE5403" w:rsidRPr="00B95BDF" w:rsidRDefault="00EE5403">
      <w:pPr>
        <w:spacing w:line="360" w:lineRule="auto"/>
        <w:jc w:val="both"/>
        <w:rPr>
          <w:rFonts w:ascii="Palatino Linotype" w:eastAsia="Palatino Linotype" w:hAnsi="Palatino Linotype" w:cs="Palatino Linotype"/>
        </w:rPr>
      </w:pPr>
    </w:p>
    <w:p w14:paraId="1FDA8A60" w14:textId="77777777" w:rsidR="00EE5403" w:rsidRPr="00B95BDF" w:rsidRDefault="00EE5403">
      <w:pPr>
        <w:spacing w:line="360" w:lineRule="auto"/>
        <w:jc w:val="both"/>
        <w:rPr>
          <w:rFonts w:ascii="Palatino Linotype" w:eastAsia="Palatino Linotype" w:hAnsi="Palatino Linotype" w:cs="Palatino Linotype"/>
        </w:rPr>
      </w:pPr>
    </w:p>
    <w:p w14:paraId="1DFB5760" w14:textId="77777777" w:rsidR="00EE5403" w:rsidRPr="00B95BDF" w:rsidRDefault="00EE5403">
      <w:pPr>
        <w:spacing w:line="360" w:lineRule="auto"/>
        <w:jc w:val="both"/>
        <w:rPr>
          <w:rFonts w:ascii="Palatino Linotype" w:eastAsia="Palatino Linotype" w:hAnsi="Palatino Linotype" w:cs="Palatino Linotype"/>
        </w:rPr>
      </w:pPr>
    </w:p>
    <w:p w14:paraId="4E53B0D3" w14:textId="77777777" w:rsidR="00EE5403" w:rsidRPr="00B95BDF" w:rsidRDefault="00EE5403">
      <w:pPr>
        <w:spacing w:line="360" w:lineRule="auto"/>
        <w:jc w:val="both"/>
        <w:rPr>
          <w:rFonts w:ascii="Palatino Linotype" w:eastAsia="Palatino Linotype" w:hAnsi="Palatino Linotype" w:cs="Palatino Linotype"/>
        </w:rPr>
      </w:pPr>
    </w:p>
    <w:p w14:paraId="7BB37C45" w14:textId="77777777" w:rsidR="00EE5403" w:rsidRPr="00B95BDF" w:rsidRDefault="00EE5403">
      <w:pPr>
        <w:spacing w:line="360" w:lineRule="auto"/>
        <w:jc w:val="both"/>
        <w:rPr>
          <w:rFonts w:ascii="Palatino Linotype" w:eastAsia="Palatino Linotype" w:hAnsi="Palatino Linotype" w:cs="Palatino Linotype"/>
        </w:rPr>
      </w:pPr>
    </w:p>
    <w:p w14:paraId="2FB3594E" w14:textId="77777777" w:rsidR="00EE5403" w:rsidRPr="00B95BDF" w:rsidRDefault="00EE5403">
      <w:pPr>
        <w:spacing w:line="360" w:lineRule="auto"/>
        <w:jc w:val="both"/>
        <w:rPr>
          <w:rFonts w:ascii="Palatino Linotype" w:eastAsia="Palatino Linotype" w:hAnsi="Palatino Linotype" w:cs="Palatino Linotype"/>
        </w:rPr>
      </w:pPr>
    </w:p>
    <w:p w14:paraId="0E75D117" w14:textId="77777777" w:rsidR="00EE5403" w:rsidRPr="00B95BDF" w:rsidRDefault="00EE5403">
      <w:pPr>
        <w:spacing w:line="360" w:lineRule="auto"/>
        <w:jc w:val="both"/>
        <w:rPr>
          <w:rFonts w:ascii="Palatino Linotype" w:eastAsia="Palatino Linotype" w:hAnsi="Palatino Linotype" w:cs="Palatino Linotype"/>
        </w:rPr>
      </w:pPr>
    </w:p>
    <w:p w14:paraId="58E32B55" w14:textId="77777777" w:rsidR="00EE5403" w:rsidRPr="00B95BDF" w:rsidRDefault="00EE5403">
      <w:pPr>
        <w:spacing w:line="360" w:lineRule="auto"/>
        <w:jc w:val="both"/>
        <w:rPr>
          <w:rFonts w:ascii="Palatino Linotype" w:eastAsia="Palatino Linotype" w:hAnsi="Palatino Linotype" w:cs="Palatino Linotype"/>
        </w:rPr>
      </w:pPr>
    </w:p>
    <w:p w14:paraId="1E023CC3" w14:textId="77777777" w:rsidR="00EE5403" w:rsidRPr="00B95BDF" w:rsidRDefault="00EE5403">
      <w:pPr>
        <w:spacing w:line="360" w:lineRule="auto"/>
        <w:jc w:val="both"/>
        <w:rPr>
          <w:rFonts w:ascii="Palatino Linotype" w:eastAsia="Palatino Linotype" w:hAnsi="Palatino Linotype" w:cs="Palatino Linotype"/>
        </w:rPr>
      </w:pPr>
    </w:p>
    <w:p w14:paraId="56E1D95C" w14:textId="77777777" w:rsidR="00EE5403" w:rsidRPr="00B95BDF" w:rsidRDefault="00EE5403">
      <w:pPr>
        <w:spacing w:line="360" w:lineRule="auto"/>
        <w:jc w:val="both"/>
        <w:rPr>
          <w:rFonts w:ascii="Palatino Linotype" w:eastAsia="Palatino Linotype" w:hAnsi="Palatino Linotype" w:cs="Palatino Linotype"/>
        </w:rPr>
      </w:pPr>
    </w:p>
    <w:p w14:paraId="315C7411" w14:textId="77777777" w:rsidR="00EE5403" w:rsidRPr="00B95BDF" w:rsidRDefault="00EE5403">
      <w:pPr>
        <w:spacing w:line="360" w:lineRule="auto"/>
        <w:jc w:val="both"/>
        <w:rPr>
          <w:rFonts w:ascii="Palatino Linotype" w:eastAsia="Palatino Linotype" w:hAnsi="Palatino Linotype" w:cs="Palatino Linotype"/>
        </w:rPr>
      </w:pPr>
    </w:p>
    <w:p w14:paraId="42DD7B41" w14:textId="77777777" w:rsidR="00EE5403" w:rsidRPr="00B95BDF" w:rsidRDefault="00EE5403">
      <w:pPr>
        <w:spacing w:line="360" w:lineRule="auto"/>
        <w:jc w:val="both"/>
        <w:rPr>
          <w:rFonts w:ascii="Palatino Linotype" w:eastAsia="Palatino Linotype" w:hAnsi="Palatino Linotype" w:cs="Palatino Linotype"/>
        </w:rPr>
      </w:pPr>
    </w:p>
    <w:p w14:paraId="45CE469A" w14:textId="77777777" w:rsidR="00EE5403" w:rsidRPr="00B95BDF" w:rsidRDefault="00EE5403">
      <w:pPr>
        <w:spacing w:line="360" w:lineRule="auto"/>
        <w:jc w:val="both"/>
        <w:rPr>
          <w:rFonts w:ascii="Palatino Linotype" w:eastAsia="Palatino Linotype" w:hAnsi="Palatino Linotype" w:cs="Palatino Linotype"/>
        </w:rPr>
      </w:pPr>
    </w:p>
    <w:p w14:paraId="1577618F" w14:textId="77777777" w:rsidR="00EE5403" w:rsidRPr="00B95BDF" w:rsidRDefault="00EE5403">
      <w:pPr>
        <w:spacing w:line="360" w:lineRule="auto"/>
        <w:jc w:val="both"/>
        <w:rPr>
          <w:rFonts w:ascii="Palatino Linotype" w:eastAsia="Palatino Linotype" w:hAnsi="Palatino Linotype" w:cs="Palatino Linotype"/>
        </w:rPr>
      </w:pPr>
    </w:p>
    <w:p w14:paraId="1FE655BC" w14:textId="77777777" w:rsidR="00EE5403" w:rsidRPr="00B95BDF" w:rsidRDefault="00EE5403">
      <w:pPr>
        <w:spacing w:line="360" w:lineRule="auto"/>
        <w:jc w:val="both"/>
        <w:rPr>
          <w:rFonts w:ascii="Palatino Linotype" w:eastAsia="Palatino Linotype" w:hAnsi="Palatino Linotype" w:cs="Palatino Linotype"/>
        </w:rPr>
      </w:pPr>
    </w:p>
    <w:p w14:paraId="6273DC45" w14:textId="77777777" w:rsidR="00EE5403" w:rsidRPr="00B95BDF" w:rsidRDefault="00EE5403">
      <w:pPr>
        <w:spacing w:line="360" w:lineRule="auto"/>
        <w:jc w:val="both"/>
        <w:rPr>
          <w:rFonts w:ascii="Palatino Linotype" w:eastAsia="Palatino Linotype" w:hAnsi="Palatino Linotype" w:cs="Palatino Linotype"/>
        </w:rPr>
      </w:pPr>
    </w:p>
    <w:p w14:paraId="11D62E24" w14:textId="77777777" w:rsidR="00EE5403" w:rsidRPr="00B95BDF" w:rsidRDefault="00EE5403">
      <w:pPr>
        <w:spacing w:line="360" w:lineRule="auto"/>
        <w:jc w:val="both"/>
        <w:rPr>
          <w:rFonts w:ascii="Palatino Linotype" w:eastAsia="Palatino Linotype" w:hAnsi="Palatino Linotype" w:cs="Palatino Linotype"/>
        </w:rPr>
      </w:pPr>
    </w:p>
    <w:p w14:paraId="60B4E435" w14:textId="77777777" w:rsidR="00EE5403" w:rsidRPr="00B95BDF" w:rsidRDefault="00EE5403">
      <w:pPr>
        <w:spacing w:line="360" w:lineRule="auto"/>
        <w:jc w:val="both"/>
        <w:rPr>
          <w:rFonts w:ascii="Palatino Linotype" w:eastAsia="Palatino Linotype" w:hAnsi="Palatino Linotype" w:cs="Palatino Linotype"/>
        </w:rPr>
      </w:pPr>
    </w:p>
    <w:p w14:paraId="16A3A9E3" w14:textId="77777777" w:rsidR="00EE5403" w:rsidRPr="00B95BDF" w:rsidRDefault="00EE5403">
      <w:pPr>
        <w:spacing w:line="360" w:lineRule="auto"/>
        <w:jc w:val="both"/>
        <w:rPr>
          <w:rFonts w:ascii="Palatino Linotype" w:eastAsia="Palatino Linotype" w:hAnsi="Palatino Linotype" w:cs="Palatino Linotype"/>
        </w:rPr>
      </w:pPr>
    </w:p>
    <w:sectPr w:rsidR="00EE5403" w:rsidRPr="00B95BDF">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56FED" w14:textId="77777777" w:rsidR="00C1681B" w:rsidRDefault="00C1681B">
      <w:r>
        <w:separator/>
      </w:r>
    </w:p>
  </w:endnote>
  <w:endnote w:type="continuationSeparator" w:id="0">
    <w:p w14:paraId="19D8DD21" w14:textId="77777777" w:rsidR="00C1681B" w:rsidRDefault="00C1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718B" w14:textId="77777777" w:rsidR="00EE5403" w:rsidRDefault="00917C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14:paraId="6B28A441" w14:textId="77777777" w:rsidR="00EE5403" w:rsidRDefault="00EE540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97DD" w14:textId="77777777" w:rsidR="00EE5403" w:rsidRDefault="00917C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14:paraId="2D4EB4C8" w14:textId="77777777" w:rsidR="00EE5403" w:rsidRDefault="00EE540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B235" w14:textId="77777777" w:rsidR="00C1681B" w:rsidRDefault="00C1681B">
      <w:r>
        <w:separator/>
      </w:r>
    </w:p>
  </w:footnote>
  <w:footnote w:type="continuationSeparator" w:id="0">
    <w:p w14:paraId="699EB77D" w14:textId="77777777" w:rsidR="00C1681B" w:rsidRDefault="00C1681B">
      <w:r>
        <w:continuationSeparator/>
      </w:r>
    </w:p>
  </w:footnote>
  <w:footnote w:id="1">
    <w:p w14:paraId="54C1CD2C" w14:textId="77777777" w:rsidR="00EE5403" w:rsidRDefault="00917C0A">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9E8FF6E" w14:textId="77777777" w:rsidR="00EE5403" w:rsidRDefault="00917C0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6A9BEEC2" w14:textId="77777777" w:rsidR="00EE5403" w:rsidRDefault="00917C0A">
      <w:pPr>
        <w:pBdr>
          <w:top w:val="nil"/>
          <w:left w:val="nil"/>
          <w:bottom w:val="nil"/>
          <w:right w:val="nil"/>
          <w:between w:val="nil"/>
        </w:pBdr>
        <w:rPr>
          <w:color w:val="000000"/>
          <w:sz w:val="16"/>
          <w:szCs w:val="16"/>
        </w:rPr>
      </w:pPr>
      <w:r>
        <w:rPr>
          <w:vertAlign w:val="superscript"/>
        </w:rPr>
        <w:footnoteRef/>
      </w:r>
      <w:r>
        <w:rPr>
          <w:rFonts w:ascii="Aptos" w:eastAsia="Aptos" w:hAnsi="Aptos" w:cs="Aptos"/>
          <w:color w:val="000000"/>
          <w:sz w:val="20"/>
          <w:szCs w:val="20"/>
        </w:rPr>
        <w:t xml:space="preserve"> </w:t>
      </w:r>
      <w:r>
        <w:rPr>
          <w:rFonts w:ascii="Palatino Linotype" w:eastAsia="Palatino Linotype" w:hAnsi="Palatino Linotype" w:cs="Palatino Linotype"/>
          <w:color w:val="000000"/>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7B237379" w14:textId="77777777" w:rsidR="00EE5403" w:rsidRDefault="00917C0A">
      <w:pPr>
        <w:pBdr>
          <w:top w:val="nil"/>
          <w:left w:val="nil"/>
          <w:bottom w:val="nil"/>
          <w:right w:val="nil"/>
          <w:between w:val="nil"/>
        </w:pBdr>
        <w:rPr>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Sergio López Ayllón y Alejandro Posadas. “Las pruebas de Daño e Interés Público en materia de acceso a la información. Una perspectiva comparada” en Derecho comparada de la Información, enero-junio de 2007.</w:t>
      </w:r>
    </w:p>
  </w:footnote>
  <w:footnote w:id="4">
    <w:p w14:paraId="1A11D17C" w14:textId="77777777" w:rsidR="00EE5403" w:rsidRDefault="00917C0A">
      <w:pPr>
        <w:rPr>
          <w:color w:val="000000"/>
          <w:sz w:val="16"/>
          <w:szCs w:val="16"/>
        </w:rPr>
      </w:pPr>
      <w:r>
        <w:rPr>
          <w:vertAlign w:val="superscript"/>
        </w:rPr>
        <w:footnoteRef/>
      </w:r>
      <w:r>
        <w:rPr>
          <w:color w:val="000000"/>
          <w:sz w:val="16"/>
          <w:szCs w:val="16"/>
        </w:rPr>
        <w:t xml:space="preserve"> “En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389E4482" w14:textId="77777777" w:rsidR="00EE5403" w:rsidRDefault="00917C0A">
      <w:pPr>
        <w:pBdr>
          <w:top w:val="nil"/>
          <w:left w:val="nil"/>
          <w:bottom w:val="nil"/>
          <w:right w:val="nil"/>
          <w:between w:val="nil"/>
        </w:pBdr>
        <w:rPr>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A112" w14:textId="77777777" w:rsidR="00EE5403" w:rsidRDefault="00917C0A">
    <w:pPr>
      <w:rPr>
        <w:rFonts w:ascii="Cambria" w:eastAsia="Cambria" w:hAnsi="Cambria" w:cs="Cambria"/>
        <w:color w:val="000000"/>
      </w:rPr>
    </w:pPr>
    <w:r>
      <w:rPr>
        <w:noProof/>
      </w:rPr>
      <w:drawing>
        <wp:anchor distT="0" distB="0" distL="0" distR="0" simplePos="0" relativeHeight="251658240" behindDoc="1" locked="0" layoutInCell="1" hidden="0" allowOverlap="1" wp14:anchorId="194D791C" wp14:editId="4C2BD361">
          <wp:simplePos x="0" y="0"/>
          <wp:positionH relativeFrom="column">
            <wp:posOffset>-1080131</wp:posOffset>
          </wp:positionH>
          <wp:positionV relativeFrom="paragraph">
            <wp:posOffset>-354327</wp:posOffset>
          </wp:positionV>
          <wp:extent cx="7809865" cy="10165715"/>
          <wp:effectExtent l="0" t="0" r="0" b="0"/>
          <wp:wrapNone/>
          <wp:docPr id="1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EE5403" w14:paraId="153D0F56" w14:textId="77777777">
      <w:tc>
        <w:tcPr>
          <w:tcW w:w="2489" w:type="dxa"/>
          <w:shd w:val="clear" w:color="auto" w:fill="auto"/>
        </w:tcPr>
        <w:p w14:paraId="7944F1EC" w14:textId="77777777" w:rsidR="00EE5403" w:rsidRDefault="00917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501E863" w14:textId="77777777" w:rsidR="00EE5403" w:rsidRDefault="00917C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03004/INFOEM/IP/RR/2024</w:t>
          </w:r>
        </w:p>
      </w:tc>
    </w:tr>
    <w:tr w:rsidR="00EE5403" w14:paraId="545B624B" w14:textId="77777777">
      <w:trPr>
        <w:trHeight w:val="228"/>
      </w:trPr>
      <w:tc>
        <w:tcPr>
          <w:tcW w:w="2489" w:type="dxa"/>
          <w:shd w:val="clear" w:color="auto" w:fill="auto"/>
          <w:vAlign w:val="center"/>
        </w:tcPr>
        <w:p w14:paraId="628202E6" w14:textId="77777777" w:rsidR="00EE5403" w:rsidRDefault="00917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0B61549" w14:textId="77777777" w:rsidR="00EE5403" w:rsidRDefault="00917C0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Tlalnepantla de Baz</w:t>
          </w:r>
        </w:p>
      </w:tc>
    </w:tr>
    <w:tr w:rsidR="00EE5403" w14:paraId="25984BDD" w14:textId="77777777">
      <w:tc>
        <w:tcPr>
          <w:tcW w:w="2489" w:type="dxa"/>
          <w:shd w:val="clear" w:color="auto" w:fill="auto"/>
          <w:vAlign w:val="center"/>
        </w:tcPr>
        <w:p w14:paraId="50D6A9BE" w14:textId="77777777" w:rsidR="00EE5403" w:rsidRDefault="00917C0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63AB756" w14:textId="77777777" w:rsidR="00EE5403" w:rsidRDefault="00917C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A32D28" w14:textId="77777777" w:rsidR="00EE5403" w:rsidRDefault="00917C0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BB39" w14:textId="77777777" w:rsidR="00EE5403" w:rsidRDefault="00917C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8591085" wp14:editId="1BDBA7D1">
          <wp:simplePos x="0" y="0"/>
          <wp:positionH relativeFrom="column">
            <wp:posOffset>-1079490</wp:posOffset>
          </wp:positionH>
          <wp:positionV relativeFrom="paragraph">
            <wp:posOffset>-328919</wp:posOffset>
          </wp:positionV>
          <wp:extent cx="7809865" cy="10165715"/>
          <wp:effectExtent l="0" t="0" r="0" b="0"/>
          <wp:wrapNone/>
          <wp:docPr id="1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6378" w:type="dxa"/>
      <w:tblInd w:w="3261" w:type="dxa"/>
      <w:tblLayout w:type="fixed"/>
      <w:tblLook w:val="0400" w:firstRow="0" w:lastRow="0" w:firstColumn="0" w:lastColumn="0" w:noHBand="0" w:noVBand="1"/>
    </w:tblPr>
    <w:tblGrid>
      <w:gridCol w:w="2551"/>
      <w:gridCol w:w="3827"/>
    </w:tblGrid>
    <w:tr w:rsidR="00EE5403" w14:paraId="11A8ACD9" w14:textId="77777777">
      <w:tc>
        <w:tcPr>
          <w:tcW w:w="2551" w:type="dxa"/>
          <w:shd w:val="clear" w:color="auto" w:fill="auto"/>
          <w:vAlign w:val="center"/>
        </w:tcPr>
        <w:p w14:paraId="386B5592" w14:textId="77777777" w:rsidR="00EE5403" w:rsidRDefault="00917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08BE900B" w14:textId="77777777" w:rsidR="00EE5403" w:rsidRDefault="00917C0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03004/INFOEM/IP/RR/2024</w:t>
          </w:r>
        </w:p>
      </w:tc>
    </w:tr>
    <w:tr w:rsidR="00EE5403" w14:paraId="62042C16" w14:textId="77777777">
      <w:trPr>
        <w:trHeight w:val="130"/>
      </w:trPr>
      <w:tc>
        <w:tcPr>
          <w:tcW w:w="2551" w:type="dxa"/>
          <w:shd w:val="clear" w:color="auto" w:fill="auto"/>
          <w:vAlign w:val="center"/>
        </w:tcPr>
        <w:p w14:paraId="0EFBB2D0" w14:textId="77777777" w:rsidR="00EE5403" w:rsidRDefault="00917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69078EF5" w14:textId="7D509F77" w:rsidR="00EE5403" w:rsidRDefault="00631116">
          <w:pPr>
            <w:ind w:left="-45" w:right="593"/>
            <w:jc w:val="both"/>
            <w:rPr>
              <w:rFonts w:ascii="Palatino Linotype" w:eastAsia="Palatino Linotype" w:hAnsi="Palatino Linotype" w:cs="Palatino Linotype"/>
              <w:b/>
              <w:sz w:val="22"/>
              <w:szCs w:val="22"/>
            </w:rPr>
          </w:pPr>
          <w:bookmarkStart w:id="17" w:name="_Hlk178867488"/>
          <w:r>
            <w:rPr>
              <w:rFonts w:ascii="Palatino Linotype" w:eastAsia="Palatino Linotype" w:hAnsi="Palatino Linotype" w:cs="Palatino Linotype"/>
              <w:b/>
              <w:sz w:val="22"/>
              <w:szCs w:val="22"/>
            </w:rPr>
            <w:t xml:space="preserve">XXXXXXXXXXX X XXXXXX </w:t>
          </w:r>
          <w:bookmarkEnd w:id="17"/>
        </w:p>
      </w:tc>
    </w:tr>
    <w:tr w:rsidR="00EE5403" w14:paraId="0980AC04" w14:textId="77777777">
      <w:trPr>
        <w:trHeight w:val="228"/>
      </w:trPr>
      <w:tc>
        <w:tcPr>
          <w:tcW w:w="2551" w:type="dxa"/>
          <w:shd w:val="clear" w:color="auto" w:fill="auto"/>
          <w:vAlign w:val="center"/>
        </w:tcPr>
        <w:p w14:paraId="551C3516" w14:textId="77777777" w:rsidR="00EE5403" w:rsidRDefault="00917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362D78D1" w14:textId="77777777" w:rsidR="00EE5403" w:rsidRDefault="00917C0A">
          <w:pPr>
            <w:ind w:left="-4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Tlalnepantla de Baz</w:t>
          </w:r>
        </w:p>
      </w:tc>
    </w:tr>
    <w:tr w:rsidR="00EE5403" w14:paraId="13AEDE28" w14:textId="77777777">
      <w:tc>
        <w:tcPr>
          <w:tcW w:w="2551" w:type="dxa"/>
          <w:shd w:val="clear" w:color="auto" w:fill="auto"/>
          <w:vAlign w:val="center"/>
        </w:tcPr>
        <w:p w14:paraId="2853D0DF" w14:textId="77777777" w:rsidR="00EE5403" w:rsidRDefault="00917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3280D66D" w14:textId="77777777" w:rsidR="00EE5403" w:rsidRDefault="00917C0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8D4DBE" w14:textId="77777777" w:rsidR="00EE5403" w:rsidRDefault="00EE5403">
    <w:pPr>
      <w:pBdr>
        <w:top w:val="nil"/>
        <w:left w:val="nil"/>
        <w:bottom w:val="nil"/>
        <w:right w:val="nil"/>
        <w:between w:val="nil"/>
      </w:pBdr>
      <w:tabs>
        <w:tab w:val="center" w:pos="4252"/>
        <w:tab w:val="right" w:pos="8504"/>
      </w:tabs>
      <w:rPr>
        <w:rFonts w:ascii="Cambria" w:eastAsia="Cambria" w:hAnsi="Cambria" w:cs="Cambria"/>
        <w:color w:val="000000"/>
      </w:rPr>
    </w:pPr>
  </w:p>
  <w:p w14:paraId="65EC481D" w14:textId="77777777" w:rsidR="00EE5403" w:rsidRDefault="00EE54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0086"/>
    <w:multiLevelType w:val="multilevel"/>
    <w:tmpl w:val="A0C2A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C3E76"/>
    <w:multiLevelType w:val="multilevel"/>
    <w:tmpl w:val="F0F80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977A38"/>
    <w:multiLevelType w:val="multilevel"/>
    <w:tmpl w:val="FF6A45B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4464202"/>
    <w:multiLevelType w:val="multilevel"/>
    <w:tmpl w:val="2BEAF3E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70347E8"/>
    <w:multiLevelType w:val="multilevel"/>
    <w:tmpl w:val="C15A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93D646D"/>
    <w:multiLevelType w:val="multilevel"/>
    <w:tmpl w:val="D1C0281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53F64B43"/>
    <w:multiLevelType w:val="multilevel"/>
    <w:tmpl w:val="0BEE1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830CEE"/>
    <w:multiLevelType w:val="multilevel"/>
    <w:tmpl w:val="74148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237533"/>
    <w:multiLevelType w:val="multilevel"/>
    <w:tmpl w:val="CCC8A49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7E7D4782"/>
    <w:multiLevelType w:val="multilevel"/>
    <w:tmpl w:val="16F06E2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9"/>
  </w:num>
  <w:num w:numId="3">
    <w:abstractNumId w:val="8"/>
  </w:num>
  <w:num w:numId="4">
    <w:abstractNumId w:val="6"/>
  </w:num>
  <w:num w:numId="5">
    <w:abstractNumId w:val="1"/>
  </w:num>
  <w:num w:numId="6">
    <w:abstractNumId w:val="4"/>
  </w:num>
  <w:num w:numId="7">
    <w:abstractNumId w:val="5"/>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03"/>
    <w:rsid w:val="004E1FBF"/>
    <w:rsid w:val="00631116"/>
    <w:rsid w:val="00674614"/>
    <w:rsid w:val="007D64D9"/>
    <w:rsid w:val="00917C0A"/>
    <w:rsid w:val="00B95BDF"/>
    <w:rsid w:val="00C1681B"/>
    <w:rsid w:val="00C74C36"/>
    <w:rsid w:val="00E870B1"/>
    <w:rsid w:val="00EA6ACD"/>
    <w:rsid w:val="00EE54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CDAD"/>
  <w15:docId w15:val="{01268B1D-5E19-445A-AFFA-4C1D63C58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9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basedOn w:val="Normal"/>
    <w:uiPriority w:val="34"/>
    <w:qFormat/>
    <w:rsid w:val="000038B1"/>
    <w:pPr>
      <w:ind w:left="720"/>
      <w:contextualSpacing/>
    </w:p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10"/>
      </w:numPr>
      <w:contextualSpacing/>
    </w:pPr>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UqOF9O4H5e+4ODWa8NTlsGpA==">CgMxLjAyCWguMWZvYjl0ZTIIaC5namRneHMyCWguM2R5NnZrbTIJaC4zMGowemxsMgloLjJzOGV5bzEyCGgudHlqY3d0MgloLjN6bnlzaDcyCWguMmV0OTJwMDIJaC4zNW5rdW4yMgloLjRkMzRvZzgyCWguMWtzdjR1djIOaC5panY5OHBudGNkNXMyCWguMjZpbjFyZzIIaC5sbnhiejkyCWguMTdkcDh2dTIJaC4zcmRjcmpuMgloLjF0M2g1c2Y4AHIhMVdtNTZ5SlRmSmJqUWZaaEItdmxHdE10NTVOQVU1cj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21665</Words>
  <Characters>119160</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2024-09-27T04:23:00Z</cp:lastPrinted>
  <dcterms:created xsi:type="dcterms:W3CDTF">2024-10-03T23:16:00Z</dcterms:created>
  <dcterms:modified xsi:type="dcterms:W3CDTF">2024-10-03T23:16:00Z</dcterms:modified>
</cp:coreProperties>
</file>