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A2E4D" w14:textId="77777777" w:rsidR="00F0243B" w:rsidRPr="00367BA2" w:rsidRDefault="0017139D">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367B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367BA2">
        <w:rPr>
          <w:rFonts w:ascii="Palatino Linotype" w:eastAsia="Palatino Linotype" w:hAnsi="Palatino Linotype" w:cs="Palatino Linotype"/>
          <w:b/>
        </w:rPr>
        <w:t>veintiséis de junio de dos mil veinticuatro</w:t>
      </w:r>
      <w:r w:rsidRPr="00367BA2">
        <w:rPr>
          <w:rFonts w:ascii="Palatino Linotype" w:eastAsia="Palatino Linotype" w:hAnsi="Palatino Linotype" w:cs="Palatino Linotype"/>
        </w:rPr>
        <w:t xml:space="preserve">. </w:t>
      </w:r>
    </w:p>
    <w:p w14:paraId="18AF0D3A" w14:textId="197BA552"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Visto</w:t>
      </w:r>
      <w:r w:rsidRPr="00367BA2">
        <w:rPr>
          <w:rFonts w:ascii="Palatino Linotype" w:eastAsia="Palatino Linotype" w:hAnsi="Palatino Linotype" w:cs="Palatino Linotype"/>
        </w:rPr>
        <w:t xml:space="preserve"> el expediente formado con motivo del recurso de revisión </w:t>
      </w:r>
      <w:r w:rsidRPr="00367BA2">
        <w:rPr>
          <w:rFonts w:ascii="Palatino Linotype" w:eastAsia="Palatino Linotype" w:hAnsi="Palatino Linotype" w:cs="Palatino Linotype"/>
          <w:b/>
        </w:rPr>
        <w:t>00214/INFOEM/IP/RR/2024</w:t>
      </w:r>
      <w:r w:rsidRPr="00367BA2">
        <w:rPr>
          <w:rFonts w:ascii="Palatino Linotype" w:eastAsia="Palatino Linotype" w:hAnsi="Palatino Linotype" w:cs="Palatino Linotype"/>
        </w:rPr>
        <w:t>, interpuesto por</w:t>
      </w:r>
      <w:r w:rsidR="00345F4E">
        <w:rPr>
          <w:rFonts w:ascii="Palatino Linotype" w:eastAsia="Palatino Linotype" w:hAnsi="Palatino Linotype" w:cs="Palatino Linotype"/>
          <w:b/>
        </w:rPr>
        <w:t xml:space="preserve"> XXXX XXXXX XXXX XXXXX</w:t>
      </w:r>
      <w:bookmarkStart w:id="1" w:name="_GoBack"/>
      <w:bookmarkEnd w:id="1"/>
      <w:r w:rsidRPr="00367BA2">
        <w:rPr>
          <w:rFonts w:ascii="Palatino Linotype" w:eastAsia="Palatino Linotype" w:hAnsi="Palatino Linotype" w:cs="Palatino Linotype"/>
          <w:b/>
        </w:rPr>
        <w:t>,</w:t>
      </w:r>
      <w:r w:rsidRPr="00367BA2">
        <w:rPr>
          <w:rFonts w:ascii="Palatino Linotype" w:eastAsia="Palatino Linotype" w:hAnsi="Palatino Linotype" w:cs="Palatino Linotype"/>
        </w:rPr>
        <w:t xml:space="preserve"> en lo sucesivo</w:t>
      </w:r>
      <w:r w:rsidRPr="00367BA2">
        <w:rPr>
          <w:rFonts w:ascii="Palatino Linotype" w:eastAsia="Palatino Linotype" w:hAnsi="Palatino Linotype" w:cs="Palatino Linotype"/>
          <w:b/>
        </w:rPr>
        <w:t xml:space="preserve"> 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xml:space="preserve"> en contra de la respuesta a su solicitud por parte del</w:t>
      </w:r>
      <w:r w:rsidRPr="00367BA2">
        <w:rPr>
          <w:rFonts w:ascii="Palatino Linotype" w:eastAsia="Palatino Linotype" w:hAnsi="Palatino Linotype" w:cs="Palatino Linotype"/>
          <w:b/>
        </w:rPr>
        <w:t xml:space="preserve"> Ayuntamiento de Teoloyucan, </w:t>
      </w:r>
      <w:r w:rsidRPr="00367BA2">
        <w:rPr>
          <w:rFonts w:ascii="Palatino Linotype" w:eastAsia="Palatino Linotype" w:hAnsi="Palatino Linotype" w:cs="Palatino Linotype"/>
        </w:rPr>
        <w:t xml:space="preserve">en lo sucesivo el </w:t>
      </w:r>
      <w:r w:rsidRPr="00367BA2">
        <w:rPr>
          <w:rFonts w:ascii="Palatino Linotype" w:eastAsia="Palatino Linotype" w:hAnsi="Palatino Linotype" w:cs="Palatino Linotype"/>
          <w:b/>
        </w:rPr>
        <w:t xml:space="preserve">Sujeto Obligado, </w:t>
      </w:r>
      <w:r w:rsidRPr="00367BA2">
        <w:rPr>
          <w:rFonts w:ascii="Palatino Linotype" w:eastAsia="Palatino Linotype" w:hAnsi="Palatino Linotype" w:cs="Palatino Linotype"/>
        </w:rPr>
        <w:t xml:space="preserve">se procede a dictar la presente resolución con base en los siguientes: </w:t>
      </w:r>
    </w:p>
    <w:p w14:paraId="0E9B27F7" w14:textId="77777777" w:rsidR="00F0243B" w:rsidRPr="00367BA2" w:rsidRDefault="0017139D">
      <w:pPr>
        <w:spacing w:before="240" w:after="240" w:line="360" w:lineRule="auto"/>
        <w:jc w:val="center"/>
        <w:rPr>
          <w:rFonts w:ascii="Palatino Linotype" w:eastAsia="Palatino Linotype" w:hAnsi="Palatino Linotype" w:cs="Palatino Linotype"/>
          <w:b/>
        </w:rPr>
      </w:pPr>
      <w:r w:rsidRPr="00367BA2">
        <w:rPr>
          <w:rFonts w:ascii="Palatino Linotype" w:eastAsia="Palatino Linotype" w:hAnsi="Palatino Linotype" w:cs="Palatino Linotype"/>
          <w:b/>
        </w:rPr>
        <w:t>I. A N T E C E D E N T E S</w:t>
      </w:r>
    </w:p>
    <w:p w14:paraId="7158E38D"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1. Solicitud de acceso a la información.</w:t>
      </w:r>
      <w:r w:rsidRPr="00367BA2">
        <w:rPr>
          <w:rFonts w:ascii="Palatino Linotype" w:eastAsia="Palatino Linotype" w:hAnsi="Palatino Linotype" w:cs="Palatino Linotype"/>
        </w:rPr>
        <w:t xml:space="preserve"> El </w:t>
      </w:r>
      <w:r w:rsidRPr="00367BA2">
        <w:rPr>
          <w:rFonts w:ascii="Palatino Linotype" w:eastAsia="Palatino Linotype" w:hAnsi="Palatino Linotype" w:cs="Palatino Linotype"/>
          <w:b/>
        </w:rPr>
        <w:t>dieciséis de enero de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dos mil veinticuatro,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 xml:space="preserve">Recurrente </w:t>
      </w:r>
      <w:r w:rsidRPr="00367BA2">
        <w:rPr>
          <w:rFonts w:ascii="Palatino Linotype" w:eastAsia="Palatino Linotype" w:hAnsi="Palatino Linotype" w:cs="Palatino Linotype"/>
        </w:rPr>
        <w:t xml:space="preserve">presentó, a través del Sistema de Acceso a la Información Mexiquense, en lo subsecuente el </w:t>
      </w:r>
      <w:r w:rsidRPr="00367BA2">
        <w:rPr>
          <w:rFonts w:ascii="Palatino Linotype" w:eastAsia="Palatino Linotype" w:hAnsi="Palatino Linotype" w:cs="Palatino Linotype"/>
          <w:b/>
        </w:rPr>
        <w:t>SAIMEX,</w:t>
      </w:r>
      <w:r w:rsidRPr="00367BA2">
        <w:rPr>
          <w:rFonts w:ascii="Palatino Linotype" w:eastAsia="Palatino Linotype" w:hAnsi="Palatino Linotype" w:cs="Palatino Linotype"/>
        </w:rPr>
        <w:t xml:space="preserve"> ante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la solicitud de acceso a la información pública, a la que se le asignó el número</w:t>
      </w:r>
      <w:r w:rsidRPr="00367BA2">
        <w:rPr>
          <w:rFonts w:ascii="Palatino Linotype" w:eastAsia="Palatino Linotype" w:hAnsi="Palatino Linotype" w:cs="Palatino Linotype"/>
          <w:b/>
        </w:rPr>
        <w:t xml:space="preserve"> 00004/TEOLOYU/IP/2024, </w:t>
      </w:r>
      <w:r w:rsidRPr="00367BA2">
        <w:rPr>
          <w:rFonts w:ascii="Palatino Linotype" w:eastAsia="Palatino Linotype" w:hAnsi="Palatino Linotype" w:cs="Palatino Linotype"/>
        </w:rPr>
        <w:t xml:space="preserve">mediante la cual requirió la información siguiente: </w:t>
      </w:r>
    </w:p>
    <w:p w14:paraId="7A1E9A98" w14:textId="77777777" w:rsidR="00F0243B" w:rsidRPr="00367BA2" w:rsidRDefault="0017139D">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367BA2">
        <w:rPr>
          <w:rFonts w:ascii="Palatino Linotype" w:eastAsia="Palatino Linotype" w:hAnsi="Palatino Linotype" w:cs="Palatino Linotype"/>
          <w:i/>
          <w:sz w:val="22"/>
          <w:szCs w:val="22"/>
        </w:rPr>
        <w:t xml:space="preserve">“El </w:t>
      </w:r>
      <w:r w:rsidRPr="00367BA2">
        <w:rPr>
          <w:rFonts w:ascii="Palatino Linotype" w:eastAsia="Palatino Linotype" w:hAnsi="Palatino Linotype" w:cs="Palatino Linotype"/>
          <w:b/>
          <w:i/>
          <w:sz w:val="22"/>
          <w:szCs w:val="22"/>
          <w:u w:val="single"/>
        </w:rPr>
        <w:t>último censo de los panteones del municipio de Teoloyucan</w:t>
      </w:r>
      <w:r w:rsidRPr="00367BA2">
        <w:rPr>
          <w:rFonts w:ascii="Palatino Linotype" w:eastAsia="Palatino Linotype" w:hAnsi="Palatino Linotype" w:cs="Palatino Linotype"/>
          <w:i/>
          <w:sz w:val="22"/>
          <w:szCs w:val="22"/>
        </w:rPr>
        <w:t xml:space="preserve">.” (Sic) </w:t>
      </w:r>
    </w:p>
    <w:p w14:paraId="031DBB86" w14:textId="77777777" w:rsidR="00F0243B" w:rsidRPr="00367BA2" w:rsidRDefault="0017139D">
      <w:pPr>
        <w:spacing w:before="240" w:after="240" w:line="360" w:lineRule="auto"/>
        <w:ind w:right="902"/>
        <w:rPr>
          <w:rFonts w:ascii="Palatino Linotype" w:eastAsia="Palatino Linotype" w:hAnsi="Palatino Linotype" w:cs="Palatino Linotype"/>
        </w:rPr>
      </w:pPr>
      <w:r w:rsidRPr="00367BA2">
        <w:rPr>
          <w:rFonts w:ascii="Palatino Linotype" w:eastAsia="Palatino Linotype" w:hAnsi="Palatino Linotype" w:cs="Palatino Linotype"/>
          <w:b/>
        </w:rPr>
        <w:t>Modalidad de Entrega:</w:t>
      </w:r>
      <w:r w:rsidRPr="00367BA2">
        <w:rPr>
          <w:rFonts w:ascii="Palatino Linotype" w:eastAsia="Palatino Linotype" w:hAnsi="Palatino Linotype" w:cs="Palatino Linotype"/>
        </w:rPr>
        <w:t xml:space="preserve"> a través </w:t>
      </w:r>
      <w:r w:rsidRPr="00367BA2">
        <w:rPr>
          <w:rFonts w:ascii="Palatino Linotype" w:eastAsia="Palatino Linotype" w:hAnsi="Palatino Linotype" w:cs="Palatino Linotype"/>
          <w:b/>
        </w:rPr>
        <w:t>de SAIMEX</w:t>
      </w:r>
    </w:p>
    <w:p w14:paraId="26AFB25D" w14:textId="77777777" w:rsidR="00F0243B" w:rsidRPr="00367BA2" w:rsidRDefault="0017139D">
      <w:pPr>
        <w:spacing w:before="240" w:after="240" w:line="360" w:lineRule="auto"/>
        <w:jc w:val="both"/>
        <w:rPr>
          <w:rFonts w:ascii="Palatino Linotype" w:eastAsia="Palatino Linotype" w:hAnsi="Palatino Linotype" w:cs="Palatino Linotype"/>
          <w:b/>
        </w:rPr>
      </w:pPr>
      <w:bookmarkStart w:id="3" w:name="_heading=h.3dy6vkm" w:colFirst="0" w:colLast="0"/>
      <w:bookmarkEnd w:id="3"/>
      <w:r w:rsidRPr="00367BA2">
        <w:rPr>
          <w:rFonts w:ascii="Palatino Linotype" w:eastAsia="Palatino Linotype" w:hAnsi="Palatino Linotype" w:cs="Palatino Linotype"/>
          <w:b/>
        </w:rPr>
        <w:t xml:space="preserve">2. Respuesta. </w:t>
      </w:r>
      <w:r w:rsidRPr="00367BA2">
        <w:rPr>
          <w:rFonts w:ascii="Palatino Linotype" w:eastAsia="Palatino Linotype" w:hAnsi="Palatino Linotype" w:cs="Palatino Linotype"/>
        </w:rPr>
        <w:t xml:space="preserve">El </w:t>
      </w:r>
      <w:r w:rsidRPr="00367BA2">
        <w:rPr>
          <w:rFonts w:ascii="Palatino Linotype" w:eastAsia="Palatino Linotype" w:hAnsi="Palatino Linotype" w:cs="Palatino Linotype"/>
          <w:b/>
        </w:rPr>
        <w:t>veintitrés de enero de dos mil veinticuatro</w:t>
      </w:r>
      <w:r w:rsidRPr="00367BA2">
        <w:rPr>
          <w:rFonts w:ascii="Palatino Linotype" w:eastAsia="Palatino Linotype" w:hAnsi="Palatino Linotype" w:cs="Palatino Linotype"/>
        </w:rPr>
        <w:t xml:space="preserve">, el </w:t>
      </w:r>
      <w:r w:rsidRPr="00367BA2">
        <w:rPr>
          <w:rFonts w:ascii="Palatino Linotype" w:eastAsia="Palatino Linotype" w:hAnsi="Palatino Linotype" w:cs="Palatino Linotype"/>
          <w:b/>
        </w:rPr>
        <w:t xml:space="preserve">Sujeto Obligado </w:t>
      </w:r>
      <w:r w:rsidRPr="00367BA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D5A537C" w14:textId="77777777" w:rsidR="00F0243B" w:rsidRPr="00367BA2" w:rsidRDefault="0017139D">
      <w:pPr>
        <w:spacing w:before="240" w:after="24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D418148" w14:textId="77777777" w:rsidR="00F0243B" w:rsidRPr="00367BA2" w:rsidRDefault="0017139D">
      <w:pPr>
        <w:spacing w:before="240" w:after="24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Se adjunta respuesta integradora y respuesta del servidor público.</w:t>
      </w:r>
    </w:p>
    <w:p w14:paraId="65097AB3" w14:textId="77777777" w:rsidR="00F0243B" w:rsidRPr="00367BA2" w:rsidRDefault="0017139D">
      <w:pPr>
        <w:spacing w:before="240" w:after="24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ATENTAMENTE</w:t>
      </w:r>
    </w:p>
    <w:p w14:paraId="37B5132C" w14:textId="77777777" w:rsidR="00F0243B" w:rsidRPr="00367BA2" w:rsidRDefault="0017139D">
      <w:pPr>
        <w:spacing w:before="240" w:after="24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Lic. Karen Martinez Peregrino” (Sic)</w:t>
      </w:r>
    </w:p>
    <w:p w14:paraId="38AD5946" w14:textId="77777777" w:rsidR="00F0243B" w:rsidRPr="00367BA2" w:rsidRDefault="0017139D">
      <w:pPr>
        <w:spacing w:before="240" w:after="240"/>
        <w:ind w:left="567" w:right="902"/>
        <w:jc w:val="both"/>
        <w:rPr>
          <w:rFonts w:ascii="Palatino Linotype" w:eastAsia="Palatino Linotype" w:hAnsi="Palatino Linotype" w:cs="Palatino Linotype"/>
          <w:b/>
        </w:rPr>
      </w:pPr>
      <w:r w:rsidRPr="00367BA2">
        <w:rPr>
          <w:rFonts w:ascii="Palatino Linotype" w:eastAsia="Palatino Linotype" w:hAnsi="Palatino Linotype" w:cs="Palatino Linotype"/>
          <w:b/>
        </w:rPr>
        <w:t>Archivos adjuntos:</w:t>
      </w:r>
    </w:p>
    <w:p w14:paraId="6D46A78C" w14:textId="77777777" w:rsidR="00F0243B" w:rsidRPr="00367BA2" w:rsidRDefault="0017139D">
      <w:pPr>
        <w:spacing w:before="240" w:after="240" w:line="360" w:lineRule="auto"/>
        <w:ind w:left="567" w:right="902"/>
        <w:jc w:val="both"/>
        <w:rPr>
          <w:rFonts w:ascii="Palatino Linotype" w:eastAsia="Palatino Linotype" w:hAnsi="Palatino Linotype" w:cs="Palatino Linotype"/>
        </w:rPr>
      </w:pPr>
      <w:r w:rsidRPr="00367BA2">
        <w:rPr>
          <w:rFonts w:ascii="Palatino Linotype" w:eastAsia="Palatino Linotype" w:hAnsi="Palatino Linotype" w:cs="Palatino Linotype"/>
          <w:b/>
          <w:i/>
        </w:rPr>
        <w:t xml:space="preserve">“Respuesta integradora sol. 04.pdf”: </w:t>
      </w:r>
      <w:r w:rsidRPr="00367BA2">
        <w:rPr>
          <w:rFonts w:ascii="Palatino Linotype" w:eastAsia="Palatino Linotype" w:hAnsi="Palatino Linotype" w:cs="Palatino Linotype"/>
        </w:rPr>
        <w:t>Oficio UT/KMP/030/2024 por el cual, la Titular de la Unidad de Transparencia procede a notificar la respuesta integradora a la solicitud de información, la cual fue turnada a la Dirección de Servicios Públicos.</w:t>
      </w:r>
    </w:p>
    <w:p w14:paraId="4A968CE3" w14:textId="77777777" w:rsidR="00F0243B" w:rsidRPr="00367BA2" w:rsidRDefault="0017139D">
      <w:pPr>
        <w:spacing w:before="240" w:after="240" w:line="360" w:lineRule="auto"/>
        <w:ind w:left="567" w:right="902"/>
        <w:jc w:val="both"/>
        <w:rPr>
          <w:rFonts w:ascii="Palatino Linotype" w:eastAsia="Palatino Linotype" w:hAnsi="Palatino Linotype" w:cs="Palatino Linotype"/>
          <w:b/>
          <w:u w:val="single"/>
        </w:rPr>
      </w:pPr>
      <w:r w:rsidRPr="00367BA2">
        <w:rPr>
          <w:rFonts w:ascii="Palatino Linotype" w:eastAsia="Palatino Linotype" w:hAnsi="Palatino Linotype" w:cs="Palatino Linotype"/>
          <w:b/>
          <w:i/>
        </w:rPr>
        <w:t xml:space="preserve">“OFICIO SPM-RGV-015-01-2024.pdf”: </w:t>
      </w:r>
      <w:r w:rsidRPr="00367BA2">
        <w:rPr>
          <w:rFonts w:ascii="Palatino Linotype" w:eastAsia="Palatino Linotype" w:hAnsi="Palatino Linotype" w:cs="Palatino Linotype"/>
        </w:rPr>
        <w:t xml:space="preserve">Oficio SPM/RGV/015-01/2024, signado por el Titular de la Dirección de Servicios Públicos del Ayuntamiento de Teoloyucan, quien señala que </w:t>
      </w:r>
      <w:r w:rsidRPr="00367BA2">
        <w:rPr>
          <w:rFonts w:ascii="Palatino Linotype" w:eastAsia="Palatino Linotype" w:hAnsi="Palatino Linotype" w:cs="Palatino Linotype"/>
          <w:b/>
          <w:u w:val="single"/>
        </w:rPr>
        <w:t xml:space="preserve">no se cuenta con información a censos que se hayan realizado en los panteones municipales. </w:t>
      </w:r>
    </w:p>
    <w:p w14:paraId="0CA7B104" w14:textId="77777777" w:rsidR="00F0243B" w:rsidRPr="00367BA2" w:rsidRDefault="0017139D">
      <w:pPr>
        <w:spacing w:before="240" w:after="240" w:line="360" w:lineRule="auto"/>
        <w:ind w:right="49"/>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3. Interposición del recurso de revisión. </w:t>
      </w:r>
      <w:r w:rsidRPr="00367BA2">
        <w:rPr>
          <w:rFonts w:ascii="Palatino Linotype" w:eastAsia="Palatino Linotype" w:hAnsi="Palatino Linotype" w:cs="Palatino Linotype"/>
        </w:rPr>
        <w:t xml:space="preserve">Inconforme con los términos de la respuesta emitida por parte del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el</w:t>
      </w:r>
      <w:r w:rsidRPr="00367BA2">
        <w:rPr>
          <w:rFonts w:ascii="Palatino Linotype" w:eastAsia="Palatino Linotype" w:hAnsi="Palatino Linotype" w:cs="Palatino Linotype"/>
          <w:b/>
        </w:rPr>
        <w:t xml:space="preserve"> veinticuatro de enero de dos mil veinticuatro,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xml:space="preserve"> interpuso el recurso de revisión a través de </w:t>
      </w:r>
      <w:r w:rsidRPr="00367BA2">
        <w:rPr>
          <w:rFonts w:ascii="Palatino Linotype" w:eastAsia="Palatino Linotype" w:hAnsi="Palatino Linotype" w:cs="Palatino Linotype"/>
          <w:b/>
        </w:rPr>
        <w:t xml:space="preserve">SAIMEX, </w:t>
      </w:r>
      <w:r w:rsidRPr="00367BA2">
        <w:rPr>
          <w:rFonts w:ascii="Palatino Linotype" w:eastAsia="Palatino Linotype" w:hAnsi="Palatino Linotype" w:cs="Palatino Linotype"/>
        </w:rPr>
        <w:t>en donde se manifestó de la siguiente manera:</w:t>
      </w:r>
    </w:p>
    <w:p w14:paraId="183EA40C" w14:textId="77777777" w:rsidR="00F0243B" w:rsidRPr="00367BA2" w:rsidRDefault="0017139D">
      <w:pPr>
        <w:tabs>
          <w:tab w:val="left" w:pos="2745"/>
        </w:tabs>
        <w:spacing w:before="240" w:after="240" w:line="360" w:lineRule="auto"/>
        <w:ind w:left="567" w:right="900"/>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a) Acto impugnado: </w:t>
      </w:r>
    </w:p>
    <w:p w14:paraId="36281FAD" w14:textId="77777777" w:rsidR="00F0243B" w:rsidRPr="00367BA2" w:rsidRDefault="0017139D">
      <w:pPr>
        <w:tabs>
          <w:tab w:val="left" w:pos="2745"/>
        </w:tabs>
        <w:spacing w:before="240" w:after="240"/>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“El sujeto obligado dice no tener la información. La construcción Política de los Estados Unidos Mexicanos en su artículo 115 fracción III, inciso E); establece </w:t>
      </w:r>
      <w:r w:rsidRPr="00367BA2">
        <w:rPr>
          <w:rFonts w:ascii="Palatino Linotype" w:eastAsia="Palatino Linotype" w:hAnsi="Palatino Linotype" w:cs="Palatino Linotype"/>
          <w:i/>
          <w:sz w:val="22"/>
          <w:szCs w:val="22"/>
        </w:rPr>
        <w:lastRenderedPageBreak/>
        <w:t xml:space="preserve">claramente que tendrán a su cargo el servicio público de panteones. </w:t>
      </w:r>
      <w:r w:rsidRPr="00367BA2">
        <w:rPr>
          <w:rFonts w:ascii="Palatino Linotype" w:eastAsia="Palatino Linotype" w:hAnsi="Palatino Linotype" w:cs="Palatino Linotype"/>
          <w:b/>
          <w:i/>
          <w:sz w:val="22"/>
          <w:szCs w:val="22"/>
          <w:u w:val="single"/>
        </w:rPr>
        <w:t>Por lo tanto deben de llevar un registro o control de las fosas comunes. Es decir llevar un padrón o censo de cuantas fosas hay y a quien pertenecen. Obviamente está información se solicita en versión pública.</w:t>
      </w:r>
      <w:r w:rsidRPr="00367BA2">
        <w:rPr>
          <w:rFonts w:ascii="Palatino Linotype" w:eastAsia="Palatino Linotype" w:hAnsi="Palatino Linotype" w:cs="Palatino Linotype"/>
          <w:i/>
          <w:sz w:val="22"/>
          <w:szCs w:val="22"/>
        </w:rPr>
        <w:t>” (Sic)</w:t>
      </w:r>
    </w:p>
    <w:p w14:paraId="3C53F5FB" w14:textId="77777777" w:rsidR="00F0243B" w:rsidRPr="00367BA2" w:rsidRDefault="0017139D">
      <w:pPr>
        <w:spacing w:line="360" w:lineRule="auto"/>
        <w:ind w:left="567" w:right="900"/>
        <w:jc w:val="both"/>
        <w:rPr>
          <w:rFonts w:ascii="Palatino Linotype" w:eastAsia="Palatino Linotype" w:hAnsi="Palatino Linotype" w:cs="Palatino Linotype"/>
        </w:rPr>
      </w:pPr>
      <w:bookmarkStart w:id="4" w:name="_heading=h.30j0zll" w:colFirst="0" w:colLast="0"/>
      <w:bookmarkEnd w:id="4"/>
      <w:r w:rsidRPr="00367BA2">
        <w:rPr>
          <w:rFonts w:ascii="Palatino Linotype" w:eastAsia="Palatino Linotype" w:hAnsi="Palatino Linotype" w:cs="Palatino Linotype"/>
          <w:b/>
        </w:rPr>
        <w:t>b) Razones o motivos de inconformidad</w:t>
      </w:r>
      <w:r w:rsidRPr="00367BA2">
        <w:rPr>
          <w:rFonts w:ascii="Palatino Linotype" w:eastAsia="Palatino Linotype" w:hAnsi="Palatino Linotype" w:cs="Palatino Linotype"/>
        </w:rPr>
        <w:t xml:space="preserve">: </w:t>
      </w:r>
    </w:p>
    <w:p w14:paraId="7C10789E" w14:textId="77777777" w:rsidR="00F0243B" w:rsidRPr="00367BA2" w:rsidRDefault="0017139D">
      <w:pPr>
        <w:tabs>
          <w:tab w:val="left" w:pos="2745"/>
        </w:tabs>
        <w:spacing w:before="240" w:after="240"/>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“No realizaron una búsqueda exhaustiva de la información requerida. Considero que obran de mala fe o son incompetentes. Es una pena que servidores públicos incompetentes estén en estos puestos.” (Sic)</w:t>
      </w:r>
    </w:p>
    <w:p w14:paraId="1EF04ED2" w14:textId="77777777" w:rsidR="00F0243B" w:rsidRPr="00367BA2" w:rsidRDefault="0017139D">
      <w:pPr>
        <w:spacing w:before="240" w:after="240" w:line="360" w:lineRule="auto"/>
        <w:ind w:right="51"/>
        <w:jc w:val="both"/>
        <w:rPr>
          <w:rFonts w:ascii="Palatino Linotype" w:eastAsia="Palatino Linotype" w:hAnsi="Palatino Linotype" w:cs="Palatino Linotype"/>
        </w:rPr>
      </w:pPr>
      <w:r w:rsidRPr="00367BA2">
        <w:rPr>
          <w:rFonts w:ascii="Palatino Linotype" w:eastAsia="Palatino Linotype" w:hAnsi="Palatino Linotype" w:cs="Palatino Linotype"/>
          <w:b/>
        </w:rPr>
        <w:t xml:space="preserve">4. Turno. </w:t>
      </w:r>
      <w:r w:rsidRPr="00367B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67BA2">
        <w:rPr>
          <w:rFonts w:ascii="Palatino Linotype" w:eastAsia="Palatino Linotype" w:hAnsi="Palatino Linotype" w:cs="Palatino Linotype"/>
          <w:b/>
        </w:rPr>
        <w:t xml:space="preserve">Guadalupe Ramírez Peña, </w:t>
      </w:r>
      <w:r w:rsidRPr="00367BA2">
        <w:rPr>
          <w:rFonts w:ascii="Palatino Linotype" w:eastAsia="Palatino Linotype" w:hAnsi="Palatino Linotype" w:cs="Palatino Linotype"/>
        </w:rPr>
        <w:t>a efecto de que analizara sobre su admisión o su desechamiento.</w:t>
      </w:r>
    </w:p>
    <w:p w14:paraId="040C86DD"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5. Admisión del Recurso de revisión.</w:t>
      </w:r>
      <w:r w:rsidRPr="00367BA2">
        <w:rPr>
          <w:rFonts w:ascii="Palatino Linotype" w:eastAsia="Palatino Linotype" w:hAnsi="Palatino Linotype" w:cs="Palatino Linotype"/>
        </w:rPr>
        <w:t xml:space="preserve"> El </w:t>
      </w:r>
      <w:r w:rsidRPr="00367BA2">
        <w:rPr>
          <w:rFonts w:ascii="Palatino Linotype" w:eastAsia="Palatino Linotype" w:hAnsi="Palatino Linotype" w:cs="Palatino Linotype"/>
          <w:b/>
        </w:rPr>
        <w:t xml:space="preserve">veintinueve de enero de dos mil veinticuatro, </w:t>
      </w:r>
      <w:r w:rsidRPr="00367B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67BA2">
        <w:rPr>
          <w:rFonts w:ascii="Palatino Linotype" w:eastAsia="Palatino Linotype" w:hAnsi="Palatino Linotype" w:cs="Palatino Linotype"/>
          <w:b/>
        </w:rPr>
        <w:t xml:space="preserve">Sujeto Obligado </w:t>
      </w:r>
      <w:r w:rsidRPr="00367BA2">
        <w:rPr>
          <w:rFonts w:ascii="Palatino Linotype" w:eastAsia="Palatino Linotype" w:hAnsi="Palatino Linotype" w:cs="Palatino Linotype"/>
        </w:rPr>
        <w:t>presentara su informe justificado.</w:t>
      </w:r>
    </w:p>
    <w:p w14:paraId="6F9E8514" w14:textId="77777777" w:rsidR="00F0243B" w:rsidRPr="00367BA2" w:rsidRDefault="0017139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bookmarkStart w:id="5" w:name="_heading=h.2s8eyo1" w:colFirst="0" w:colLast="0"/>
      <w:bookmarkEnd w:id="5"/>
      <w:r w:rsidRPr="00367BA2">
        <w:rPr>
          <w:rFonts w:ascii="Palatino Linotype" w:eastAsia="Palatino Linotype" w:hAnsi="Palatino Linotype" w:cs="Palatino Linotype"/>
          <w:b/>
        </w:rPr>
        <w:t>6. Manifestaciones</w:t>
      </w:r>
      <w:r w:rsidRPr="00367BA2">
        <w:rPr>
          <w:rFonts w:ascii="Palatino Linotype" w:eastAsia="Palatino Linotype" w:hAnsi="Palatino Linotype" w:cs="Palatino Linotype"/>
        </w:rPr>
        <w:t xml:space="preserve">. De las constancias que integran el expediente en que se actúa se advierte que durante el periodo de manifestaciones,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proporcionó los archivos electrónicos denominados “</w:t>
      </w:r>
      <w:r w:rsidRPr="00367BA2">
        <w:rPr>
          <w:rFonts w:ascii="Palatino Linotype" w:eastAsia="Palatino Linotype" w:hAnsi="Palatino Linotype" w:cs="Palatino Linotype"/>
          <w:b/>
          <w:i/>
        </w:rPr>
        <w:t xml:space="preserve">SPM RGV 032 02 2024.pdf”, </w:t>
      </w:r>
      <w:r w:rsidRPr="00367BA2">
        <w:rPr>
          <w:rFonts w:ascii="Palatino Linotype" w:eastAsia="Palatino Linotype" w:hAnsi="Palatino Linotype" w:cs="Palatino Linotype"/>
          <w:b/>
          <w:i/>
        </w:rPr>
        <w:lastRenderedPageBreak/>
        <w:t xml:space="preserve">“INFORME JUSTIFICADO SOLICITUD 04.pdf” y”UT KMP 032 2024.pdf”, </w:t>
      </w:r>
      <w:r w:rsidRPr="00367BA2">
        <w:rPr>
          <w:rFonts w:ascii="Palatino Linotype" w:eastAsia="Palatino Linotype" w:hAnsi="Palatino Linotype" w:cs="Palatino Linotype"/>
        </w:rPr>
        <w:t xml:space="preserve">mismos que se describen a continuación: </w:t>
      </w:r>
    </w:p>
    <w:p w14:paraId="2F644455" w14:textId="77777777" w:rsidR="00F0243B" w:rsidRPr="00367BA2" w:rsidRDefault="00F0243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p>
    <w:p w14:paraId="349E324B" w14:textId="77777777" w:rsidR="00F0243B" w:rsidRPr="00367BA2" w:rsidRDefault="0017139D">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rPr>
      </w:pPr>
      <w:r w:rsidRPr="00367BA2">
        <w:rPr>
          <w:rFonts w:ascii="Palatino Linotype" w:eastAsia="Palatino Linotype" w:hAnsi="Palatino Linotype" w:cs="Palatino Linotype"/>
        </w:rPr>
        <w:t>“</w:t>
      </w:r>
      <w:r w:rsidRPr="00367BA2">
        <w:rPr>
          <w:rFonts w:ascii="Palatino Linotype" w:eastAsia="Palatino Linotype" w:hAnsi="Palatino Linotype" w:cs="Palatino Linotype"/>
          <w:b/>
          <w:i/>
        </w:rPr>
        <w:t xml:space="preserve">SPM RGV 032 02 2024.pdf”: </w:t>
      </w:r>
      <w:r w:rsidRPr="00367BA2">
        <w:rPr>
          <w:rFonts w:ascii="Palatino Linotype" w:eastAsia="Palatino Linotype" w:hAnsi="Palatino Linotype" w:cs="Palatino Linotype"/>
        </w:rPr>
        <w:t xml:space="preserve">Oficio SPM/RGV/032-02/2024, signado por el Titular de la Dirección de Servicios Públicos del Ayuntamiento Constitucional de Teoloyucan, en el que señala que la información solicitada que obra en la Dirección de Servicios Públicos, no se cuenta con información referente a censos que se hayan realizado en los panteones municipales. </w:t>
      </w:r>
    </w:p>
    <w:p w14:paraId="33FC30AD" w14:textId="77777777" w:rsidR="00F0243B" w:rsidRPr="00367BA2" w:rsidRDefault="00F0243B">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rPr>
      </w:pPr>
    </w:p>
    <w:p w14:paraId="6CE436FC" w14:textId="77777777" w:rsidR="00F0243B" w:rsidRPr="00367BA2" w:rsidRDefault="0017139D">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rPr>
      </w:pPr>
      <w:r w:rsidRPr="00367BA2">
        <w:rPr>
          <w:rFonts w:ascii="Palatino Linotype" w:eastAsia="Palatino Linotype" w:hAnsi="Palatino Linotype" w:cs="Palatino Linotype"/>
          <w:b/>
          <w:i/>
        </w:rPr>
        <w:t xml:space="preserve">“INFORME JUSTIFICADO SOLICITUD 04.pdf”: </w:t>
      </w:r>
      <w:r w:rsidRPr="00367BA2">
        <w:rPr>
          <w:rFonts w:ascii="Palatino Linotype" w:eastAsia="Palatino Linotype" w:hAnsi="Palatino Linotype" w:cs="Palatino Linotype"/>
        </w:rPr>
        <w:t>Oficio UT/KMP/084/2024 suscrito por la Titular de la Unidad de Transparencia, por el cual, señala que el</w:t>
      </w:r>
      <w:r w:rsidRPr="00367BA2">
        <w:t xml:space="preserve"> </w:t>
      </w:r>
      <w:r w:rsidRPr="00367BA2">
        <w:rPr>
          <w:rFonts w:ascii="Palatino Linotype" w:eastAsia="Palatino Linotype" w:hAnsi="Palatino Linotype" w:cs="Palatino Linotype"/>
        </w:rPr>
        <w:t>Titular de la Dirección de Servicios Públicos del Ayuntamiento Constitucional de Teoloyucan ratifica la respuesta primigenia, informando nuevamente que no se cuenta con un censo que se haya realizado en los panteones municipales.</w:t>
      </w:r>
    </w:p>
    <w:p w14:paraId="0A1E4F18" w14:textId="77777777" w:rsidR="00F0243B" w:rsidRPr="00367BA2" w:rsidRDefault="00F0243B">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rPr>
      </w:pPr>
    </w:p>
    <w:p w14:paraId="47CD14C6" w14:textId="77777777" w:rsidR="00F0243B" w:rsidRPr="00367BA2" w:rsidRDefault="0017139D">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rPr>
      </w:pPr>
      <w:r w:rsidRPr="00367BA2">
        <w:rPr>
          <w:rFonts w:ascii="Palatino Linotype" w:eastAsia="Palatino Linotype" w:hAnsi="Palatino Linotype" w:cs="Palatino Linotype"/>
          <w:b/>
          <w:i/>
        </w:rPr>
        <w:t xml:space="preserve">”UT KMP 032 2024.pdf”: </w:t>
      </w:r>
      <w:r w:rsidRPr="00367BA2">
        <w:rPr>
          <w:rFonts w:ascii="Palatino Linotype" w:eastAsia="Palatino Linotype" w:hAnsi="Palatino Linotype" w:cs="Palatino Linotype"/>
        </w:rPr>
        <w:t>Oficio UT/KMP/032/2024, signado por la Titular de la Unidad de Transparencia, por el cual notifica al Titular de la Dirección de Servicios Públicos la interposición del recurso de revisión para su debida atención.</w:t>
      </w:r>
    </w:p>
    <w:p w14:paraId="21A2CD98" w14:textId="77777777" w:rsidR="00F0243B" w:rsidRPr="00367BA2" w:rsidRDefault="00F0243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p>
    <w:p w14:paraId="7DB5F5A4" w14:textId="77777777" w:rsidR="00F0243B" w:rsidRPr="00367BA2" w:rsidRDefault="0017139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Una vez analizada esta documentación, la Comisionada Ponente determinó poner esta documentación a disposición de </w:t>
      </w:r>
      <w:r w:rsidRPr="00367BA2">
        <w:rPr>
          <w:rFonts w:ascii="Palatino Linotype" w:eastAsia="Palatino Linotype" w:hAnsi="Palatino Linotype" w:cs="Palatino Linotype"/>
          <w:b/>
        </w:rPr>
        <w:t>la parte Recurrente</w:t>
      </w:r>
      <w:r w:rsidRPr="00367BA2">
        <w:rPr>
          <w:rFonts w:ascii="Palatino Linotype" w:eastAsia="Palatino Linotype" w:hAnsi="Palatino Linotype" w:cs="Palatino Linotype"/>
        </w:rPr>
        <w:t xml:space="preserve"> mediante signado el </w:t>
      </w:r>
      <w:r w:rsidRPr="00367BA2">
        <w:rPr>
          <w:rFonts w:ascii="Palatino Linotype" w:eastAsia="Palatino Linotype" w:hAnsi="Palatino Linotype" w:cs="Palatino Linotype"/>
          <w:b/>
        </w:rPr>
        <w:t>diecisiete de abril de dos mil veinticuatro</w:t>
      </w:r>
      <w:r w:rsidRPr="00367BA2">
        <w:rPr>
          <w:rFonts w:ascii="Palatino Linotype" w:eastAsia="Palatino Linotype" w:hAnsi="Palatino Linotype" w:cs="Palatino Linotype"/>
        </w:rPr>
        <w:t>, teniendo así que la persona que recurre fue omisa en hacer valer manifestaciones que a su derecho resultaran convenientes.</w:t>
      </w:r>
    </w:p>
    <w:p w14:paraId="489D81F9" w14:textId="77777777" w:rsidR="00F0243B" w:rsidRPr="00367BA2" w:rsidRDefault="00F0243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p>
    <w:p w14:paraId="5D900ECA" w14:textId="77777777" w:rsidR="00F0243B" w:rsidRPr="00367BA2" w:rsidRDefault="0017139D">
      <w:pPr>
        <w:spacing w:after="240" w:line="360" w:lineRule="auto"/>
        <w:jc w:val="both"/>
        <w:rPr>
          <w:rFonts w:ascii="Palatino Linotype" w:eastAsia="Palatino Linotype" w:hAnsi="Palatino Linotype" w:cs="Palatino Linotype"/>
          <w:b/>
        </w:rPr>
      </w:pPr>
      <w:r w:rsidRPr="00367BA2">
        <w:rPr>
          <w:rFonts w:ascii="Palatino Linotype" w:eastAsia="Palatino Linotype" w:hAnsi="Palatino Linotype" w:cs="Palatino Linotype"/>
          <w:b/>
        </w:rPr>
        <w:t>7. Ampliación del término para resolver</w:t>
      </w:r>
      <w:r w:rsidRPr="00367BA2">
        <w:rPr>
          <w:rFonts w:ascii="Palatino Linotype" w:eastAsia="Palatino Linotype" w:hAnsi="Palatino Linotype" w:cs="Palatino Linotype"/>
        </w:rPr>
        <w:t xml:space="preserve">. El </w:t>
      </w:r>
      <w:r w:rsidRPr="00367BA2">
        <w:rPr>
          <w:rFonts w:ascii="Palatino Linotype" w:eastAsia="Palatino Linotype" w:hAnsi="Palatino Linotype" w:cs="Palatino Linotype"/>
          <w:b/>
        </w:rPr>
        <w:t>diecisiete de abril de dos mil veinticuatro</w:t>
      </w:r>
      <w:r w:rsidRPr="00367BA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A943358"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282C09D"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w:t>
      </w:r>
      <w:r w:rsidRPr="00367BA2">
        <w:rPr>
          <w:rFonts w:ascii="Palatino Linotype" w:eastAsia="Palatino Linotype" w:hAnsi="Palatino Linotype" w:cs="Palatino Linotype"/>
          <w:sz w:val="22"/>
          <w:szCs w:val="22"/>
        </w:rPr>
        <w:t>ju</w:t>
      </w:r>
      <w:r w:rsidRPr="00367BA2">
        <w:rPr>
          <w:rFonts w:ascii="Palatino Linotype" w:eastAsia="Palatino Linotype" w:hAnsi="Palatino Linotype" w:cs="Palatino Linotype"/>
        </w:rPr>
        <w:t xml:space="preserve"> en los elementos para medir la razonabilidad de asuntos conforme a los parámetros establecidos por diversos órganos jurisdiccionales federales, aplicables también en procedimientos análogos, como el que nos ocupa.</w:t>
      </w:r>
    </w:p>
    <w:p w14:paraId="0D241471"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30D884"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EF12E6" w14:textId="77777777" w:rsidR="00F0243B" w:rsidRPr="00367BA2" w:rsidRDefault="0017139D">
      <w:pPr>
        <w:spacing w:before="240" w:after="240" w:line="360" w:lineRule="auto"/>
        <w:jc w:val="both"/>
        <w:rPr>
          <w:rFonts w:ascii="Palatino Linotype" w:eastAsia="Palatino Linotype" w:hAnsi="Palatino Linotype" w:cs="Palatino Linotype"/>
          <w:strike/>
        </w:rPr>
      </w:pPr>
      <w:r w:rsidRPr="00367B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B4DE51" w14:textId="77777777" w:rsidR="00F0243B" w:rsidRPr="00367BA2" w:rsidRDefault="0017139D">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367BA2">
        <w:rPr>
          <w:rFonts w:ascii="Palatino Linotype" w:eastAsia="Palatino Linotype" w:hAnsi="Palatino Linotype" w:cs="Palatino Linotype"/>
          <w:b/>
        </w:rPr>
        <w:t>Complejidad del Asunto:</w:t>
      </w:r>
      <w:r w:rsidRPr="00367BA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3C19E52" w14:textId="77777777" w:rsidR="00F0243B" w:rsidRPr="00367BA2" w:rsidRDefault="0017139D">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367BA2">
        <w:rPr>
          <w:rFonts w:ascii="Palatino Linotype" w:eastAsia="Palatino Linotype" w:hAnsi="Palatino Linotype" w:cs="Palatino Linotype"/>
          <w:b/>
        </w:rPr>
        <w:t>Actividad Procesal del interesado</w:t>
      </w:r>
      <w:r w:rsidRPr="00367BA2">
        <w:rPr>
          <w:rFonts w:ascii="Palatino Linotype" w:eastAsia="Palatino Linotype" w:hAnsi="Palatino Linotype" w:cs="Palatino Linotype"/>
        </w:rPr>
        <w:t>. Acciones u omisiones del interesado.</w:t>
      </w:r>
    </w:p>
    <w:p w14:paraId="55E381E9" w14:textId="77777777" w:rsidR="00F0243B" w:rsidRPr="00367BA2" w:rsidRDefault="0017139D">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367BA2">
        <w:rPr>
          <w:rFonts w:ascii="Palatino Linotype" w:eastAsia="Palatino Linotype" w:hAnsi="Palatino Linotype" w:cs="Palatino Linotype"/>
          <w:b/>
        </w:rPr>
        <w:t>Conducta de la Autoridad:</w:t>
      </w:r>
      <w:r w:rsidRPr="00367BA2">
        <w:rPr>
          <w:rFonts w:ascii="Palatino Linotype" w:eastAsia="Palatino Linotype" w:hAnsi="Palatino Linotype" w:cs="Palatino Linotype"/>
        </w:rPr>
        <w:t xml:space="preserve"> Las Acciones u omisiones realizadas en el procedimiento. Así como si la autoridad actuó con la debida diligencia.</w:t>
      </w:r>
    </w:p>
    <w:p w14:paraId="13FBA47C" w14:textId="77777777" w:rsidR="00F0243B" w:rsidRPr="00367BA2" w:rsidRDefault="0017139D">
      <w:pPr>
        <w:numPr>
          <w:ilvl w:val="0"/>
          <w:numId w:val="2"/>
        </w:numPr>
        <w:tabs>
          <w:tab w:val="left" w:pos="993"/>
        </w:tabs>
        <w:spacing w:before="240" w:after="240" w:line="360" w:lineRule="auto"/>
        <w:ind w:left="567" w:right="900" w:firstLine="0"/>
        <w:jc w:val="both"/>
        <w:rPr>
          <w:rFonts w:ascii="Palatino Linotype" w:eastAsia="Palatino Linotype" w:hAnsi="Palatino Linotype" w:cs="Palatino Linotype"/>
        </w:rPr>
      </w:pPr>
      <w:r w:rsidRPr="00367BA2">
        <w:rPr>
          <w:rFonts w:ascii="Palatino Linotype" w:eastAsia="Palatino Linotype" w:hAnsi="Palatino Linotype" w:cs="Palatino Linotype"/>
          <w:b/>
        </w:rPr>
        <w:t>La afectación generada en la situación jurídica de la persona involucrada en el proceso:</w:t>
      </w:r>
      <w:r w:rsidRPr="00367BA2">
        <w:rPr>
          <w:rFonts w:ascii="Palatino Linotype" w:eastAsia="Palatino Linotype" w:hAnsi="Palatino Linotype" w:cs="Palatino Linotype"/>
        </w:rPr>
        <w:t xml:space="preserve"> Violación a sus derechos humanos.</w:t>
      </w:r>
    </w:p>
    <w:p w14:paraId="37E1DE8C"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236EDB" w14:textId="77777777" w:rsidR="00F0243B" w:rsidRPr="00367BA2" w:rsidRDefault="0017139D">
      <w:pPr>
        <w:spacing w:before="240" w:after="240" w:line="360" w:lineRule="auto"/>
        <w:jc w:val="both"/>
        <w:rPr>
          <w:rFonts w:ascii="Palatino Linotype" w:eastAsia="Palatino Linotype" w:hAnsi="Palatino Linotype" w:cs="Palatino Linotype"/>
          <w:b/>
        </w:rPr>
      </w:pPr>
      <w:r w:rsidRPr="00367B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67BA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67BA2">
        <w:rPr>
          <w:rFonts w:ascii="Palatino Linotype" w:eastAsia="Palatino Linotype" w:hAnsi="Palatino Linotype" w:cs="Palatino Linotype"/>
        </w:rPr>
        <w:t>, visible en la Gaceta del Seminario Judicial de la Federación con el registro digital 205635.</w:t>
      </w:r>
    </w:p>
    <w:p w14:paraId="3D60CB22"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5DAFB1"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29F90F" w14:textId="77777777" w:rsidR="00F0243B" w:rsidRPr="00367BA2" w:rsidRDefault="0017139D">
      <w:pPr>
        <w:spacing w:before="240" w:after="240" w:line="360" w:lineRule="auto"/>
        <w:ind w:left="851" w:right="900"/>
        <w:jc w:val="both"/>
        <w:rPr>
          <w:rFonts w:ascii="Palatino Linotype" w:eastAsia="Palatino Linotype" w:hAnsi="Palatino Linotype" w:cs="Palatino Linotype"/>
          <w:sz w:val="22"/>
          <w:szCs w:val="22"/>
        </w:rPr>
      </w:pPr>
      <w:r w:rsidRPr="00367BA2">
        <w:rPr>
          <w:rFonts w:ascii="Palatino Linotype" w:eastAsia="Palatino Linotype" w:hAnsi="Palatino Linotype" w:cs="Palatino Linotype"/>
          <w:sz w:val="22"/>
          <w:szCs w:val="22"/>
        </w:rPr>
        <w:t xml:space="preserve"> </w:t>
      </w:r>
      <w:r w:rsidRPr="00367BA2">
        <w:rPr>
          <w:rFonts w:ascii="Palatino Linotype" w:eastAsia="Palatino Linotype" w:hAnsi="Palatino Linotype" w:cs="Palatino Linotype"/>
          <w:b/>
          <w:i/>
          <w:sz w:val="22"/>
          <w:szCs w:val="22"/>
        </w:rPr>
        <w:t>“PLAZO RAZONABLE PARA RESOLVER. DIMENSIÓN Y EFECTOS DE ESTE CONCEPTO CUANDO SE ADUCE EXCESIVA CARGA DE TRABAJO</w:t>
      </w: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sz w:val="22"/>
          <w:szCs w:val="22"/>
        </w:rPr>
        <w:t xml:space="preserve"> consultable en el Seminario Judicial de la Federación y su gaceta, con el registro digital 2002351.</w:t>
      </w:r>
    </w:p>
    <w:p w14:paraId="0344938A" w14:textId="77777777" w:rsidR="00F0243B" w:rsidRPr="00367BA2" w:rsidRDefault="0017139D">
      <w:pPr>
        <w:spacing w:before="240" w:after="240" w:line="360" w:lineRule="auto"/>
        <w:ind w:left="851" w:right="900"/>
        <w:jc w:val="both"/>
        <w:rPr>
          <w:rFonts w:ascii="Palatino Linotype" w:eastAsia="Palatino Linotype" w:hAnsi="Palatino Linotype" w:cs="Palatino Linotype"/>
          <w:sz w:val="22"/>
          <w:szCs w:val="22"/>
        </w:rPr>
      </w:pPr>
      <w:r w:rsidRPr="00367BA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67BA2">
        <w:rPr>
          <w:rFonts w:ascii="Palatino Linotype" w:eastAsia="Palatino Linotype" w:hAnsi="Palatino Linotype" w:cs="Palatino Linotype"/>
          <w:sz w:val="22"/>
          <w:szCs w:val="22"/>
        </w:rPr>
        <w:t>, visible en el Seminario Judicial de la Federación y su gaceta, con el registro digital 2002350.</w:t>
      </w:r>
    </w:p>
    <w:p w14:paraId="78DCB580"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62BDB53" w14:textId="77777777" w:rsidR="00F0243B" w:rsidRPr="00367BA2" w:rsidRDefault="0017139D">
      <w:pPr>
        <w:pBdr>
          <w:top w:val="nil"/>
          <w:left w:val="nil"/>
          <w:bottom w:val="nil"/>
          <w:right w:val="nil"/>
          <w:between w:val="nil"/>
        </w:pBdr>
        <w:spacing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 xml:space="preserve">8. Requerimiento de información adicional. </w:t>
      </w:r>
      <w:r w:rsidRPr="00367BA2">
        <w:rPr>
          <w:rFonts w:ascii="Palatino Linotype" w:eastAsia="Palatino Linotype" w:hAnsi="Palatino Linotype" w:cs="Palatino Linotype"/>
        </w:rPr>
        <w:t xml:space="preserve">El </w:t>
      </w:r>
      <w:r w:rsidRPr="00367BA2">
        <w:rPr>
          <w:rFonts w:ascii="Palatino Linotype" w:eastAsia="Palatino Linotype" w:hAnsi="Palatino Linotype" w:cs="Palatino Linotype"/>
          <w:b/>
        </w:rPr>
        <w:t>siete de junio de dos mil veinticuatro</w:t>
      </w:r>
      <w:r w:rsidRPr="00367BA2">
        <w:rPr>
          <w:rFonts w:ascii="Palatino Linotype" w:eastAsia="Palatino Linotype" w:hAnsi="Palatino Linotype" w:cs="Palatino Linotype"/>
        </w:rPr>
        <w:t xml:space="preserve">, se envió por correo electrónico un requerimiento de información adicional al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el cual consistió en lo siguiente:</w:t>
      </w:r>
    </w:p>
    <w:p w14:paraId="1B89D83F" w14:textId="77777777" w:rsidR="00F0243B" w:rsidRPr="00367BA2" w:rsidRDefault="00F0243B">
      <w:pPr>
        <w:pBdr>
          <w:top w:val="nil"/>
          <w:left w:val="nil"/>
          <w:bottom w:val="nil"/>
          <w:right w:val="nil"/>
          <w:between w:val="nil"/>
        </w:pBdr>
        <w:spacing w:line="360" w:lineRule="auto"/>
        <w:jc w:val="both"/>
        <w:rPr>
          <w:rFonts w:ascii="Palatino Linotype" w:eastAsia="Palatino Linotype" w:hAnsi="Palatino Linotype" w:cs="Palatino Linotype"/>
        </w:rPr>
      </w:pPr>
    </w:p>
    <w:p w14:paraId="12399B3E"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“1.- Número de panteones con los que cuenta a la fecha de la solicitud.</w:t>
      </w:r>
    </w:p>
    <w:p w14:paraId="47054F66"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2.- ¿Dichos panteones son administrados por el municipio en su totalidad?</w:t>
      </w:r>
    </w:p>
    <w:p w14:paraId="31C3C689"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3.- Capacidad de los panteones.</w:t>
      </w:r>
    </w:p>
    <w:p w14:paraId="3EA43E60"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4.- Forma en la que registra las fosas que se encuentran ocupadas y desocupadas.</w:t>
      </w:r>
    </w:p>
    <w:p w14:paraId="3DF9C317"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5.- ¿Se genera un censo o algún documento estadístico respecto a los panteones municipales?</w:t>
      </w:r>
    </w:p>
    <w:p w14:paraId="31BE1782"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6.- En el caso de que si cuente con dicho documento estadístico, precise los datos que lo componen.</w:t>
      </w:r>
    </w:p>
    <w:p w14:paraId="64989B02"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7.- ¿Cuentan con un reglamento municipal de panteones? De ser el caso en el que si lo posean, adjúntelo de manera íntegra, de no contar con él, refiera la normatividad que observan en materia de panteones.”</w:t>
      </w:r>
    </w:p>
    <w:p w14:paraId="4D7F9230" w14:textId="77777777" w:rsidR="00F0243B" w:rsidRPr="00367BA2" w:rsidRDefault="0017139D">
      <w:pPr>
        <w:spacing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 xml:space="preserve">9. Desahogo del requerimiento de información adicional. </w:t>
      </w:r>
      <w:r w:rsidRPr="00367BA2">
        <w:rPr>
          <w:rFonts w:ascii="Palatino Linotype" w:eastAsia="Palatino Linotype" w:hAnsi="Palatino Linotype" w:cs="Palatino Linotype"/>
        </w:rPr>
        <w:t xml:space="preserve">El </w:t>
      </w:r>
      <w:r w:rsidRPr="00367BA2">
        <w:rPr>
          <w:rFonts w:ascii="Palatino Linotype" w:eastAsia="Palatino Linotype" w:hAnsi="Palatino Linotype" w:cs="Palatino Linotype"/>
          <w:b/>
        </w:rPr>
        <w:t>once de junio de dos mil veinticuatro</w:t>
      </w:r>
      <w:r w:rsidRPr="00367BA2">
        <w:rPr>
          <w:rFonts w:ascii="Palatino Linotype" w:eastAsia="Palatino Linotype" w:hAnsi="Palatino Linotype" w:cs="Palatino Linotype"/>
        </w:rPr>
        <w:t xml:space="preserv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remitió vía correo electrónico el desahogo al requerimiento de información adicional, ello en los siguientes términos:</w:t>
      </w:r>
    </w:p>
    <w:p w14:paraId="32181BF2"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“1.- Número de panteones con los que cuenta a la fecha de la solicitud.</w:t>
      </w:r>
    </w:p>
    <w:p w14:paraId="61F4EAF4" w14:textId="77777777" w:rsidR="00F0243B" w:rsidRPr="00367BA2" w:rsidRDefault="0017139D">
      <w:pPr>
        <w:spacing w:after="240" w:line="276" w:lineRule="auto"/>
        <w:ind w:left="567"/>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Panteón Municipal Viejo, Panteón Nuevo y Panteón de la Santa Cruz</w:t>
      </w:r>
    </w:p>
    <w:p w14:paraId="0BE67CE4"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2.- ¿Dichos panteones son administrados por el municipio en su totalidad?</w:t>
      </w:r>
    </w:p>
    <w:p w14:paraId="24520009" w14:textId="77777777" w:rsidR="00F0243B" w:rsidRPr="00367BA2" w:rsidRDefault="0017139D">
      <w:pPr>
        <w:spacing w:after="240" w:line="276" w:lineRule="auto"/>
        <w:ind w:left="567"/>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Los panteones del Ayuntamiento Sí son administrados por el municipio</w:t>
      </w:r>
    </w:p>
    <w:p w14:paraId="78D81E80" w14:textId="77777777" w:rsidR="00F0243B" w:rsidRPr="00367BA2" w:rsidRDefault="0017139D">
      <w:pPr>
        <w:spacing w:after="240"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3.- Capacidad de los panteones.</w:t>
      </w:r>
    </w:p>
    <w:p w14:paraId="16170E69" w14:textId="77777777" w:rsidR="00F0243B" w:rsidRPr="00367BA2" w:rsidRDefault="0017139D">
      <w:pPr>
        <w:spacing w:after="240" w:line="276" w:lineRule="auto"/>
        <w:ind w:left="567"/>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Panteón Municipal Viejo 3,421 fosas</w:t>
      </w:r>
    </w:p>
    <w:p w14:paraId="0D909A01" w14:textId="77777777" w:rsidR="00F0243B" w:rsidRPr="00367BA2" w:rsidRDefault="0017139D">
      <w:pPr>
        <w:spacing w:after="240" w:line="276" w:lineRule="auto"/>
        <w:ind w:left="567"/>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Panteón Nuevo 1,130 fosas</w:t>
      </w:r>
    </w:p>
    <w:p w14:paraId="7F70D341" w14:textId="77777777" w:rsidR="00F0243B" w:rsidRPr="00367BA2" w:rsidRDefault="0017139D">
      <w:pPr>
        <w:spacing w:after="240" w:line="276" w:lineRule="auto"/>
        <w:ind w:left="567"/>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Panteón de la Santa Cruz 2,150 fosas</w:t>
      </w:r>
    </w:p>
    <w:p w14:paraId="26655BFA"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4.- Forma en la que registra las fosas que se encuentran ocupadas y desocupadas.</w:t>
      </w:r>
    </w:p>
    <w:p w14:paraId="198646F0" w14:textId="77777777" w:rsidR="00F0243B" w:rsidRPr="00367BA2" w:rsidRDefault="0017139D">
      <w:pPr>
        <w:spacing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Esta información se encuentra en el reglamento de panteones del Municipio de Teoloyucan.</w:t>
      </w:r>
    </w:p>
    <w:p w14:paraId="4F5C12BE"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5.- ¿Se genera un censo o algún documento estadístico respecto a los panteones municipales?</w:t>
      </w:r>
    </w:p>
    <w:p w14:paraId="1A47EDA6" w14:textId="77777777" w:rsidR="00F0243B" w:rsidRPr="00367BA2" w:rsidRDefault="0017139D">
      <w:pPr>
        <w:spacing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Sólo se cuenta con la información del Plan de Desarrollo Municipal 2022-2024</w:t>
      </w:r>
    </w:p>
    <w:p w14:paraId="5474BEFD"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6.- En el caso de que si cuente con dicho documento estadístico, precise los datos que lo componen.</w:t>
      </w:r>
    </w:p>
    <w:p w14:paraId="1DCFC6E8"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noProof/>
          <w:sz w:val="22"/>
          <w:szCs w:val="22"/>
        </w:rPr>
        <w:drawing>
          <wp:inline distT="0" distB="0" distL="0" distR="0" wp14:anchorId="479EB0C4" wp14:editId="2DF0315C">
            <wp:extent cx="4940020" cy="4090123"/>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940020" cy="4090123"/>
                    </a:xfrm>
                    <a:prstGeom prst="rect">
                      <a:avLst/>
                    </a:prstGeom>
                    <a:ln/>
                  </pic:spPr>
                </pic:pic>
              </a:graphicData>
            </a:graphic>
          </wp:inline>
        </w:drawing>
      </w:r>
    </w:p>
    <w:p w14:paraId="470E6156"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7.- ¿Cuentan con un reglamento municipal de panteones? De ser el caso en el que si lo posean, adjúntelo de manera íntegra, de no contar con él, refiera la normatividad que observan en materia de panteones</w:t>
      </w:r>
    </w:p>
    <w:p w14:paraId="0DB8FCC8" w14:textId="77777777" w:rsidR="00F0243B" w:rsidRPr="00367BA2" w:rsidRDefault="0017139D">
      <w:pPr>
        <w:spacing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Reglamento de panteones del Municipio de Teoloyucan, Estado de México.”</w:t>
      </w:r>
    </w:p>
    <w:p w14:paraId="0CC644A6" w14:textId="77777777" w:rsidR="00F0243B" w:rsidRPr="00367BA2" w:rsidRDefault="00F0243B">
      <w:pPr>
        <w:spacing w:after="240" w:line="276" w:lineRule="auto"/>
        <w:ind w:left="567" w:right="900"/>
        <w:jc w:val="both"/>
        <w:rPr>
          <w:rFonts w:ascii="Palatino Linotype" w:eastAsia="Palatino Linotype" w:hAnsi="Palatino Linotype" w:cs="Palatino Linotype"/>
        </w:rPr>
      </w:pPr>
    </w:p>
    <w:p w14:paraId="2D444C6D" w14:textId="77777777" w:rsidR="00F0243B" w:rsidRPr="00367BA2" w:rsidRDefault="00F0243B">
      <w:pPr>
        <w:spacing w:after="240" w:line="360" w:lineRule="auto"/>
        <w:jc w:val="both"/>
        <w:rPr>
          <w:rFonts w:ascii="Palatino Linotype" w:eastAsia="Palatino Linotype" w:hAnsi="Palatino Linotype" w:cs="Palatino Linotype"/>
        </w:rPr>
      </w:pPr>
    </w:p>
    <w:p w14:paraId="3034CD50" w14:textId="77777777" w:rsidR="00F0243B" w:rsidRPr="00367BA2" w:rsidRDefault="0017139D">
      <w:pPr>
        <w:spacing w:after="240" w:line="360" w:lineRule="auto"/>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10. Cierre de instrucción. </w:t>
      </w:r>
      <w:r w:rsidRPr="00367BA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67BA2">
        <w:rPr>
          <w:rFonts w:ascii="Palatino Linotype" w:eastAsia="Palatino Linotype" w:hAnsi="Palatino Linotype" w:cs="Palatino Linotype"/>
          <w:b/>
        </w:rPr>
        <w:t>dieciocho de junio de dos mil veinticuatro,</w:t>
      </w:r>
      <w:r w:rsidRPr="00367BA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74B53620"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6EA4F13" w14:textId="77777777" w:rsidR="00F0243B" w:rsidRPr="00367BA2" w:rsidRDefault="0017139D">
      <w:pPr>
        <w:widowControl w:val="0"/>
        <w:spacing w:before="240" w:after="240" w:line="360" w:lineRule="auto"/>
        <w:jc w:val="center"/>
        <w:rPr>
          <w:rFonts w:ascii="Palatino Linotype" w:eastAsia="Palatino Linotype" w:hAnsi="Palatino Linotype" w:cs="Palatino Linotype"/>
          <w:b/>
        </w:rPr>
      </w:pPr>
      <w:r w:rsidRPr="00367BA2">
        <w:rPr>
          <w:rFonts w:ascii="Palatino Linotype" w:eastAsia="Palatino Linotype" w:hAnsi="Palatino Linotype" w:cs="Palatino Linotype"/>
          <w:b/>
        </w:rPr>
        <w:t>II. C O N S I D E R A N D O S</w:t>
      </w:r>
    </w:p>
    <w:p w14:paraId="45E88A02"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Primero. Competencia.</w:t>
      </w:r>
      <w:r w:rsidRPr="00367B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5033D1B" w14:textId="77777777" w:rsidR="00F0243B" w:rsidRPr="00367BA2" w:rsidRDefault="0017139D">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367BA2">
        <w:rPr>
          <w:rFonts w:ascii="Palatino Linotype" w:eastAsia="Palatino Linotype" w:hAnsi="Palatino Linotype" w:cs="Palatino Linotype"/>
          <w:b/>
        </w:rPr>
        <w:t>Segundo. Oportunidad y Procedibilidad del Recurso de Revisión</w:t>
      </w:r>
      <w:r w:rsidRPr="00367B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84BE822" w14:textId="77777777" w:rsidR="00F0243B" w:rsidRPr="00367BA2" w:rsidRDefault="0017139D">
      <w:pPr>
        <w:spacing w:before="240" w:after="240" w:line="360" w:lineRule="auto"/>
        <w:jc w:val="both"/>
        <w:rPr>
          <w:rFonts w:ascii="Palatino Linotype" w:eastAsia="Palatino Linotype" w:hAnsi="Palatino Linotype" w:cs="Palatino Linotype"/>
          <w:b/>
        </w:rPr>
      </w:pPr>
      <w:r w:rsidRPr="00367B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67BA2">
        <w:rPr>
          <w:rFonts w:ascii="Palatino Linotype" w:eastAsia="Palatino Linotype" w:hAnsi="Palatino Linotype" w:cs="Palatino Linotype"/>
          <w:b/>
        </w:rPr>
        <w:t xml:space="preserve">Sujeto Obligado </w:t>
      </w:r>
      <w:r w:rsidRPr="00367BA2">
        <w:rPr>
          <w:rFonts w:ascii="Palatino Linotype" w:eastAsia="Palatino Linotype" w:hAnsi="Palatino Linotype" w:cs="Palatino Linotype"/>
        </w:rPr>
        <w:t xml:space="preserve">remitió la respuesta a la solicitud de información el </w:t>
      </w:r>
      <w:r w:rsidRPr="00367BA2">
        <w:rPr>
          <w:rFonts w:ascii="Palatino Linotype" w:eastAsia="Palatino Linotype" w:hAnsi="Palatino Linotype" w:cs="Palatino Linotype"/>
          <w:b/>
        </w:rPr>
        <w:t>veintitrés de enero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 xml:space="preserve">de dos mil veinticuatro, </w:t>
      </w:r>
      <w:r w:rsidRPr="00367BA2">
        <w:rPr>
          <w:rFonts w:ascii="Palatino Linotype" w:eastAsia="Palatino Linotype" w:hAnsi="Palatino Linotype" w:cs="Palatino Linotype"/>
        </w:rPr>
        <w:t xml:space="preserve">mientras que el recurso de revisión interpuesto por </w:t>
      </w:r>
      <w:r w:rsidRPr="00367BA2">
        <w:rPr>
          <w:rFonts w:ascii="Palatino Linotype" w:eastAsia="Palatino Linotype" w:hAnsi="Palatino Linotype" w:cs="Palatino Linotype"/>
          <w:b/>
        </w:rPr>
        <w:t>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xml:space="preserve">, se tuvo por presentado el día </w:t>
      </w:r>
      <w:r w:rsidRPr="00367BA2">
        <w:rPr>
          <w:rFonts w:ascii="Palatino Linotype" w:eastAsia="Palatino Linotype" w:hAnsi="Palatino Linotype" w:cs="Palatino Linotype"/>
          <w:b/>
        </w:rPr>
        <w:t>veinticuatro de enero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 xml:space="preserve">de dos mil veinticuatro, </w:t>
      </w:r>
      <w:r w:rsidRPr="00367BA2">
        <w:rPr>
          <w:rFonts w:ascii="Palatino Linotype" w:eastAsia="Palatino Linotype" w:hAnsi="Palatino Linotype" w:cs="Palatino Linotype"/>
        </w:rPr>
        <w:t xml:space="preserve">esto es, al </w:t>
      </w:r>
      <w:r w:rsidRPr="00367BA2">
        <w:rPr>
          <w:rFonts w:ascii="Palatino Linotype" w:eastAsia="Palatino Linotype" w:hAnsi="Palatino Linotype" w:cs="Palatino Linotype"/>
          <w:b/>
        </w:rPr>
        <w:t>primer día hábil</w:t>
      </w:r>
      <w:r w:rsidRPr="00367BA2">
        <w:rPr>
          <w:rFonts w:ascii="Palatino Linotype" w:eastAsia="Palatino Linotype" w:hAnsi="Palatino Linotype" w:cs="Palatino Linotype"/>
        </w:rPr>
        <w:t xml:space="preserve"> siguiente al que tuvo conocimiento de la respuesta impugnada. En este sentido, se concluye que el presente recurso de revisión se encuentra dentro de los márgenes temporales previstos en las disposiciones legales referidas.</w:t>
      </w:r>
    </w:p>
    <w:p w14:paraId="43154A73" w14:textId="77777777" w:rsidR="00F0243B" w:rsidRPr="00367BA2" w:rsidRDefault="0017139D">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367BA2">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2D5FF69"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Finalmente, se advierte que resulta procedente la interposición del recurso, según lo manifestado por la parte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xml:space="preserve"> en sus motivos de inconformidad, de acuerdo al artículo 179, fracción I del ordenamiento legal citado, que a la letra dice: </w:t>
      </w:r>
    </w:p>
    <w:p w14:paraId="06B42CA0"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Artículo 179.</w:t>
      </w:r>
      <w:r w:rsidRPr="00367BA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920A28F" w14:textId="77777777" w:rsidR="00F0243B" w:rsidRPr="00367BA2" w:rsidRDefault="0017139D">
      <w:pPr>
        <w:spacing w:before="120" w:after="120"/>
        <w:ind w:left="567"/>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 xml:space="preserve">I. La negativa a la información solicitada;” </w:t>
      </w:r>
      <w:r w:rsidRPr="00367BA2">
        <w:rPr>
          <w:rFonts w:ascii="Palatino Linotype" w:eastAsia="Palatino Linotype" w:hAnsi="Palatino Linotype" w:cs="Palatino Linotype"/>
          <w:i/>
          <w:sz w:val="22"/>
          <w:szCs w:val="22"/>
        </w:rPr>
        <w:t>(Énfasis añadido)</w:t>
      </w:r>
    </w:p>
    <w:p w14:paraId="040916C7" w14:textId="77777777" w:rsidR="00F0243B" w:rsidRPr="00367BA2" w:rsidRDefault="0017139D">
      <w:pPr>
        <w:spacing w:before="240" w:after="240" w:line="360" w:lineRule="auto"/>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Tercero. Materia de la revisión. </w:t>
      </w:r>
      <w:r w:rsidRPr="00367BA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67BA2">
        <w:rPr>
          <w:rFonts w:ascii="Palatino Linotype" w:eastAsia="Palatino Linotype" w:hAnsi="Palatino Linotype" w:cs="Palatino Linotype"/>
          <w:b/>
        </w:rPr>
        <w:t xml:space="preserve">verificar si la respuesta e informe justificado otorgados por el Sujeto Obligado es adecuada y suficiente para satisfacer el derecho de acceso a la información pública </w:t>
      </w:r>
      <w:r w:rsidRPr="00367BA2">
        <w:rPr>
          <w:rFonts w:ascii="Palatino Linotype" w:eastAsia="Palatino Linotype" w:hAnsi="Palatino Linotype" w:cs="Palatino Linotype"/>
        </w:rPr>
        <w:t xml:space="preserve">de </w:t>
      </w:r>
      <w:r w:rsidRPr="00367BA2">
        <w:rPr>
          <w:rFonts w:ascii="Palatino Linotype" w:eastAsia="Palatino Linotype" w:hAnsi="Palatino Linotype" w:cs="Palatino Linotype"/>
          <w:b/>
        </w:rPr>
        <w:t>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o en su defecto, en caso de ser procedente, ordenar la entrega de información.</w:t>
      </w:r>
    </w:p>
    <w:p w14:paraId="6BBB8710" w14:textId="77777777" w:rsidR="00F0243B" w:rsidRPr="00367BA2" w:rsidRDefault="0017139D">
      <w:pPr>
        <w:pBdr>
          <w:top w:val="nil"/>
          <w:left w:val="nil"/>
          <w:bottom w:val="nil"/>
          <w:right w:val="nil"/>
          <w:between w:val="nil"/>
        </w:pBdr>
        <w:spacing w:before="240" w:after="240" w:line="360" w:lineRule="auto"/>
        <w:jc w:val="both"/>
      </w:pPr>
      <w:bookmarkStart w:id="8" w:name="_heading=h.2et92p0" w:colFirst="0" w:colLast="0"/>
      <w:bookmarkEnd w:id="8"/>
      <w:r w:rsidRPr="00367BA2">
        <w:rPr>
          <w:rFonts w:ascii="Palatino Linotype" w:eastAsia="Palatino Linotype" w:hAnsi="Palatino Linotype" w:cs="Palatino Linotype"/>
          <w:b/>
        </w:rPr>
        <w:t xml:space="preserve">Cuarto. Estudio del asunto </w:t>
      </w:r>
      <w:r w:rsidRPr="00367BA2">
        <w:rPr>
          <w:rFonts w:ascii="Palatino Linotype" w:eastAsia="Palatino Linotype" w:hAnsi="Palatino Linotype" w:cs="Palatino Linotype"/>
        </w:rPr>
        <w:t xml:space="preserve">Antes de entrar al análisis de los pronunciamientos del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39688D" w14:textId="77777777" w:rsidR="00F0243B" w:rsidRPr="00367BA2" w:rsidRDefault="0017139D">
      <w:pPr>
        <w:pBdr>
          <w:top w:val="nil"/>
          <w:left w:val="nil"/>
          <w:bottom w:val="nil"/>
          <w:right w:val="nil"/>
          <w:between w:val="nil"/>
        </w:pBdr>
        <w:spacing w:before="240" w:after="240"/>
        <w:ind w:left="851" w:right="850"/>
        <w:jc w:val="both"/>
      </w:pPr>
      <w:r w:rsidRPr="00367BA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67BA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96CA6E3" w14:textId="77777777" w:rsidR="00F0243B" w:rsidRPr="00367BA2" w:rsidRDefault="0017139D">
      <w:pPr>
        <w:pBdr>
          <w:top w:val="nil"/>
          <w:left w:val="nil"/>
          <w:bottom w:val="nil"/>
          <w:right w:val="nil"/>
          <w:between w:val="nil"/>
        </w:pBdr>
        <w:spacing w:before="240" w:after="240"/>
        <w:ind w:left="851" w:right="850"/>
        <w:jc w:val="both"/>
      </w:pPr>
      <w:r w:rsidRPr="00367BA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84B3F1C" w14:textId="77777777" w:rsidR="00F0243B" w:rsidRPr="00367BA2" w:rsidRDefault="0017139D">
      <w:pPr>
        <w:pBdr>
          <w:top w:val="nil"/>
          <w:left w:val="nil"/>
          <w:bottom w:val="nil"/>
          <w:right w:val="nil"/>
          <w:between w:val="nil"/>
        </w:pBdr>
        <w:spacing w:before="240" w:after="240"/>
        <w:ind w:left="851" w:right="850"/>
        <w:jc w:val="both"/>
      </w:pPr>
      <w:r w:rsidRPr="00367BA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67BA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9C0FDB2" w14:textId="77777777" w:rsidR="00F0243B" w:rsidRPr="00367BA2" w:rsidRDefault="0017139D">
      <w:pPr>
        <w:pBdr>
          <w:top w:val="nil"/>
          <w:left w:val="nil"/>
          <w:bottom w:val="nil"/>
          <w:right w:val="nil"/>
          <w:between w:val="nil"/>
        </w:pBdr>
        <w:spacing w:before="240" w:after="240"/>
        <w:ind w:left="851" w:right="850"/>
        <w:jc w:val="both"/>
      </w:pPr>
      <w:r w:rsidRPr="00367BA2">
        <w:rPr>
          <w:rFonts w:ascii="Palatino Linotype" w:eastAsia="Palatino Linotype" w:hAnsi="Palatino Linotype" w:cs="Palatino Linotype"/>
          <w:i/>
          <w:sz w:val="22"/>
          <w:szCs w:val="22"/>
        </w:rPr>
        <w:t>[…]</w:t>
      </w:r>
    </w:p>
    <w:p w14:paraId="5BD17E6A" w14:textId="77777777" w:rsidR="00F0243B" w:rsidRPr="00367BA2" w:rsidRDefault="0017139D">
      <w:pPr>
        <w:pBdr>
          <w:top w:val="nil"/>
          <w:left w:val="nil"/>
          <w:bottom w:val="nil"/>
          <w:right w:val="nil"/>
          <w:between w:val="nil"/>
        </w:pBdr>
        <w:spacing w:before="240" w:after="240"/>
        <w:ind w:left="851" w:right="901"/>
        <w:jc w:val="both"/>
      </w:pPr>
      <w:r w:rsidRPr="00367BA2">
        <w:rPr>
          <w:rFonts w:ascii="Palatino Linotype" w:eastAsia="Palatino Linotype" w:hAnsi="Palatino Linotype" w:cs="Palatino Linotype"/>
          <w:b/>
          <w:i/>
          <w:sz w:val="22"/>
          <w:szCs w:val="22"/>
        </w:rPr>
        <w:t>“Artículo 6o.</w:t>
      </w:r>
    </w:p>
    <w:p w14:paraId="0EEB7FCD" w14:textId="77777777" w:rsidR="00F0243B" w:rsidRPr="00367BA2" w:rsidRDefault="0017139D">
      <w:pPr>
        <w:pBdr>
          <w:top w:val="nil"/>
          <w:left w:val="nil"/>
          <w:bottom w:val="nil"/>
          <w:right w:val="nil"/>
          <w:between w:val="nil"/>
        </w:pBdr>
        <w:spacing w:before="240" w:after="240"/>
        <w:ind w:left="851" w:right="901"/>
        <w:jc w:val="both"/>
      </w:pPr>
      <w:r w:rsidRPr="00367BA2">
        <w:rPr>
          <w:rFonts w:ascii="Palatino Linotype" w:eastAsia="Palatino Linotype" w:hAnsi="Palatino Linotype" w:cs="Palatino Linotype"/>
          <w:i/>
          <w:sz w:val="22"/>
          <w:szCs w:val="22"/>
        </w:rPr>
        <w:t>[...]</w:t>
      </w:r>
    </w:p>
    <w:p w14:paraId="7B92A666"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b/>
          <w:i/>
          <w:sz w:val="22"/>
          <w:szCs w:val="22"/>
        </w:rPr>
        <w:t xml:space="preserve">A. Para el ejercicio del derecho de acceso a la información, la Federación y </w:t>
      </w:r>
      <w:r w:rsidRPr="00367BA2">
        <w:rPr>
          <w:rFonts w:ascii="Palatino Linotype" w:eastAsia="Palatino Linotype" w:hAnsi="Palatino Linotype" w:cs="Palatino Linotype"/>
          <w:b/>
          <w:i/>
          <w:sz w:val="22"/>
          <w:szCs w:val="22"/>
          <w:u w:val="single"/>
        </w:rPr>
        <w:t>las entidades federativas</w:t>
      </w:r>
      <w:r w:rsidRPr="00367BA2">
        <w:rPr>
          <w:rFonts w:ascii="Palatino Linotype" w:eastAsia="Palatino Linotype" w:hAnsi="Palatino Linotype" w:cs="Palatino Linotype"/>
          <w:b/>
          <w:i/>
          <w:sz w:val="22"/>
          <w:szCs w:val="22"/>
        </w:rPr>
        <w:t>,</w:t>
      </w:r>
      <w:r w:rsidRPr="00367BA2">
        <w:rPr>
          <w:rFonts w:ascii="Palatino Linotype" w:eastAsia="Palatino Linotype" w:hAnsi="Palatino Linotype" w:cs="Palatino Linotype"/>
          <w:i/>
          <w:sz w:val="22"/>
          <w:szCs w:val="22"/>
        </w:rPr>
        <w:t xml:space="preserve"> en el ámbito de sus respectivas competencias, se regirán por los siguientes principios y bases:</w:t>
      </w:r>
    </w:p>
    <w:p w14:paraId="44068978"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 xml:space="preserve">I. </w:t>
      </w:r>
      <w:r w:rsidRPr="00367BA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67BA2">
        <w:rPr>
          <w:rFonts w:ascii="Palatino Linotype" w:eastAsia="Palatino Linotype" w:hAnsi="Palatino Linotype" w:cs="Palatino Linotype"/>
          <w:i/>
          <w:sz w:val="22"/>
          <w:szCs w:val="22"/>
        </w:rPr>
        <w:t xml:space="preserve"> Ejecutivo, Legislativo </w:t>
      </w:r>
      <w:r w:rsidRPr="00367BA2">
        <w:rPr>
          <w:rFonts w:ascii="Palatino Linotype" w:eastAsia="Palatino Linotype" w:hAnsi="Palatino Linotype" w:cs="Palatino Linotype"/>
          <w:b/>
          <w:i/>
          <w:sz w:val="22"/>
          <w:szCs w:val="22"/>
          <w:u w:val="single"/>
        </w:rPr>
        <w:t>y Judicial</w:t>
      </w:r>
      <w:r w:rsidRPr="00367BA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67BA2">
        <w:rPr>
          <w:rFonts w:ascii="Palatino Linotype" w:eastAsia="Palatino Linotype" w:hAnsi="Palatino Linotype" w:cs="Palatino Linotype"/>
          <w:b/>
          <w:i/>
          <w:sz w:val="22"/>
          <w:szCs w:val="22"/>
        </w:rPr>
        <w:t>es pública y sólo podrá ser reservada temporalmente por razones de interés público y seguridad nacional,</w:t>
      </w:r>
      <w:r w:rsidRPr="00367BA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D4A885"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E51CDAE"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 xml:space="preserve">III. </w:t>
      </w:r>
      <w:r w:rsidRPr="00367BA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67BA2">
        <w:rPr>
          <w:rFonts w:ascii="Palatino Linotype" w:eastAsia="Palatino Linotype" w:hAnsi="Palatino Linotype" w:cs="Palatino Linotype"/>
          <w:i/>
          <w:sz w:val="22"/>
          <w:szCs w:val="22"/>
        </w:rPr>
        <w:t xml:space="preserve"> a sus datos personales o a la rectificación de éstos.</w:t>
      </w:r>
    </w:p>
    <w:p w14:paraId="234C8479"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 xml:space="preserve">IV. </w:t>
      </w:r>
      <w:r w:rsidRPr="00367BA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982DDF6"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b/>
          <w:i/>
          <w:sz w:val="22"/>
          <w:szCs w:val="22"/>
        </w:rPr>
        <w:t xml:space="preserve">V. </w:t>
      </w:r>
      <w:r w:rsidRPr="00367BA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8A1590"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 xml:space="preserve">VI. </w:t>
      </w:r>
      <w:r w:rsidRPr="00367BA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869FE12" w14:textId="77777777" w:rsidR="00F0243B" w:rsidRPr="00367BA2" w:rsidRDefault="0017139D">
      <w:pPr>
        <w:pBdr>
          <w:top w:val="nil"/>
          <w:left w:val="nil"/>
          <w:bottom w:val="nil"/>
          <w:right w:val="nil"/>
          <w:between w:val="nil"/>
        </w:pBdr>
        <w:spacing w:before="240" w:after="240"/>
        <w:ind w:left="851" w:right="851"/>
        <w:jc w:val="both"/>
      </w:pPr>
      <w:r w:rsidRPr="00367BA2">
        <w:rPr>
          <w:rFonts w:ascii="Palatino Linotype" w:eastAsia="Palatino Linotype" w:hAnsi="Palatino Linotype" w:cs="Palatino Linotype"/>
          <w:i/>
          <w:sz w:val="22"/>
          <w:szCs w:val="22"/>
        </w:rPr>
        <w:t> </w:t>
      </w:r>
      <w:r w:rsidRPr="00367BA2">
        <w:rPr>
          <w:rFonts w:ascii="Palatino Linotype" w:eastAsia="Palatino Linotype" w:hAnsi="Palatino Linotype" w:cs="Palatino Linotype"/>
          <w:b/>
          <w:i/>
          <w:sz w:val="22"/>
          <w:szCs w:val="22"/>
        </w:rPr>
        <w:t xml:space="preserve">VII. </w:t>
      </w:r>
      <w:r w:rsidRPr="00367BA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544BA54"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ACEE6D" w14:textId="77777777" w:rsidR="00F0243B" w:rsidRPr="00367BA2" w:rsidRDefault="0017139D">
      <w:pPr>
        <w:pBdr>
          <w:top w:val="nil"/>
          <w:left w:val="nil"/>
          <w:bottom w:val="nil"/>
          <w:right w:val="nil"/>
          <w:between w:val="nil"/>
        </w:pBdr>
        <w:spacing w:before="240" w:after="240"/>
        <w:ind w:left="709" w:right="760"/>
        <w:jc w:val="both"/>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Artículo 4</w:t>
      </w:r>
      <w:r w:rsidRPr="00367BA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D439122" w14:textId="77777777" w:rsidR="00F0243B" w:rsidRPr="00367BA2" w:rsidRDefault="0017139D">
      <w:pPr>
        <w:pBdr>
          <w:top w:val="nil"/>
          <w:left w:val="nil"/>
          <w:bottom w:val="nil"/>
          <w:right w:val="nil"/>
          <w:between w:val="nil"/>
        </w:pBdr>
        <w:spacing w:before="240" w:after="240"/>
        <w:ind w:left="709" w:right="760"/>
        <w:jc w:val="both"/>
      </w:pPr>
      <w:r w:rsidRPr="00367B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238E67" w14:textId="77777777" w:rsidR="00F0243B" w:rsidRPr="00367BA2" w:rsidRDefault="0017139D">
      <w:pPr>
        <w:pBdr>
          <w:top w:val="nil"/>
          <w:left w:val="nil"/>
          <w:bottom w:val="nil"/>
          <w:right w:val="nil"/>
          <w:between w:val="nil"/>
        </w:pBdr>
        <w:spacing w:before="240" w:after="240"/>
        <w:ind w:left="709" w:right="760"/>
        <w:jc w:val="both"/>
      </w:pPr>
      <w:r w:rsidRPr="00367BA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31B0972"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F460FFE" w14:textId="77777777" w:rsidR="00F0243B" w:rsidRPr="00367BA2" w:rsidRDefault="0017139D">
      <w:pPr>
        <w:pBdr>
          <w:top w:val="nil"/>
          <w:left w:val="nil"/>
          <w:bottom w:val="nil"/>
          <w:right w:val="nil"/>
          <w:between w:val="nil"/>
        </w:pBdr>
        <w:spacing w:before="240" w:after="240"/>
        <w:ind w:left="567" w:right="758"/>
        <w:jc w:val="both"/>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Artículo 12</w:t>
      </w:r>
      <w:r w:rsidRPr="00367BA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DE031E2" w14:textId="77777777" w:rsidR="00F0243B" w:rsidRPr="00367BA2" w:rsidRDefault="0017139D">
      <w:pPr>
        <w:pBdr>
          <w:top w:val="nil"/>
          <w:left w:val="nil"/>
          <w:bottom w:val="nil"/>
          <w:right w:val="nil"/>
          <w:between w:val="nil"/>
        </w:pBdr>
        <w:spacing w:before="240" w:after="240"/>
        <w:ind w:left="567" w:right="758"/>
        <w:jc w:val="both"/>
      </w:pPr>
      <w:r w:rsidRPr="00367BA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CE65DD3"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67BA2">
        <w:rPr>
          <w:rFonts w:ascii="Palatino Linotype" w:eastAsia="Palatino Linotype" w:hAnsi="Palatino Linotype" w:cs="Palatino Linotype"/>
          <w:b/>
        </w:rPr>
        <w:t xml:space="preserve"> </w:t>
      </w:r>
      <w:r w:rsidRPr="00367BA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67BA2">
        <w:rPr>
          <w:rFonts w:ascii="Palatino Linotype" w:eastAsia="Palatino Linotype" w:hAnsi="Palatino Linotype" w:cs="Palatino Linotype"/>
          <w:i/>
        </w:rPr>
        <w:t>ad hoc</w:t>
      </w:r>
      <w:r w:rsidRPr="00367BA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CAA66BB" w14:textId="77777777" w:rsidR="00F0243B" w:rsidRPr="00367BA2" w:rsidRDefault="0017139D">
      <w:pPr>
        <w:pBdr>
          <w:top w:val="nil"/>
          <w:left w:val="nil"/>
          <w:bottom w:val="nil"/>
          <w:right w:val="nil"/>
          <w:between w:val="nil"/>
        </w:pBdr>
        <w:spacing w:before="240" w:after="240"/>
        <w:ind w:left="567" w:right="900"/>
        <w:jc w:val="both"/>
      </w:pPr>
      <w:r w:rsidRPr="00367BA2">
        <w:rPr>
          <w:rFonts w:ascii="Palatino Linotype" w:eastAsia="Palatino Linotype" w:hAnsi="Palatino Linotype" w:cs="Palatino Linotype"/>
          <w:b/>
          <w:i/>
          <w:sz w:val="22"/>
          <w:szCs w:val="22"/>
        </w:rPr>
        <w:t>03/17</w:t>
      </w:r>
    </w:p>
    <w:p w14:paraId="1033F02C" w14:textId="77777777" w:rsidR="00F0243B" w:rsidRPr="00367BA2" w:rsidRDefault="0017139D">
      <w:pPr>
        <w:pBdr>
          <w:top w:val="nil"/>
          <w:left w:val="nil"/>
          <w:bottom w:val="nil"/>
          <w:right w:val="nil"/>
          <w:between w:val="nil"/>
        </w:pBdr>
        <w:spacing w:before="240" w:after="240"/>
        <w:ind w:left="567" w:right="900"/>
        <w:jc w:val="both"/>
      </w:pPr>
      <w:r w:rsidRPr="00367BA2">
        <w:rPr>
          <w:rFonts w:ascii="Palatino Linotype" w:eastAsia="Palatino Linotype" w:hAnsi="Palatino Linotype" w:cs="Palatino Linotype"/>
          <w:b/>
          <w:i/>
          <w:sz w:val="22"/>
          <w:szCs w:val="22"/>
        </w:rPr>
        <w:t>“NO EXISTE OBLIGACIÓN DE ELABORAR DOCUMENTOS AD HOC PARA ATENDER LAS SOLICITUDES DE ACCESO A LA INFORMACIÓN.</w:t>
      </w:r>
    </w:p>
    <w:p w14:paraId="33919277" w14:textId="77777777" w:rsidR="00F0243B" w:rsidRPr="00367BA2" w:rsidRDefault="0017139D">
      <w:pPr>
        <w:pBdr>
          <w:top w:val="nil"/>
          <w:left w:val="nil"/>
          <w:bottom w:val="nil"/>
          <w:right w:val="nil"/>
          <w:between w:val="nil"/>
        </w:pBdr>
        <w:spacing w:before="240" w:after="240"/>
        <w:ind w:left="567" w:right="900"/>
        <w:jc w:val="both"/>
      </w:pPr>
      <w:r w:rsidRPr="00367BA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2ACA7D5"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AF96F4" w14:textId="77777777" w:rsidR="00F0243B" w:rsidRPr="00367BA2" w:rsidRDefault="0017139D">
      <w:pPr>
        <w:pBdr>
          <w:top w:val="nil"/>
          <w:left w:val="nil"/>
          <w:bottom w:val="nil"/>
          <w:right w:val="nil"/>
          <w:between w:val="nil"/>
        </w:pBdr>
        <w:spacing w:before="240" w:after="240" w:line="360" w:lineRule="auto"/>
        <w:ind w:right="49"/>
        <w:jc w:val="both"/>
      </w:pPr>
      <w:r w:rsidRPr="00367B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3F0328"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68DA50"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 xml:space="preserve">Artículo 3. </w:t>
      </w:r>
      <w:r w:rsidRPr="00367BA2">
        <w:rPr>
          <w:rFonts w:ascii="Palatino Linotype" w:eastAsia="Palatino Linotype" w:hAnsi="Palatino Linotype" w:cs="Palatino Linotype"/>
          <w:i/>
          <w:sz w:val="22"/>
          <w:szCs w:val="22"/>
        </w:rPr>
        <w:t>Para los efectos de la presente Ley se entenderá por:</w:t>
      </w:r>
    </w:p>
    <w:p w14:paraId="248C2587"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i/>
          <w:sz w:val="22"/>
          <w:szCs w:val="22"/>
        </w:rPr>
        <w:t>…</w:t>
      </w:r>
    </w:p>
    <w:p w14:paraId="2F886643"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b/>
          <w:i/>
          <w:sz w:val="22"/>
          <w:szCs w:val="22"/>
        </w:rPr>
        <w:t>XI. Documento:</w:t>
      </w:r>
      <w:r w:rsidRPr="00367BA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67BA2">
        <w:rPr>
          <w:rFonts w:ascii="Palatino Linotype" w:eastAsia="Palatino Linotype" w:hAnsi="Palatino Linotype" w:cs="Palatino Linotype"/>
          <w:b/>
          <w:i/>
          <w:sz w:val="22"/>
          <w:szCs w:val="22"/>
        </w:rPr>
        <w:t>…</w:t>
      </w:r>
      <w:r w:rsidRPr="00367BA2">
        <w:rPr>
          <w:rFonts w:ascii="Palatino Linotype" w:eastAsia="Palatino Linotype" w:hAnsi="Palatino Linotype" w:cs="Palatino Linotype"/>
          <w:i/>
          <w:sz w:val="22"/>
          <w:szCs w:val="22"/>
        </w:rPr>
        <w:t>”</w:t>
      </w:r>
    </w:p>
    <w:p w14:paraId="1EC7F75A" w14:textId="77777777" w:rsidR="00F0243B" w:rsidRPr="00367BA2" w:rsidRDefault="0017139D">
      <w:pPr>
        <w:pBdr>
          <w:top w:val="nil"/>
          <w:left w:val="nil"/>
          <w:bottom w:val="nil"/>
          <w:right w:val="nil"/>
          <w:between w:val="nil"/>
        </w:pBdr>
        <w:spacing w:before="240" w:after="240" w:line="360" w:lineRule="auto"/>
        <w:jc w:val="both"/>
      </w:pPr>
      <w:r w:rsidRPr="00367B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68F775"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b/>
          <w:sz w:val="22"/>
          <w:szCs w:val="22"/>
        </w:rPr>
        <w:t>“</w:t>
      </w:r>
      <w:r w:rsidRPr="00367BA2">
        <w:rPr>
          <w:rFonts w:ascii="Palatino Linotype" w:eastAsia="Palatino Linotype" w:hAnsi="Palatino Linotype" w:cs="Palatino Linotype"/>
          <w:b/>
          <w:i/>
          <w:sz w:val="22"/>
          <w:szCs w:val="22"/>
        </w:rPr>
        <w:t>CRITERIO 0002-11</w:t>
      </w:r>
    </w:p>
    <w:p w14:paraId="6DEA3372"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67B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C484A4" w14:textId="77777777" w:rsidR="00F0243B" w:rsidRPr="00367BA2" w:rsidRDefault="0017139D">
      <w:pPr>
        <w:pBdr>
          <w:top w:val="nil"/>
          <w:left w:val="nil"/>
          <w:bottom w:val="nil"/>
          <w:right w:val="nil"/>
          <w:between w:val="nil"/>
        </w:pBdr>
        <w:spacing w:before="240" w:after="240"/>
        <w:ind w:left="567" w:right="567"/>
        <w:jc w:val="both"/>
      </w:pPr>
      <w:r w:rsidRPr="00367BA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A215488" w14:textId="77777777" w:rsidR="00F0243B" w:rsidRPr="00367BA2" w:rsidRDefault="0017139D">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BB4ADC9" w14:textId="77777777" w:rsidR="00F0243B" w:rsidRPr="00367BA2" w:rsidRDefault="0017139D">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D7BE3B1" w14:textId="77777777" w:rsidR="00F0243B" w:rsidRPr="00367BA2" w:rsidRDefault="0017139D">
      <w:pPr>
        <w:pBdr>
          <w:top w:val="nil"/>
          <w:left w:val="nil"/>
          <w:bottom w:val="nil"/>
          <w:right w:val="nil"/>
          <w:between w:val="nil"/>
        </w:pBdr>
        <w:spacing w:before="240" w:after="240"/>
        <w:ind w:left="567" w:right="567" w:hanging="284"/>
        <w:jc w:val="both"/>
      </w:pPr>
      <w:r w:rsidRPr="00367BA2">
        <w:rPr>
          <w:rFonts w:ascii="Palatino Linotype" w:eastAsia="Palatino Linotype" w:hAnsi="Palatino Linotype" w:cs="Palatino Linotype"/>
          <w:i/>
          <w:sz w:val="22"/>
          <w:szCs w:val="22"/>
        </w:rPr>
        <w:t xml:space="preserve">3. </w:t>
      </w:r>
      <w:r w:rsidRPr="00367BA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54DAD7D0" w14:textId="77777777" w:rsidR="00F0243B" w:rsidRPr="00367BA2" w:rsidRDefault="001713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De ahí que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A963095" w14:textId="77777777" w:rsidR="00F0243B" w:rsidRPr="00367BA2" w:rsidRDefault="001713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Ahora bien, para profundizar en el estudio del presente asunto, es conveniente recordar que de un análisis a la solicitud de información, se advierte que la parte solicitante requirió al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le proporcionara lo siguiente:</w:t>
      </w:r>
    </w:p>
    <w:p w14:paraId="1ED2C528" w14:textId="77777777" w:rsidR="00F0243B" w:rsidRPr="00367BA2" w:rsidRDefault="0017139D">
      <w:pPr>
        <w:numPr>
          <w:ilvl w:val="0"/>
          <w:numId w:val="5"/>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367BA2">
        <w:rPr>
          <w:rFonts w:ascii="Palatino Linotype" w:eastAsia="Palatino Linotype" w:hAnsi="Palatino Linotype" w:cs="Palatino Linotype"/>
          <w:b/>
        </w:rPr>
        <w:t>El último censo de los panteones del municipio de Teoloyucan.</w:t>
      </w:r>
    </w:p>
    <w:p w14:paraId="16E26122" w14:textId="77777777" w:rsidR="00F0243B" w:rsidRPr="00367BA2" w:rsidRDefault="0017139D">
      <w:pPr>
        <w:spacing w:before="240"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 respuesta,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se pronunció por conducto del Titular de la Dirección de Servicios Públicos del Ayuntamiento de Teoloyucan, quien señala que </w:t>
      </w:r>
      <w:r w:rsidRPr="00367BA2">
        <w:rPr>
          <w:rFonts w:ascii="Palatino Linotype" w:eastAsia="Palatino Linotype" w:hAnsi="Palatino Linotype" w:cs="Palatino Linotype"/>
          <w:b/>
          <w:u w:val="single"/>
        </w:rPr>
        <w:t xml:space="preserve">no se cuenta con información a censos que se hayan realizado en los panteones municipales. </w:t>
      </w:r>
    </w:p>
    <w:p w14:paraId="05B5016A" w14:textId="77777777" w:rsidR="00F0243B" w:rsidRPr="00367BA2" w:rsidRDefault="0017139D">
      <w:pPr>
        <w:spacing w:before="240"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 esta tesitura, una vez conocida la respuesta emitida por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la parte Recurrente</w:t>
      </w:r>
      <w:r w:rsidRPr="00367BA2">
        <w:rPr>
          <w:rFonts w:ascii="Palatino Linotype" w:eastAsia="Palatino Linotype" w:hAnsi="Palatino Linotype" w:cs="Palatino Linotype"/>
        </w:rPr>
        <w:t>, al no estar conforme con los términos de la misma, interpuso el recurso de revisión que nos ocupa, inconformándose medularmente respecto de la negativa a entregar la información solicitada.</w:t>
      </w:r>
    </w:p>
    <w:p w14:paraId="0C03EB7F"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Así las cosas, durante la etapa de manifestaciones, se tiene que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ratificó los términos de la respuesta inicial, informando nuevamente que no se cuenta con un censo que se haya realizado en los panteones municipales, mientras que </w:t>
      </w:r>
      <w:r w:rsidRPr="00367BA2">
        <w:rPr>
          <w:rFonts w:ascii="Palatino Linotype" w:eastAsia="Palatino Linotype" w:hAnsi="Palatino Linotype" w:cs="Palatino Linotype"/>
          <w:b/>
        </w:rPr>
        <w:t>la parte Recurrente</w:t>
      </w:r>
      <w:r w:rsidRPr="00367BA2">
        <w:rPr>
          <w:rFonts w:ascii="Palatino Linotype" w:eastAsia="Palatino Linotype" w:hAnsi="Palatino Linotype" w:cs="Palatino Linotype"/>
        </w:rPr>
        <w:t xml:space="preserve"> fue omisa en pronunciarse en esta etapa, por lo tanto, se tuvo por precluido su prerrogativa para tal efecto y se procede en este acto a emitir la resolución que corresponda conforme a derecho.</w:t>
      </w:r>
    </w:p>
    <w:p w14:paraId="0D6E0C28"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Una vez expuestas las posturas de las partes, resulta necesario iniciar el presente análisis, señalando que conforme al artículo 115, fracción II; inciso e) de la Constitución Política de los Estados Unidos Mexicanos, a los municipios les corresponde otorgar la prestación del servicio público de panteones:</w:t>
      </w:r>
    </w:p>
    <w:p w14:paraId="51D503AB"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3FA863E"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6CFCF188"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III. </w:t>
      </w:r>
      <w:r w:rsidRPr="00367BA2">
        <w:rPr>
          <w:rFonts w:ascii="Palatino Linotype" w:eastAsia="Palatino Linotype" w:hAnsi="Palatino Linotype" w:cs="Palatino Linotype"/>
          <w:b/>
          <w:i/>
          <w:sz w:val="22"/>
          <w:szCs w:val="22"/>
        </w:rPr>
        <w:t>Los Municipios tendrán a su cargo las funciones y servicios públicos</w:t>
      </w:r>
      <w:r w:rsidRPr="00367BA2">
        <w:rPr>
          <w:rFonts w:ascii="Palatino Linotype" w:eastAsia="Palatino Linotype" w:hAnsi="Palatino Linotype" w:cs="Palatino Linotype"/>
          <w:i/>
          <w:sz w:val="22"/>
          <w:szCs w:val="22"/>
        </w:rPr>
        <w:t xml:space="preserve"> siguientes:</w:t>
      </w:r>
    </w:p>
    <w:p w14:paraId="3ECAD5BC"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0676535C" w14:textId="77777777" w:rsidR="00F0243B" w:rsidRPr="00367BA2" w:rsidRDefault="0017139D">
      <w:pPr>
        <w:numPr>
          <w:ilvl w:val="0"/>
          <w:numId w:val="2"/>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u w:val="single"/>
        </w:rPr>
        <w:t>Panteones.”</w:t>
      </w:r>
      <w:r w:rsidRPr="00367BA2">
        <w:rPr>
          <w:rFonts w:ascii="Palatino Linotype" w:eastAsia="Palatino Linotype" w:hAnsi="Palatino Linotype" w:cs="Palatino Linotype"/>
          <w:b/>
          <w:i/>
          <w:sz w:val="22"/>
          <w:szCs w:val="22"/>
        </w:rPr>
        <w:t xml:space="preserve"> </w:t>
      </w:r>
      <w:r w:rsidRPr="00367BA2">
        <w:rPr>
          <w:rFonts w:ascii="Palatino Linotype" w:eastAsia="Palatino Linotype" w:hAnsi="Palatino Linotype" w:cs="Palatino Linotype"/>
          <w:i/>
          <w:sz w:val="22"/>
          <w:szCs w:val="22"/>
        </w:rPr>
        <w:t xml:space="preserve"> (Énfasis añadido)</w:t>
      </w:r>
    </w:p>
    <w:p w14:paraId="04689D88"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En armonía con lo anteriormente señalado, el Bando Municipal del Ayuntamiento de Teoloyucan, dispone lo siguiente:</w:t>
      </w:r>
    </w:p>
    <w:p w14:paraId="3C702B38" w14:textId="77777777" w:rsidR="00F0243B" w:rsidRPr="00367BA2" w:rsidRDefault="0017139D">
      <w:pPr>
        <w:spacing w:before="240"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Artículo 67. La prestación de los servicios de panteones y su administración estará a cargo de la Dependencia o Unidad Administrativa que establezca el Reglamento Interior de la Administración Pública Municipal.</w:t>
      </w:r>
    </w:p>
    <w:p w14:paraId="3636E1C1" w14:textId="77777777" w:rsidR="00F0243B" w:rsidRPr="00367BA2" w:rsidRDefault="0017139D">
      <w:pPr>
        <w:spacing w:before="240"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Artículo 68. Dentro del territorio de Teoloyucan existen tres panteones:</w:t>
      </w:r>
    </w:p>
    <w:p w14:paraId="727F7DDB" w14:textId="77777777" w:rsidR="00F0243B" w:rsidRPr="00367BA2" w:rsidRDefault="0017139D">
      <w:pPr>
        <w:spacing w:before="240"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I. Panteón Municipal, ubicado en la Avenida Dolores, Barrio Tlatenco.</w:t>
      </w:r>
    </w:p>
    <w:p w14:paraId="200C251C" w14:textId="77777777" w:rsidR="00F0243B" w:rsidRPr="00367BA2" w:rsidRDefault="0017139D">
      <w:pPr>
        <w:spacing w:before="240"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II. Panteón Nuevo Municipal, ubicado en Calle Observatorio, Barrio Tlatenco.</w:t>
      </w:r>
    </w:p>
    <w:p w14:paraId="0CF8620A" w14:textId="77777777" w:rsidR="00F0243B" w:rsidRPr="00367BA2" w:rsidRDefault="0017139D">
      <w:pPr>
        <w:spacing w:before="240" w:after="240"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III. Panteón Municipal denominado “De La Santa Cruz”, ubicado en la Colonia Ampliación San Sebastián.</w:t>
      </w:r>
    </w:p>
    <w:p w14:paraId="2FD5DC52"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69. En los panteones municipales únicamente se permite la construcción de gavetas y jardineras, mismas que deberán contar con la autorización de la Dependencia o Unidad Administrativa que tenga a su cargo la administración de los panteones.</w:t>
      </w:r>
    </w:p>
    <w:p w14:paraId="3A720297"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Queda estrictamente prohibida la construcción de monumento funerario o mausoleo, capillas, barandales o rejillas fuera del espacio físico que tiene en uso el particular. En caso de transgresión a esta disposición, los gastos derivados del retiro correrán a cargo del titular.</w:t>
      </w:r>
    </w:p>
    <w:p w14:paraId="42DA3BAA"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70. Los escombros o desechos producto de la inhumación, exhumación, construcción y reparación de gavetas, jardineras y lápidas deberán ser retirados por los familiares, deudos o por la persona que los produzca.</w:t>
      </w:r>
    </w:p>
    <w:p w14:paraId="492FB64F"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71. Aquella persona que, realizando trabajos de excavación, construcción o modificación, ocasione daños a las tumbas colindantes, será responsable de reparar los daños ocasionados a los mismos y deberá dejar las cosas en el estado que guardaban con anterioridad al hecho.</w:t>
      </w:r>
    </w:p>
    <w:p w14:paraId="4671CE77"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72. La inhumación deberá efectuarse preferentemente después de las doce horas y antes de las cuarenta y ocho horas al momento de la muerte, salvo autorización específica de la Secretaria de Salud o por disposición del ministerio público o de la autoridad judicial. Así mismo, los deudos, los titulares de los derechos de uso de los lotes de un panteón o los representantes de las funerarias que presten el servicio de inhumación en nombre y por cuenta de los anteriores, deberá exhibir el certificado de defunción, el acta de defunción y la orden de inhumación o cremación expedida por el titular de la Oficialía del Registro Civil.</w:t>
      </w:r>
    </w:p>
    <w:p w14:paraId="170A75F0"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73. Las fosas que no cuenten con perpetuidad en el panteón municipal y que hubiese transcurrido un mínimo de siete años sin que se haya efectuado inhumación alguna y no existiese en ese mismo periodo pago alguno de derecho de uso y mantenimiento de fosa, serán consideradas abandonadas y volverán, por tanto, al dominio y posesión del municipio, previo desahogo de la garantía de audiencia que se otorgue al interesado.</w:t>
      </w:r>
    </w:p>
    <w:p w14:paraId="075B2F57"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El plazo de temporalidad del uso sobre fosa, gaveta y nicho, es de siete años mínimo y veintiún años máximo”</w:t>
      </w:r>
    </w:p>
    <w:p w14:paraId="5033C418"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Ahora bien, de conformidad con el Reglamento Interno de la Administración Pública Municipal del Ayuntamiento de Teoloyucan, la Jefatura de Panteones, cuenta con las siguientes atribuciones:</w:t>
      </w:r>
    </w:p>
    <w:p w14:paraId="6CF69BFE"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106. La Jefatura de Panteones tendrá un titular que se denominará, Jefe de Panteones, quien tendrá las funciones siguientes:</w:t>
      </w:r>
    </w:p>
    <w:p w14:paraId="4BCB3FDB" w14:textId="77777777" w:rsidR="00F0243B" w:rsidRPr="00367BA2" w:rsidRDefault="0017139D">
      <w:pPr>
        <w:numPr>
          <w:ilvl w:val="0"/>
          <w:numId w:val="1"/>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Programa el mantenimiento, conservación y limpieza de panteones municipales;</w:t>
      </w:r>
    </w:p>
    <w:p w14:paraId="4F5D93A4" w14:textId="77777777" w:rsidR="00F0243B" w:rsidRPr="00367BA2" w:rsidRDefault="0017139D">
      <w:pPr>
        <w:numPr>
          <w:ilvl w:val="0"/>
          <w:numId w:val="1"/>
        </w:numPr>
        <w:pBdr>
          <w:top w:val="nil"/>
          <w:left w:val="nil"/>
          <w:bottom w:val="nil"/>
          <w:right w:val="nil"/>
          <w:between w:val="nil"/>
        </w:pBdr>
        <w:spacing w:after="240" w:line="276" w:lineRule="auto"/>
        <w:ind w:left="567" w:right="900" w:hanging="14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Autorizar las órdenes de pago por derechos y servicios relativos a panteones municipales;”</w:t>
      </w:r>
    </w:p>
    <w:p w14:paraId="53F5E7AC"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BC59D4F"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730A1CA"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FBB7DCC"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6D5FCE4" w14:textId="77777777" w:rsidR="00F0243B" w:rsidRPr="00367BA2" w:rsidRDefault="0017139D">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367BA2">
        <w:rPr>
          <w:rFonts w:ascii="Palatino Linotype" w:eastAsia="Palatino Linotype" w:hAnsi="Palatino Linotype" w:cs="Palatino Linotype"/>
        </w:rPr>
        <w:t xml:space="preserve">En virtud de lo previamente señalado, se tiene que de lo anteriormente analizado, se acredita que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cuenta con atribuciones para la prestación del servicio público de panteones, por lo tanto,</w:t>
      </w:r>
      <w:r w:rsidRPr="00367BA2">
        <w:rPr>
          <w:rFonts w:ascii="Palatino Linotype" w:eastAsia="Palatino Linotype" w:hAnsi="Palatino Linotype" w:cs="Palatino Linotype"/>
          <w:b/>
          <w:u w:val="single"/>
        </w:rPr>
        <w:t xml:space="preserve"> el procedimiento de búsqueda de la información se tiene por atendido. </w:t>
      </w:r>
    </w:p>
    <w:p w14:paraId="5A535B04" w14:textId="77777777" w:rsidR="00F0243B" w:rsidRPr="00367BA2" w:rsidRDefault="00F0243B">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p>
    <w:p w14:paraId="4AD79E64" w14:textId="77777777" w:rsidR="00F0243B" w:rsidRPr="00367BA2" w:rsidRDefault="0017139D">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67BA2">
        <w:rPr>
          <w:rFonts w:ascii="Palatino Linotype" w:eastAsia="Palatino Linotype" w:hAnsi="Palatino Linotype" w:cs="Palatino Linotype"/>
        </w:rPr>
        <w:t xml:space="preserve">Acotado lo anterior, no debemos perder de vista que si bien es cierto, el </w:t>
      </w:r>
      <w:r w:rsidRPr="00367BA2">
        <w:rPr>
          <w:rFonts w:ascii="Palatino Linotype" w:eastAsia="Palatino Linotype" w:hAnsi="Palatino Linotype" w:cs="Palatino Linotype"/>
          <w:b/>
        </w:rPr>
        <w:t xml:space="preserve">Sujeto Obligado se encarga de llevar un libro de registros para el control de las inhumaciones, re inhumaciones, cremaciones, exhumaciones y revalidación de los derechos de uso de fosas y osarios de los panteones municipales, no menos cierto es que lo peticionado es un censo, </w:t>
      </w:r>
      <w:r w:rsidRPr="00367BA2">
        <w:rPr>
          <w:rFonts w:ascii="Palatino Linotype" w:eastAsia="Palatino Linotype" w:hAnsi="Palatino Linotype" w:cs="Palatino Linotype"/>
        </w:rPr>
        <w:t>el cual de conformidad</w:t>
      </w:r>
      <w:r w:rsidRPr="00367BA2">
        <w:rPr>
          <w:rFonts w:ascii="Palatino Linotype" w:eastAsia="Palatino Linotype" w:hAnsi="Palatino Linotype" w:cs="Palatino Linotype"/>
          <w:b/>
        </w:rPr>
        <w:t xml:space="preserve"> </w:t>
      </w:r>
      <w:r w:rsidRPr="00367BA2">
        <w:rPr>
          <w:rFonts w:ascii="Palatino Linotype" w:eastAsia="Palatino Linotype" w:hAnsi="Palatino Linotype" w:cs="Palatino Linotype"/>
        </w:rPr>
        <w:t>con el Instituto Nacional de Estadística y Geografía define al censo en el sentido siguiente:</w:t>
      </w:r>
    </w:p>
    <w:p w14:paraId="4CE4386C"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“Censos. </w:t>
      </w:r>
      <w:r w:rsidRPr="00367BA2">
        <w:rPr>
          <w:rFonts w:ascii="Palatino Linotype" w:eastAsia="Palatino Linotype" w:hAnsi="Palatino Linotype" w:cs="Palatino Linotype"/>
          <w:i/>
          <w:sz w:val="22"/>
          <w:szCs w:val="22"/>
        </w:rPr>
        <w:t xml:space="preserve">Son </w:t>
      </w:r>
      <w:r w:rsidRPr="00367BA2">
        <w:rPr>
          <w:rFonts w:ascii="Palatino Linotype" w:eastAsia="Palatino Linotype" w:hAnsi="Palatino Linotype" w:cs="Palatino Linotype"/>
          <w:b/>
          <w:i/>
          <w:sz w:val="22"/>
          <w:szCs w:val="22"/>
          <w:u w:val="single"/>
        </w:rPr>
        <w:t>operaciones de recolección de datos de todo el universo de estudio en un momento determinado</w:t>
      </w:r>
      <w:r w:rsidRPr="00367BA2">
        <w:rPr>
          <w:rFonts w:ascii="Palatino Linotype" w:eastAsia="Palatino Linotype" w:hAnsi="Palatino Linotype" w:cs="Palatino Linotype"/>
          <w:i/>
          <w:sz w:val="22"/>
          <w:szCs w:val="22"/>
        </w:rPr>
        <w:t>…” (Énfasis añadido)</w:t>
      </w:r>
    </w:p>
    <w:p w14:paraId="6A5555C2"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De tal suerte que el censo es una recolección de datos de un universo en estudio dentro de una temporalidad determinado.</w:t>
      </w:r>
    </w:p>
    <w:p w14:paraId="66C7DB1A"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Establecido lo anterior, debemos recordar que en el desahogo del requerimiento de información adicional, </w:t>
      </w:r>
      <w:r w:rsidRPr="00367BA2">
        <w:rPr>
          <w:rFonts w:ascii="Palatino Linotype" w:eastAsia="Palatino Linotype" w:hAnsi="Palatino Linotype" w:cs="Palatino Linotype"/>
          <w:b/>
        </w:rPr>
        <w:t>aseveró contar con tres panteones, los cuales son administrados por el propio municipio</w:t>
      </w:r>
      <w:r w:rsidRPr="00367BA2">
        <w:rPr>
          <w:rFonts w:ascii="Palatino Linotype" w:eastAsia="Palatino Linotype" w:hAnsi="Palatino Linotype" w:cs="Palatino Linotype"/>
        </w:rPr>
        <w:t xml:space="preserve">. </w:t>
      </w:r>
    </w:p>
    <w:p w14:paraId="1C2D564E"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Asimismo, reportó que dichos panteones cuentan con las siguientes capacidades:</w:t>
      </w:r>
    </w:p>
    <w:p w14:paraId="1254AA5B" w14:textId="77777777" w:rsidR="00F0243B" w:rsidRPr="00367BA2" w:rsidRDefault="0017139D">
      <w:pPr>
        <w:spacing w:after="240" w:line="276" w:lineRule="auto"/>
        <w:ind w:left="567"/>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Panteón Municipal Viejo: </w:t>
      </w:r>
      <w:r w:rsidRPr="00367BA2">
        <w:rPr>
          <w:rFonts w:ascii="Palatino Linotype" w:eastAsia="Palatino Linotype" w:hAnsi="Palatino Linotype" w:cs="Palatino Linotype"/>
        </w:rPr>
        <w:t>3,421 fosas</w:t>
      </w:r>
    </w:p>
    <w:p w14:paraId="55182B7D" w14:textId="77777777" w:rsidR="00F0243B" w:rsidRPr="00367BA2" w:rsidRDefault="0017139D">
      <w:pPr>
        <w:spacing w:after="240" w:line="276" w:lineRule="auto"/>
        <w:ind w:left="567"/>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Panteón Nuevo: </w:t>
      </w:r>
      <w:r w:rsidRPr="00367BA2">
        <w:rPr>
          <w:rFonts w:ascii="Palatino Linotype" w:eastAsia="Palatino Linotype" w:hAnsi="Palatino Linotype" w:cs="Palatino Linotype"/>
        </w:rPr>
        <w:t>1,130 fosas</w:t>
      </w:r>
    </w:p>
    <w:p w14:paraId="1B4950B9" w14:textId="77777777" w:rsidR="00F0243B" w:rsidRPr="00367BA2" w:rsidRDefault="0017139D">
      <w:pPr>
        <w:spacing w:after="240" w:line="276" w:lineRule="auto"/>
        <w:ind w:left="567"/>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Panteón de la Santa Cruz: </w:t>
      </w:r>
      <w:r w:rsidRPr="00367BA2">
        <w:rPr>
          <w:rFonts w:ascii="Palatino Linotype" w:eastAsia="Palatino Linotype" w:hAnsi="Palatino Linotype" w:cs="Palatino Linotype"/>
        </w:rPr>
        <w:t>2,150 fosas</w:t>
      </w:r>
    </w:p>
    <w:p w14:paraId="66AA9BC7"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Posteriormente dentro del requerimiento de información adicional, respecto a la forma de llevar los registros de las fosas ocupadas y disponibles, señaló que esta se encontraba en el Reglamento de Panteones del Municipio de Teoloyucan, Estado de México, el cual al realizar una consulta, se visualizó que contempla lo siguiente:</w:t>
      </w:r>
    </w:p>
    <w:p w14:paraId="3A270194" w14:textId="77777777" w:rsidR="00F0243B" w:rsidRPr="00367BA2" w:rsidRDefault="0017139D">
      <w:pPr>
        <w:spacing w:before="240" w:after="240" w:line="276" w:lineRule="auto"/>
        <w:ind w:left="567" w:right="104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“Artículo 21. </w:t>
      </w:r>
      <w:r w:rsidRPr="00367BA2">
        <w:rPr>
          <w:rFonts w:ascii="Palatino Linotype" w:eastAsia="Palatino Linotype" w:hAnsi="Palatino Linotype" w:cs="Palatino Linotype"/>
          <w:b/>
          <w:i/>
          <w:sz w:val="22"/>
          <w:szCs w:val="22"/>
        </w:rPr>
        <w:t xml:space="preserve">En la Dirección de Servicios Públicos, </w:t>
      </w:r>
      <w:r w:rsidRPr="00367BA2">
        <w:rPr>
          <w:rFonts w:ascii="Palatino Linotype" w:eastAsia="Palatino Linotype" w:hAnsi="Palatino Linotype" w:cs="Palatino Linotype"/>
          <w:b/>
          <w:i/>
          <w:sz w:val="22"/>
          <w:szCs w:val="22"/>
          <w:u w:val="single"/>
        </w:rPr>
        <w:t>se llevará un libro de registro para el control de las inhumaciones, re-inhumaciones, cremaciones, exhumaciones y revalidación de los derechos de uso de fosas y osarios de los panteones municipales y de los concesionado</w:t>
      </w:r>
      <w:r w:rsidRPr="00367BA2">
        <w:rPr>
          <w:rFonts w:ascii="Palatino Linotype" w:eastAsia="Palatino Linotype" w:hAnsi="Palatino Linotype" w:cs="Palatino Linotype"/>
          <w:b/>
          <w:i/>
          <w:sz w:val="22"/>
          <w:szCs w:val="22"/>
        </w:rPr>
        <w:t>s de acuerdo a lo establecido en la concesión respectiva</w:t>
      </w:r>
      <w:r w:rsidRPr="00367BA2">
        <w:rPr>
          <w:rFonts w:ascii="Palatino Linotype" w:eastAsia="Palatino Linotype" w:hAnsi="Palatino Linotype" w:cs="Palatino Linotype"/>
          <w:i/>
          <w:sz w:val="22"/>
          <w:szCs w:val="22"/>
        </w:rPr>
        <w:t>.” (Énfasis añadido)</w:t>
      </w:r>
    </w:p>
    <w:p w14:paraId="05744DE8" w14:textId="77777777" w:rsidR="00F0243B" w:rsidRPr="00367BA2" w:rsidRDefault="0017139D">
      <w:pPr>
        <w:spacing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Es de precisar que para poder obrar en este registro, los particulares deberán desahogar el siguiente trámite para servicios de inhumación y exhumación:</w:t>
      </w:r>
    </w:p>
    <w:p w14:paraId="59DD672A" w14:textId="77777777" w:rsidR="00F0243B" w:rsidRPr="00367BA2" w:rsidRDefault="0017139D">
      <w:pPr>
        <w:spacing w:after="240" w:line="360" w:lineRule="auto"/>
        <w:ind w:right="49"/>
        <w:jc w:val="center"/>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72A26E4F" wp14:editId="5C6ECF5F">
            <wp:extent cx="4520684" cy="5527114"/>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20684" cy="5527114"/>
                    </a:xfrm>
                    <a:prstGeom prst="rect">
                      <a:avLst/>
                    </a:prstGeom>
                    <a:ln/>
                  </pic:spPr>
                </pic:pic>
              </a:graphicData>
            </a:graphic>
          </wp:inline>
        </w:drawing>
      </w:r>
    </w:p>
    <w:p w14:paraId="1DCBA4B4" w14:textId="77777777" w:rsidR="00F0243B" w:rsidRPr="00367BA2" w:rsidRDefault="0017139D">
      <w:pPr>
        <w:spacing w:after="240" w:line="360" w:lineRule="auto"/>
        <w:ind w:right="49"/>
        <w:jc w:val="center"/>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22166753" wp14:editId="50869FA3">
            <wp:extent cx="5630610" cy="7194669"/>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30610" cy="7194669"/>
                    </a:xfrm>
                    <a:prstGeom prst="rect">
                      <a:avLst/>
                    </a:prstGeom>
                    <a:ln/>
                  </pic:spPr>
                </pic:pic>
              </a:graphicData>
            </a:graphic>
          </wp:inline>
        </w:drawing>
      </w:r>
    </w:p>
    <w:p w14:paraId="287A5D31" w14:textId="77777777" w:rsidR="00F0243B" w:rsidRPr="00367BA2" w:rsidRDefault="0017139D">
      <w:pPr>
        <w:spacing w:after="8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Empero, si bien es cierto que como se verá en líneas subsecuentes, los documentos requeridos son públicos, también lo es que la asignación de fosas individuales, nichos y fosas comunes son trámites a solicitud de particulares para realizar una inhumación de un cuerpo, por lo que se considera que la documentación solicitada es de interés personal de los peticionarios y que en ella se contienen datos personales susceptibles de ser clasificados. Por tal motivo, atendiendo a la naturaleza jurídica de dichos documentos los mismos son susceptibles de clasificarse como totalmente confidenciales, de acuerdo al artículo 116, párrafo primero de la Ley General de Transparencia, a la par de lo señalado en el artículo 143, fracción I, de la Ley de Transparencia y acceso a la Información Pública del Estado de México y Municipios, que señalan lo siguiente:</w:t>
      </w:r>
    </w:p>
    <w:p w14:paraId="7955E56F" w14:textId="77777777" w:rsidR="00F0243B" w:rsidRPr="00367BA2" w:rsidRDefault="0017139D">
      <w:pPr>
        <w:spacing w:before="80" w:after="160" w:line="276" w:lineRule="auto"/>
        <w:ind w:left="567" w:right="85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116. Se considera información confidencial la que contiene datos personales concernientes a una persona identificada o identificable (…)</w:t>
      </w:r>
    </w:p>
    <w:p w14:paraId="6F4FBBD9" w14:textId="77777777" w:rsidR="00F0243B" w:rsidRPr="00367BA2" w:rsidRDefault="0017139D">
      <w:pPr>
        <w:spacing w:before="240" w:after="160" w:line="276" w:lineRule="auto"/>
        <w:ind w:left="567" w:right="85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14:paraId="60E65CA8" w14:textId="77777777" w:rsidR="00F0243B" w:rsidRPr="00367BA2" w:rsidRDefault="0017139D">
      <w:pPr>
        <w:spacing w:before="240" w:after="160" w:line="276" w:lineRule="auto"/>
        <w:ind w:left="567" w:right="85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07D775F" w14:textId="77777777" w:rsidR="00F0243B" w:rsidRPr="00367BA2" w:rsidRDefault="0017139D">
      <w:pPr>
        <w:spacing w:before="240" w:after="160" w:line="276" w:lineRule="auto"/>
        <w:ind w:left="567" w:right="851"/>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68591EEC" w14:textId="77777777" w:rsidR="00F0243B" w:rsidRPr="00367BA2" w:rsidRDefault="0017139D">
      <w:pPr>
        <w:spacing w:before="240" w:after="160" w:line="360" w:lineRule="auto"/>
        <w:ind w:right="49"/>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rPr>
        <w:t xml:space="preserve">Ahora bien, la información requerida por </w:t>
      </w:r>
      <w:r w:rsidRPr="00367BA2">
        <w:rPr>
          <w:rFonts w:ascii="Palatino Linotype" w:eastAsia="Palatino Linotype" w:hAnsi="Palatino Linotype" w:cs="Palatino Linotype"/>
          <w:b/>
        </w:rPr>
        <w:t>la parte Recurrente</w:t>
      </w:r>
      <w:r w:rsidRPr="00367BA2">
        <w:rPr>
          <w:rFonts w:ascii="Palatino Linotype" w:eastAsia="Palatino Linotype" w:hAnsi="Palatino Linotype" w:cs="Palatino Linotype"/>
        </w:rPr>
        <w:t xml:space="preserve">, constituye documentos que de ser entregados, revelarían información referente a la esfera privada de su titular, ya que se trata de información personal que permite la identificación de un individuo que, en su caso, podría otorgar acceso a terceros y posteriormente pudiese derivar en un mal uso de información, máxime a que de ella no se desprende el ejercicio de las atribuciones que tenga el titular como servidor público o bien, la aplicación de recursos públicos, por esta situación debe considerarse información confidencial en términos de los artículos 143, fracción I, de la Ley de Transparencia del Estado de México y Municipios y 4, fracciones XI y XII, de la Ley de Protección de Datos Personales en Posesión de Sujetos Obligados del Estado de México y Municipios; razón por la cual con la finalidad de garantizar el pleno ejercicio del derecho de acceso a la información pública, lo dable es ordenar al Sujeto Obligado que emita el Acuerdo del Comité de Transparencia por medio del cual clasifique en su totalidad </w:t>
      </w:r>
      <w:r w:rsidRPr="00367BA2">
        <w:rPr>
          <w:rFonts w:ascii="Palatino Linotype" w:eastAsia="Palatino Linotype" w:hAnsi="Palatino Linotype" w:cs="Palatino Linotype"/>
          <w:b/>
        </w:rPr>
        <w:t>como confidencial los registros</w:t>
      </w:r>
      <w:r w:rsidRPr="00367BA2">
        <w:rPr>
          <w:rFonts w:ascii="Palatino Linotype" w:eastAsia="Palatino Linotype" w:hAnsi="Palatino Linotype" w:cs="Palatino Linotype"/>
        </w:rPr>
        <w:t xml:space="preserve"> de inhumaciones, re-inhumaciones, cremaciones, exhumaciones y revalidación de los derechos de uso de fosas y osarios de los panteones municipales. </w:t>
      </w:r>
    </w:p>
    <w:p w14:paraId="3E043268" w14:textId="77777777" w:rsidR="00F0243B" w:rsidRPr="00367BA2" w:rsidRDefault="0017139D">
      <w:pPr>
        <w:spacing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w:t>
      </w:r>
    </w:p>
    <w:p w14:paraId="420E8996" w14:textId="77777777" w:rsidR="00F0243B" w:rsidRPr="00367BA2" w:rsidRDefault="0017139D">
      <w:pPr>
        <w:spacing w:after="240" w:line="360" w:lineRule="auto"/>
        <w:ind w:right="49"/>
        <w:jc w:val="both"/>
        <w:rPr>
          <w:rFonts w:ascii="Palatino Linotype" w:eastAsia="Palatino Linotype" w:hAnsi="Palatino Linotype" w:cs="Palatino Linotype"/>
        </w:rPr>
      </w:pPr>
      <w:bookmarkStart w:id="9" w:name="_heading=h.17dp8vu" w:colFirst="0" w:colLast="0"/>
      <w:bookmarkEnd w:id="9"/>
      <w:r w:rsidRPr="00367BA2">
        <w:rPr>
          <w:rFonts w:ascii="Palatino Linotype" w:eastAsia="Palatino Linotype" w:hAnsi="Palatino Linotype" w:cs="Palatino Linotype"/>
        </w:rPr>
        <w:t xml:space="preserve">No obstante lo anterior, resulta importante mencionar que dentro del requerimiento de información adicional,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hace mención a que si cuenta con información estadística, la cual se encuentra vertida en el Plan Municipal de Desarrollo 2022-2024:</w:t>
      </w:r>
    </w:p>
    <w:p w14:paraId="42C1161C"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“El Municipio de Teoloyucan cuenta con 3 panteones dentro del territorio municipal, los cuales son administrados por el Ayuntamiento, Panteón Municipal Viejo, Panteón Nuevo y Panteón de la Santa Cruz.</w:t>
      </w:r>
    </w:p>
    <w:p w14:paraId="047A091E"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u w:val="single"/>
        </w:rPr>
        <w:t>El Panteón viejo cuenta con un censo de 3,421 fosas</w:t>
      </w:r>
      <w:r w:rsidRPr="00367BA2">
        <w:rPr>
          <w:rFonts w:ascii="Palatino Linotype" w:eastAsia="Palatino Linotype" w:hAnsi="Palatino Linotype" w:cs="Palatino Linotype"/>
          <w:i/>
          <w:sz w:val="22"/>
          <w:szCs w:val="22"/>
        </w:rPr>
        <w:t xml:space="preserve"> en una superficie de 5 m², actualmente el 100% del mismo se encuentra ocupado, </w:t>
      </w:r>
      <w:r w:rsidRPr="00367BA2">
        <w:rPr>
          <w:rFonts w:ascii="Palatino Linotype" w:eastAsia="Palatino Linotype" w:hAnsi="Palatino Linotype" w:cs="Palatino Linotype"/>
          <w:b/>
          <w:i/>
          <w:sz w:val="22"/>
          <w:szCs w:val="22"/>
          <w:u w:val="single"/>
        </w:rPr>
        <w:t>el panteón nuevo cuenta con 1,130 fosas en una superficie de 45 100 m²</w:t>
      </w:r>
      <w:r w:rsidRPr="00367BA2">
        <w:rPr>
          <w:rFonts w:ascii="Palatino Linotype" w:eastAsia="Palatino Linotype" w:hAnsi="Palatino Linotype" w:cs="Palatino Linotype"/>
          <w:i/>
          <w:sz w:val="22"/>
          <w:szCs w:val="22"/>
        </w:rPr>
        <w:t xml:space="preserve">, actualmente ocupado en su totalidad y </w:t>
      </w:r>
      <w:r w:rsidRPr="00367BA2">
        <w:rPr>
          <w:rFonts w:ascii="Palatino Linotype" w:eastAsia="Palatino Linotype" w:hAnsi="Palatino Linotype" w:cs="Palatino Linotype"/>
          <w:b/>
          <w:i/>
          <w:sz w:val="22"/>
          <w:szCs w:val="22"/>
          <w:u w:val="single"/>
        </w:rPr>
        <w:t>el panteón de la Santa Cruz cuenta con 2,150 fosas y tiene una ocupación del 5 %, en una superficie de 37,592.87 m2</w:t>
      </w:r>
      <w:r w:rsidRPr="00367BA2">
        <w:rPr>
          <w:rFonts w:ascii="Palatino Linotype" w:eastAsia="Palatino Linotype" w:hAnsi="Palatino Linotype" w:cs="Palatino Linotype"/>
          <w:i/>
          <w:sz w:val="22"/>
          <w:szCs w:val="22"/>
        </w:rPr>
        <w:t>, en todos se pueden realizar inhumaciones en fosas reabiertas.</w:t>
      </w:r>
    </w:p>
    <w:p w14:paraId="58BC6850" w14:textId="77777777" w:rsidR="00F0243B" w:rsidRPr="00367BA2" w:rsidRDefault="0017139D">
      <w:pP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Se realizan constantemente jornadas de limpia en el interior de nuestros panteones a fin de mantenerlo en buenas condiciones. En el panteón nuevo se pone a disposición el servicio de lotes individuales y familiares para inhumación de cadáveres y restos humanos.” (Énfasis añadido)</w:t>
      </w:r>
      <w:r w:rsidRPr="00367BA2">
        <w:rPr>
          <w:noProof/>
        </w:rPr>
        <w:drawing>
          <wp:anchor distT="0" distB="0" distL="114300" distR="114300" simplePos="0" relativeHeight="251658240" behindDoc="0" locked="0" layoutInCell="1" hidden="0" allowOverlap="1" wp14:anchorId="57A70ACD" wp14:editId="3E564B77">
            <wp:simplePos x="0" y="0"/>
            <wp:positionH relativeFrom="column">
              <wp:posOffset>72392</wp:posOffset>
            </wp:positionH>
            <wp:positionV relativeFrom="paragraph">
              <wp:posOffset>1036955</wp:posOffset>
            </wp:positionV>
            <wp:extent cx="5516245" cy="2519680"/>
            <wp:effectExtent l="0" t="0" r="0" b="0"/>
            <wp:wrapTopAndBottom distT="0" dist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516245" cy="2519680"/>
                    </a:xfrm>
                    <a:prstGeom prst="rect">
                      <a:avLst/>
                    </a:prstGeom>
                    <a:ln/>
                  </pic:spPr>
                </pic:pic>
              </a:graphicData>
            </a:graphic>
          </wp:anchor>
        </w:drawing>
      </w:r>
    </w:p>
    <w:p w14:paraId="4EFAA98A" w14:textId="77777777" w:rsidR="00F0243B" w:rsidRPr="00367BA2" w:rsidRDefault="00F0243B">
      <w:pPr>
        <w:spacing w:after="240" w:line="360" w:lineRule="auto"/>
        <w:ind w:right="49"/>
        <w:jc w:val="both"/>
        <w:rPr>
          <w:rFonts w:ascii="Palatino Linotype" w:eastAsia="Palatino Linotype" w:hAnsi="Palatino Linotype" w:cs="Palatino Linotype"/>
        </w:rPr>
      </w:pPr>
    </w:p>
    <w:p w14:paraId="0147033B" w14:textId="77777777" w:rsidR="00F0243B" w:rsidRPr="00367BA2" w:rsidRDefault="0017139D">
      <w:pPr>
        <w:spacing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Hasta este punto, tenemos que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efectivamente si cuenta con información de carácter estadístico relativo al censo de los panteones, así como de las fosas ocupadas y disponibles. </w:t>
      </w:r>
    </w:p>
    <w:p w14:paraId="1C5397B9" w14:textId="77777777" w:rsidR="00F0243B" w:rsidRPr="00367BA2" w:rsidRDefault="0017139D">
      <w:pPr>
        <w:spacing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Dicho argumento se refuerza al observar la Recopilación de Información de los Cementerios Públicos en las Zonas Metropolitanas del País 2021, realizada por el Instituto Nacional de Estadística y Geografía, la cual se encarga de recopilar la información de los Cementerios Públicos en las Zonas Metropolitanas del País sobre la administración, capacidad y mantenimiento de los panteones o cementerios municipales, y el manejo de los restos mortales de enero a diciembre, permite conocer la percepción sobre la actividad realizada en los panteones y las ampliaciones que se llevaron a cabo en las instalaciones y los servicios brindados, en la cual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proporcionó información, tal como se ejemplifica en las siguientes ilustraciones: </w:t>
      </w:r>
    </w:p>
    <w:p w14:paraId="4DF04AE8" w14:textId="77777777" w:rsidR="00F0243B" w:rsidRPr="00367BA2" w:rsidRDefault="0017139D">
      <w:pPr>
        <w:spacing w:after="240" w:line="276" w:lineRule="auto"/>
        <w:ind w:right="900"/>
        <w:jc w:val="center"/>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0F99EAC7" wp14:editId="1ED07FE7">
            <wp:extent cx="5254710" cy="5019265"/>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54710" cy="5019265"/>
                    </a:xfrm>
                    <a:prstGeom prst="rect">
                      <a:avLst/>
                    </a:prstGeom>
                    <a:ln/>
                  </pic:spPr>
                </pic:pic>
              </a:graphicData>
            </a:graphic>
          </wp:inline>
        </w:drawing>
      </w:r>
    </w:p>
    <w:p w14:paraId="16767C30" w14:textId="77777777" w:rsidR="00F0243B" w:rsidRPr="00367BA2" w:rsidRDefault="0017139D">
      <w:pPr>
        <w:spacing w:after="240" w:line="276" w:lineRule="auto"/>
        <w:ind w:right="900"/>
        <w:jc w:val="both"/>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3FC78FD1" wp14:editId="65E52907">
            <wp:extent cx="5652424" cy="70780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52424" cy="707806"/>
                    </a:xfrm>
                    <a:prstGeom prst="rect">
                      <a:avLst/>
                    </a:prstGeom>
                    <a:ln/>
                  </pic:spPr>
                </pic:pic>
              </a:graphicData>
            </a:graphic>
          </wp:inline>
        </w:drawing>
      </w:r>
    </w:p>
    <w:p w14:paraId="5A870DC2" w14:textId="77777777" w:rsidR="00F0243B" w:rsidRPr="00367BA2" w:rsidRDefault="0017139D">
      <w:pPr>
        <w:spacing w:after="240" w:line="276" w:lineRule="auto"/>
        <w:ind w:right="900"/>
        <w:jc w:val="both"/>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2363E529" wp14:editId="4A5B13C9">
            <wp:extent cx="5612130" cy="77724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777240"/>
                    </a:xfrm>
                    <a:prstGeom prst="rect">
                      <a:avLst/>
                    </a:prstGeom>
                    <a:ln/>
                  </pic:spPr>
                </pic:pic>
              </a:graphicData>
            </a:graphic>
          </wp:inline>
        </w:drawing>
      </w:r>
      <w:r w:rsidRPr="00367BA2">
        <w:rPr>
          <w:noProof/>
        </w:rPr>
        <mc:AlternateContent>
          <mc:Choice Requires="wpg">
            <w:drawing>
              <wp:anchor distT="0" distB="0" distL="114300" distR="114300" simplePos="0" relativeHeight="251659264" behindDoc="0" locked="0" layoutInCell="1" hidden="0" allowOverlap="1" wp14:anchorId="2312E136" wp14:editId="26568A45">
                <wp:simplePos x="0" y="0"/>
                <wp:positionH relativeFrom="column">
                  <wp:posOffset>12701</wp:posOffset>
                </wp:positionH>
                <wp:positionV relativeFrom="paragraph">
                  <wp:posOffset>88900</wp:posOffset>
                </wp:positionV>
                <wp:extent cx="5639243" cy="227270"/>
                <wp:effectExtent l="0" t="0" r="0" b="0"/>
                <wp:wrapNone/>
                <wp:docPr id="29" name="Rectángulo 29"/>
                <wp:cNvGraphicFramePr/>
                <a:graphic xmlns:a="http://schemas.openxmlformats.org/drawingml/2006/main">
                  <a:graphicData uri="http://schemas.microsoft.com/office/word/2010/wordprocessingShape">
                    <wps:wsp>
                      <wps:cNvSpPr/>
                      <wps:spPr>
                        <a:xfrm>
                          <a:off x="2554954" y="3694940"/>
                          <a:ext cx="5582093" cy="170120"/>
                        </a:xfrm>
                        <a:prstGeom prst="rect">
                          <a:avLst/>
                        </a:prstGeom>
                        <a:noFill/>
                        <a:ln w="28575" cap="flat" cmpd="sng">
                          <a:solidFill>
                            <a:srgbClr val="0070C0"/>
                          </a:solidFill>
                          <a:prstDash val="solid"/>
                          <a:round/>
                          <a:headEnd type="none" w="sm" len="sm"/>
                          <a:tailEnd type="none" w="sm" len="sm"/>
                        </a:ln>
                      </wps:spPr>
                      <wps:txbx>
                        <w:txbxContent>
                          <w:p w14:paraId="5AF9457A" w14:textId="77777777" w:rsidR="00F0243B" w:rsidRDefault="00F0243B">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5639243" cy="227270"/>
                <wp:effectExtent b="0" l="0" r="0" t="0"/>
                <wp:wrapNone/>
                <wp:docPr id="2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639243" cy="227270"/>
                        </a:xfrm>
                        <a:prstGeom prst="rect"/>
                        <a:ln/>
                      </pic:spPr>
                    </pic:pic>
                  </a:graphicData>
                </a:graphic>
              </wp:anchor>
            </w:drawing>
          </mc:Fallback>
        </mc:AlternateContent>
      </w:r>
    </w:p>
    <w:p w14:paraId="0A27C0E5" w14:textId="77777777" w:rsidR="00F0243B" w:rsidRPr="00367BA2" w:rsidRDefault="00F0243B">
      <w:pPr>
        <w:spacing w:after="240" w:line="276" w:lineRule="auto"/>
        <w:ind w:right="900"/>
        <w:jc w:val="both"/>
        <w:rPr>
          <w:rFonts w:ascii="Palatino Linotype" w:eastAsia="Palatino Linotype" w:hAnsi="Palatino Linotype" w:cs="Palatino Linotype"/>
        </w:rPr>
      </w:pPr>
    </w:p>
    <w:p w14:paraId="321FB682" w14:textId="77777777" w:rsidR="00F0243B" w:rsidRPr="00367BA2" w:rsidRDefault="0017139D">
      <w:pPr>
        <w:spacing w:after="240" w:line="276" w:lineRule="auto"/>
        <w:ind w:right="900"/>
        <w:jc w:val="both"/>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61032EA3" wp14:editId="52211E8C">
            <wp:extent cx="5848581" cy="704391"/>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848581" cy="704391"/>
                    </a:xfrm>
                    <a:prstGeom prst="rect">
                      <a:avLst/>
                    </a:prstGeom>
                    <a:ln/>
                  </pic:spPr>
                </pic:pic>
              </a:graphicData>
            </a:graphic>
          </wp:inline>
        </w:drawing>
      </w:r>
    </w:p>
    <w:p w14:paraId="05A95E3D" w14:textId="77777777" w:rsidR="00F0243B" w:rsidRPr="00367BA2" w:rsidRDefault="0017139D">
      <w:pPr>
        <w:spacing w:after="240" w:line="276" w:lineRule="auto"/>
        <w:ind w:right="900"/>
        <w:jc w:val="both"/>
        <w:rPr>
          <w:rFonts w:ascii="Palatino Linotype" w:eastAsia="Palatino Linotype" w:hAnsi="Palatino Linotype" w:cs="Palatino Linotype"/>
        </w:rPr>
      </w:pPr>
      <w:r w:rsidRPr="00367BA2">
        <w:rPr>
          <w:rFonts w:ascii="Palatino Linotype" w:eastAsia="Palatino Linotype" w:hAnsi="Palatino Linotype" w:cs="Palatino Linotype"/>
          <w:noProof/>
        </w:rPr>
        <w:drawing>
          <wp:inline distT="0" distB="0" distL="0" distR="0" wp14:anchorId="5B9DB9F3" wp14:editId="4CF377FE">
            <wp:extent cx="5715953" cy="9715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 r="22286" b="-4377"/>
                    <a:stretch>
                      <a:fillRect/>
                    </a:stretch>
                  </pic:blipFill>
                  <pic:spPr>
                    <a:xfrm>
                      <a:off x="0" y="0"/>
                      <a:ext cx="5715953" cy="971550"/>
                    </a:xfrm>
                    <a:prstGeom prst="rect">
                      <a:avLst/>
                    </a:prstGeom>
                    <a:ln/>
                  </pic:spPr>
                </pic:pic>
              </a:graphicData>
            </a:graphic>
          </wp:inline>
        </w:drawing>
      </w:r>
      <w:r w:rsidRPr="00367BA2">
        <w:rPr>
          <w:noProof/>
        </w:rPr>
        <mc:AlternateContent>
          <mc:Choice Requires="wpg">
            <w:drawing>
              <wp:anchor distT="0" distB="0" distL="114300" distR="114300" simplePos="0" relativeHeight="251660288" behindDoc="0" locked="0" layoutInCell="1" hidden="0" allowOverlap="1" wp14:anchorId="334F2783" wp14:editId="7EAB9711">
                <wp:simplePos x="0" y="0"/>
                <wp:positionH relativeFrom="column">
                  <wp:posOffset>25401</wp:posOffset>
                </wp:positionH>
                <wp:positionV relativeFrom="paragraph">
                  <wp:posOffset>647700</wp:posOffset>
                </wp:positionV>
                <wp:extent cx="5638800" cy="304800"/>
                <wp:effectExtent l="0" t="0" r="0" b="0"/>
                <wp:wrapNone/>
                <wp:docPr id="30" name="Rectángulo 30"/>
                <wp:cNvGraphicFramePr/>
                <a:graphic xmlns:a="http://schemas.openxmlformats.org/drawingml/2006/main">
                  <a:graphicData uri="http://schemas.microsoft.com/office/word/2010/wordprocessingShape">
                    <wps:wsp>
                      <wps:cNvSpPr/>
                      <wps:spPr>
                        <a:xfrm>
                          <a:off x="2232669" y="3657726"/>
                          <a:ext cx="6226662" cy="244549"/>
                        </a:xfrm>
                        <a:prstGeom prst="rect">
                          <a:avLst/>
                        </a:prstGeom>
                        <a:noFill/>
                        <a:ln w="28575" cap="flat" cmpd="sng">
                          <a:solidFill>
                            <a:srgbClr val="4A7DBA"/>
                          </a:solidFill>
                          <a:prstDash val="solid"/>
                          <a:round/>
                          <a:headEnd type="none" w="sm" len="sm"/>
                          <a:tailEnd type="none" w="sm" len="sm"/>
                        </a:ln>
                      </wps:spPr>
                      <wps:txbx>
                        <w:txbxContent>
                          <w:p w14:paraId="09778B22" w14:textId="77777777" w:rsidR="00F0243B" w:rsidRDefault="00F0243B">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647700</wp:posOffset>
                </wp:positionV>
                <wp:extent cx="5638800" cy="304800"/>
                <wp:effectExtent b="0" l="0" r="0" t="0"/>
                <wp:wrapNone/>
                <wp:docPr id="30"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638800" cy="304800"/>
                        </a:xfrm>
                        <a:prstGeom prst="rect"/>
                        <a:ln/>
                      </pic:spPr>
                    </pic:pic>
                  </a:graphicData>
                </a:graphic>
              </wp:anchor>
            </w:drawing>
          </mc:Fallback>
        </mc:AlternateContent>
      </w:r>
    </w:p>
    <w:p w14:paraId="4D9108CD" w14:textId="77777777" w:rsidR="00F0243B" w:rsidRPr="00367BA2" w:rsidRDefault="0017139D">
      <w:pPr>
        <w:spacing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 esta tesitura, se acredita que el </w:t>
      </w:r>
      <w:r w:rsidRPr="00367BA2">
        <w:rPr>
          <w:rFonts w:ascii="Palatino Linotype" w:eastAsia="Palatino Linotype" w:hAnsi="Palatino Linotype" w:cs="Palatino Linotype"/>
          <w:b/>
        </w:rPr>
        <w:t>Sujeto Obligad</w:t>
      </w:r>
      <w:r w:rsidRPr="00367BA2">
        <w:rPr>
          <w:rFonts w:ascii="Palatino Linotype" w:eastAsia="Palatino Linotype" w:hAnsi="Palatino Linotype" w:cs="Palatino Linotype"/>
        </w:rPr>
        <w:t xml:space="preserve">o cuenta con información de naturaleza cuantitativa que da cuenta del número de panteones, el número de fosas disponibles y ocupadas pues no sólo la reportó en el Plan Municipal de Desarrollo sino además proporcionó esta información al Instituto Nacional de Estadística y Geografía (INEGI), para la elaboración de la recopilación sobre los cementerios públicos, por lo que al referirnos a información de carácter estadística, debemos observar obligatoriamente el criterio SO/008/2023 emitido por el Instituto Nacional de Transparencia, Acceso a la Información Pública y Protección de Datos Personales, mismo que se inserta a continuación: </w:t>
      </w:r>
    </w:p>
    <w:p w14:paraId="500B749E" w14:textId="77777777" w:rsidR="00F0243B" w:rsidRPr="00367BA2" w:rsidRDefault="0017139D">
      <w:pPr>
        <w:spacing w:before="240"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“Ejercicio del derecho de Acceso a la Información Pública</w:t>
      </w:r>
      <w:r w:rsidRPr="00367BA2">
        <w:rPr>
          <w:rFonts w:ascii="Palatino Linotype" w:eastAsia="Palatino Linotype" w:hAnsi="Palatino Linotype" w:cs="Palatino Linotype"/>
          <w:b/>
          <w:i/>
          <w:sz w:val="22"/>
          <w:szCs w:val="22"/>
        </w:rPr>
        <w:t>. La información estadística es de naturaleza pública</w:t>
      </w:r>
      <w:r w:rsidRPr="00367BA2">
        <w:rPr>
          <w:rFonts w:ascii="Palatino Linotype" w:eastAsia="Palatino Linotype" w:hAnsi="Palatino Linotype" w:cs="Palatino Linotype"/>
          <w:i/>
          <w:sz w:val="22"/>
          <w:szCs w:val="22"/>
        </w:rPr>
        <w:t>, independientemente de la materia con la que se encuentre vinculada.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p>
    <w:p w14:paraId="6285AA90" w14:textId="77777777" w:rsidR="00F0243B" w:rsidRPr="00367BA2" w:rsidRDefault="0017139D">
      <w:pPr>
        <w:spacing w:before="240"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Es por todo lo anterior que esta autoridad estima que las razones o motivos de inconformidad hechos valer por </w:t>
      </w:r>
      <w:r w:rsidRPr="00367BA2">
        <w:rPr>
          <w:rFonts w:ascii="Palatino Linotype" w:eastAsia="Palatino Linotype" w:hAnsi="Palatino Linotype" w:cs="Palatino Linotype"/>
          <w:b/>
        </w:rPr>
        <w:t>la parte</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Recurrente</w:t>
      </w:r>
      <w:r w:rsidRPr="00367BA2">
        <w:rPr>
          <w:rFonts w:ascii="Palatino Linotype" w:eastAsia="Palatino Linotype" w:hAnsi="Palatino Linotype" w:cs="Palatino Linotype"/>
        </w:rPr>
        <w:t xml:space="preserve"> devienen </w:t>
      </w:r>
      <w:r w:rsidRPr="00367BA2">
        <w:rPr>
          <w:rFonts w:ascii="Palatino Linotype" w:eastAsia="Palatino Linotype" w:hAnsi="Palatino Linotype" w:cs="Palatino Linotype"/>
          <w:b/>
        </w:rPr>
        <w:t>fundados</w:t>
      </w:r>
      <w:r w:rsidRPr="00367BA2">
        <w:rPr>
          <w:rFonts w:ascii="Palatino Linotype" w:eastAsia="Palatino Linotype" w:hAnsi="Palatino Linotype" w:cs="Palatino Linotype"/>
        </w:rPr>
        <w:t>; por lo que, lo procedente es </w:t>
      </w:r>
      <w:r w:rsidRPr="00367BA2">
        <w:rPr>
          <w:rFonts w:ascii="Palatino Linotype" w:eastAsia="Palatino Linotype" w:hAnsi="Palatino Linotype" w:cs="Palatino Linotype"/>
          <w:b/>
        </w:rPr>
        <w:t>REVOCA</w:t>
      </w:r>
      <w:r w:rsidRPr="00367BA2">
        <w:rPr>
          <w:rFonts w:ascii="Palatino Linotype" w:eastAsia="Palatino Linotype" w:hAnsi="Palatino Linotype" w:cs="Palatino Linotype"/>
        </w:rPr>
        <w:t xml:space="preserve"> la respuesta del </w:t>
      </w:r>
      <w:r w:rsidRPr="00367BA2">
        <w:rPr>
          <w:rFonts w:ascii="Palatino Linotype" w:eastAsia="Palatino Linotype" w:hAnsi="Palatino Linotype" w:cs="Palatino Linotype"/>
          <w:b/>
        </w:rPr>
        <w:t xml:space="preserve">Sujeto Obligado y ordenar la entrega </w:t>
      </w:r>
      <w:r w:rsidRPr="00367BA2">
        <w:rPr>
          <w:rFonts w:ascii="Palatino Linotype" w:eastAsia="Palatino Linotype" w:hAnsi="Palatino Linotype" w:cs="Palatino Linotype"/>
        </w:rPr>
        <w:t>de lo siguiente previa búsqueda exhaustiva y razonable, el último censo de panteones municipales generado al 16 de enero de 2024, en versión pública de ser procedente conforme al considerando siguiente</w:t>
      </w:r>
      <w:r w:rsidRPr="00367BA2">
        <w:rPr>
          <w:rFonts w:ascii="Palatino Linotype" w:eastAsia="Palatino Linotype" w:hAnsi="Palatino Linotype" w:cs="Palatino Linotype"/>
          <w:b/>
          <w:i/>
          <w:sz w:val="22"/>
          <w:szCs w:val="22"/>
        </w:rPr>
        <w:t>.</w:t>
      </w:r>
    </w:p>
    <w:p w14:paraId="3CED35FF" w14:textId="77777777" w:rsidR="00F0243B" w:rsidRPr="00367BA2" w:rsidRDefault="0017139D">
      <w:pPr>
        <w:spacing w:before="240" w:after="240" w:line="360" w:lineRule="auto"/>
        <w:ind w:right="49"/>
        <w:jc w:val="both"/>
        <w:rPr>
          <w:rFonts w:ascii="Palatino Linotype" w:eastAsia="Palatino Linotype" w:hAnsi="Palatino Linotype" w:cs="Palatino Linotype"/>
        </w:rPr>
      </w:pPr>
      <w:r w:rsidRPr="00367BA2">
        <w:rPr>
          <w:rFonts w:ascii="Palatino Linotype" w:eastAsia="Palatino Linotype" w:hAnsi="Palatino Linotype" w:cs="Palatino Linotype"/>
          <w:b/>
        </w:rPr>
        <w:t xml:space="preserve">Quinto. Versión Pública. </w:t>
      </w:r>
      <w:r w:rsidRPr="00367BA2">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33D4FC0" w14:textId="77777777" w:rsidR="00F0243B" w:rsidRPr="00367BA2" w:rsidRDefault="0017139D">
      <w:pPr>
        <w:spacing w:before="240" w:after="240" w:line="360" w:lineRule="auto"/>
        <w:ind w:right="50"/>
        <w:jc w:val="both"/>
        <w:rPr>
          <w:rFonts w:ascii="Palatino Linotype" w:eastAsia="Palatino Linotype" w:hAnsi="Palatino Linotype" w:cs="Palatino Linotype"/>
        </w:rPr>
      </w:pPr>
      <w:r w:rsidRPr="00367BA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22969F8"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r w:rsidRPr="00367BA2">
        <w:rPr>
          <w:rFonts w:ascii="Palatino Linotype" w:eastAsia="Palatino Linotype" w:hAnsi="Palatino Linotype" w:cs="Palatino Linotype"/>
          <w:b/>
          <w:i/>
          <w:sz w:val="22"/>
          <w:szCs w:val="22"/>
        </w:rPr>
        <w:t>Artículo 3</w:t>
      </w:r>
      <w:r w:rsidRPr="00367BA2">
        <w:rPr>
          <w:rFonts w:ascii="Palatino Linotype" w:eastAsia="Palatino Linotype" w:hAnsi="Palatino Linotype" w:cs="Palatino Linotype"/>
          <w:i/>
          <w:sz w:val="22"/>
          <w:szCs w:val="22"/>
        </w:rPr>
        <w:t>. Para los efectos de la presente Ley se entenderá por:</w:t>
      </w:r>
    </w:p>
    <w:p w14:paraId="59D31440"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11BCCE31"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IX. Datos personales:</w:t>
      </w:r>
      <w:r w:rsidRPr="00367BA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33EF9B5"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XX. Información clasificada</w:t>
      </w:r>
      <w:r w:rsidRPr="00367BA2">
        <w:rPr>
          <w:rFonts w:ascii="Palatino Linotype" w:eastAsia="Palatino Linotype" w:hAnsi="Palatino Linotype" w:cs="Palatino Linotype"/>
          <w:i/>
          <w:sz w:val="22"/>
          <w:szCs w:val="22"/>
        </w:rPr>
        <w:t>: Aquella considerada por la presente Ley como reservada o confidencial;</w:t>
      </w:r>
    </w:p>
    <w:p w14:paraId="71FE484D"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XXI. Información confidencial:</w:t>
      </w:r>
      <w:r w:rsidRPr="00367BA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328B0FA"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XLV. Versión pública:</w:t>
      </w:r>
      <w:r w:rsidRPr="00367BA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B1A3C2B"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0882ECD4"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Artículo 91. </w:t>
      </w:r>
      <w:r w:rsidRPr="00367BA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1C44521"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Artículo 132. </w:t>
      </w:r>
      <w:r w:rsidRPr="00367BA2">
        <w:rPr>
          <w:rFonts w:ascii="Palatino Linotype" w:eastAsia="Palatino Linotype" w:hAnsi="Palatino Linotype" w:cs="Palatino Linotype"/>
          <w:i/>
          <w:sz w:val="22"/>
          <w:szCs w:val="22"/>
        </w:rPr>
        <w:t>La clasificación de la información se llevará a cabo en el momento en que:</w:t>
      </w:r>
    </w:p>
    <w:p w14:paraId="019CBABD"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w:t>
      </w:r>
      <w:r w:rsidRPr="00367BA2">
        <w:rPr>
          <w:rFonts w:ascii="Palatino Linotype" w:eastAsia="Palatino Linotype" w:hAnsi="Palatino Linotype" w:cs="Palatino Linotype"/>
          <w:i/>
          <w:sz w:val="22"/>
          <w:szCs w:val="22"/>
        </w:rPr>
        <w:t>. Se reciba una solicitud de acceso a la información;</w:t>
      </w:r>
    </w:p>
    <w:p w14:paraId="74B49D87"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II</w:t>
      </w:r>
      <w:r w:rsidRPr="00367BA2">
        <w:rPr>
          <w:rFonts w:ascii="Palatino Linotype" w:eastAsia="Palatino Linotype" w:hAnsi="Palatino Linotype" w:cs="Palatino Linotype"/>
          <w:i/>
          <w:sz w:val="22"/>
          <w:szCs w:val="22"/>
        </w:rPr>
        <w:t>. Se determine mediante resolución de autoridad competente; o</w:t>
      </w:r>
    </w:p>
    <w:p w14:paraId="500C3F13"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III</w:t>
      </w:r>
      <w:r w:rsidRPr="00367BA2">
        <w:rPr>
          <w:rFonts w:ascii="Palatino Linotype" w:eastAsia="Palatino Linotype" w:hAnsi="Palatino Linotype" w:cs="Palatino Linotype"/>
          <w:i/>
          <w:sz w:val="22"/>
          <w:szCs w:val="22"/>
        </w:rPr>
        <w:t>. Se generen versiones públicas para dar cumplimiento a las obligaciones de transparencia previstas en esta Ley.</w:t>
      </w:r>
    </w:p>
    <w:p w14:paraId="00DCAB06"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w:t>
      </w:r>
    </w:p>
    <w:p w14:paraId="2C99C6F8"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Artículo 143</w:t>
      </w:r>
      <w:r w:rsidRPr="00367BA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272DE01"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w:t>
      </w:r>
      <w:r w:rsidRPr="00367BA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BBB9D66"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II.</w:t>
      </w:r>
      <w:r w:rsidRPr="00367BA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79229C2"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III</w:t>
      </w:r>
      <w:r w:rsidRPr="00367BA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D58D58D"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4054AC0" w14:textId="77777777" w:rsidR="00F0243B" w:rsidRPr="00367BA2" w:rsidRDefault="0017139D">
      <w:pPr>
        <w:spacing w:before="120" w:after="120"/>
        <w:ind w:left="567" w:right="902"/>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A11A15D"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16818C4" w14:textId="77777777" w:rsidR="00F0243B" w:rsidRPr="00367BA2" w:rsidRDefault="0017139D">
      <w:pPr>
        <w:spacing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siendo estas las siguientes:</w:t>
      </w:r>
    </w:p>
    <w:p w14:paraId="718B08F1" w14:textId="77777777" w:rsidR="00F0243B" w:rsidRPr="00367BA2" w:rsidRDefault="00F0243B">
      <w:pPr>
        <w:spacing w:line="360" w:lineRule="auto"/>
        <w:jc w:val="both"/>
        <w:rPr>
          <w:rFonts w:ascii="Palatino Linotype" w:eastAsia="Palatino Linotype" w:hAnsi="Palatino Linotype" w:cs="Palatino Linotype"/>
        </w:rPr>
      </w:pPr>
    </w:p>
    <w:p w14:paraId="7DE2FB69" w14:textId="77777777" w:rsidR="00F0243B" w:rsidRPr="00367BA2" w:rsidRDefault="0017139D">
      <w:pPr>
        <w:spacing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“CAPÍTULO VIII </w:t>
      </w:r>
    </w:p>
    <w:p w14:paraId="07D3E0B6" w14:textId="77777777" w:rsidR="00F0243B" w:rsidRPr="00367BA2" w:rsidRDefault="0017139D">
      <w:pPr>
        <w:spacing w:line="276" w:lineRule="auto"/>
        <w:ind w:left="567"/>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DE LOS ELEMENTOS PARA LA CLASIFICACIÓN </w:t>
      </w:r>
    </w:p>
    <w:p w14:paraId="66605971" w14:textId="77777777" w:rsidR="00F0243B" w:rsidRPr="00367BA2" w:rsidRDefault="0017139D">
      <w:pP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Quincuagésimo.</w:t>
      </w:r>
      <w:r w:rsidRPr="00367BA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9542E27" w14:textId="77777777" w:rsidR="00F0243B" w:rsidRPr="00367BA2" w:rsidRDefault="0017139D">
      <w:pP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Quincuagésimo primero.</w:t>
      </w:r>
      <w:r w:rsidRPr="00367BA2">
        <w:rPr>
          <w:rFonts w:ascii="Palatino Linotype" w:eastAsia="Palatino Linotype" w:hAnsi="Palatino Linotype" w:cs="Palatino Linotype"/>
          <w:i/>
          <w:sz w:val="22"/>
          <w:szCs w:val="22"/>
        </w:rPr>
        <w:t xml:space="preserve"> Toda acta del Comité de Transparencia deberá contener: </w:t>
      </w:r>
    </w:p>
    <w:p w14:paraId="4D7B4970" w14:textId="77777777" w:rsidR="00F0243B" w:rsidRPr="00367BA2" w:rsidRDefault="0017139D">
      <w:pPr>
        <w:numPr>
          <w:ilvl w:val="1"/>
          <w:numId w:val="4"/>
        </w:num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El número de sesión y fecha; </w:t>
      </w:r>
    </w:p>
    <w:p w14:paraId="0DBD1B2B" w14:textId="77777777" w:rsidR="00F0243B" w:rsidRPr="00367BA2" w:rsidRDefault="0017139D">
      <w:pPr>
        <w:numPr>
          <w:ilvl w:val="1"/>
          <w:numId w:val="4"/>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El nombre del área que solicitó la clasificación de información; </w:t>
      </w:r>
    </w:p>
    <w:p w14:paraId="2AC7ED0E" w14:textId="77777777" w:rsidR="00F0243B" w:rsidRPr="00367BA2" w:rsidRDefault="0017139D">
      <w:pPr>
        <w:numPr>
          <w:ilvl w:val="1"/>
          <w:numId w:val="4"/>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La fundamentación legal y motivación correspondiente; </w:t>
      </w:r>
    </w:p>
    <w:p w14:paraId="52DE00E9" w14:textId="77777777" w:rsidR="00F0243B" w:rsidRPr="00367BA2" w:rsidRDefault="0017139D">
      <w:pPr>
        <w:numPr>
          <w:ilvl w:val="1"/>
          <w:numId w:val="4"/>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La resolución o resoluciones aprobadas; y </w:t>
      </w:r>
    </w:p>
    <w:p w14:paraId="29D5C7C8" w14:textId="77777777" w:rsidR="00F0243B" w:rsidRPr="00367BA2" w:rsidRDefault="0017139D">
      <w:pPr>
        <w:numPr>
          <w:ilvl w:val="1"/>
          <w:numId w:val="4"/>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La rúbrica o firma digital de cada integrante del Comité de Transparencia. </w:t>
      </w:r>
    </w:p>
    <w:p w14:paraId="095E1508"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959916B"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I. Los motivos y razonamientos que sustenten la confirmación o modificación de la prueba de daño;</w:t>
      </w:r>
    </w:p>
    <w:p w14:paraId="7C2CBAF1"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II. Descripción de las partes o secciones reservadas, en caso de clasificación parcial; </w:t>
      </w:r>
    </w:p>
    <w:p w14:paraId="5B0CA02B"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III. El periodo por el que mantendrá su clasificación y fecha de expiración; y </w:t>
      </w:r>
    </w:p>
    <w:p w14:paraId="0E696BC3"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D57DF05"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F13B216"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367BA2">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1A3C5CB"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Quincuagésimo segundo. </w:t>
      </w:r>
      <w:r w:rsidRPr="00367BA2">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2E7C162"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FF28EC4"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I. Fijar la fecha en que se elaboró la versión pública y la fecha en la cual el Comité de</w:t>
      </w:r>
    </w:p>
    <w:p w14:paraId="075BB798"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Transparencia confirmó dicha versión;</w:t>
      </w:r>
    </w:p>
    <w:p w14:paraId="649EF325"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0E2C3BC"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III. Señalar las personas o instancias autorizadas a acceder a la información clasificada.</w:t>
      </w:r>
    </w:p>
    <w:p w14:paraId="567BCF59"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6CE712E" w14:textId="77777777" w:rsidR="00F0243B" w:rsidRPr="00367BA2" w:rsidRDefault="00F0243B">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18D8E87A"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Quincuagésimo cuarto. </w:t>
      </w:r>
      <w:r w:rsidRPr="00367BA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45B3FF9" w14:textId="77777777" w:rsidR="00F0243B" w:rsidRPr="00367BA2" w:rsidRDefault="00F0243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BB22160" w14:textId="77777777" w:rsidR="00F0243B" w:rsidRPr="00367BA2" w:rsidRDefault="0017139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b/>
          <w:i/>
          <w:sz w:val="22"/>
          <w:szCs w:val="22"/>
        </w:rPr>
        <w:t xml:space="preserve">Quincuagésimo quinto. </w:t>
      </w:r>
      <w:r w:rsidRPr="00367BA2">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BB74BA0"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DCF43F"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492D46D" w14:textId="77777777" w:rsidR="00F0243B" w:rsidRPr="00367BA2" w:rsidRDefault="0017139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0" w:name="_heading=h.ijv98pntcd5s" w:colFirst="0" w:colLast="0"/>
      <w:bookmarkEnd w:id="10"/>
      <w:r w:rsidRPr="00367BA2">
        <w:rPr>
          <w:rFonts w:ascii="Palatino Linotype" w:eastAsia="Palatino Linotype" w:hAnsi="Palatino Linotype" w:cs="Palatino Linotype"/>
          <w:b/>
        </w:rPr>
        <w:t>III. R E S U E L V E</w:t>
      </w:r>
    </w:p>
    <w:p w14:paraId="6FEC34A2" w14:textId="77777777" w:rsidR="00F0243B" w:rsidRPr="00367BA2" w:rsidRDefault="0017139D">
      <w:pPr>
        <w:spacing w:before="240" w:after="240" w:line="360" w:lineRule="auto"/>
        <w:jc w:val="both"/>
        <w:rPr>
          <w:rFonts w:ascii="Palatino Linotype" w:eastAsia="Palatino Linotype" w:hAnsi="Palatino Linotype" w:cs="Palatino Linotype"/>
        </w:rPr>
      </w:pPr>
      <w:bookmarkStart w:id="11" w:name="_heading=h.26in1rg" w:colFirst="0" w:colLast="0"/>
      <w:bookmarkEnd w:id="11"/>
      <w:r w:rsidRPr="00367BA2">
        <w:rPr>
          <w:rFonts w:ascii="Palatino Linotype" w:eastAsia="Palatino Linotype" w:hAnsi="Palatino Linotype" w:cs="Palatino Linotype"/>
          <w:b/>
        </w:rPr>
        <w:t xml:space="preserve">Primero. </w:t>
      </w:r>
      <w:r w:rsidRPr="00367BA2">
        <w:rPr>
          <w:rFonts w:ascii="Palatino Linotype" w:eastAsia="Palatino Linotype" w:hAnsi="Palatino Linotype" w:cs="Palatino Linotype"/>
        </w:rPr>
        <w:t xml:space="preserve">Resultan </w:t>
      </w:r>
      <w:r w:rsidRPr="00367BA2">
        <w:rPr>
          <w:rFonts w:ascii="Palatino Linotype" w:eastAsia="Palatino Linotype" w:hAnsi="Palatino Linotype" w:cs="Palatino Linotype"/>
          <w:b/>
        </w:rPr>
        <w:t>fundadas</w:t>
      </w:r>
      <w:r w:rsidRPr="00367BA2">
        <w:rPr>
          <w:rFonts w:ascii="Palatino Linotype" w:eastAsia="Palatino Linotype" w:hAnsi="Palatino Linotype" w:cs="Palatino Linotype"/>
        </w:rPr>
        <w:t xml:space="preserve"> las razones o motivos de inconformidad hechos valer por </w:t>
      </w:r>
      <w:r w:rsidRPr="00367BA2">
        <w:rPr>
          <w:rFonts w:ascii="Palatino Linotype" w:eastAsia="Palatino Linotype" w:hAnsi="Palatino Linotype" w:cs="Palatino Linotype"/>
          <w:b/>
        </w:rPr>
        <w:t>la parte Recurrente</w:t>
      </w:r>
      <w:r w:rsidRPr="00367BA2">
        <w:rPr>
          <w:rFonts w:ascii="Palatino Linotype" w:eastAsia="Palatino Linotype" w:hAnsi="Palatino Linotype" w:cs="Palatino Linotype"/>
        </w:rPr>
        <w:t xml:space="preserve"> en el recurso de revisión </w:t>
      </w:r>
      <w:r w:rsidRPr="00367BA2">
        <w:rPr>
          <w:rFonts w:ascii="Palatino Linotype" w:eastAsia="Palatino Linotype" w:hAnsi="Palatino Linotype" w:cs="Palatino Linotype"/>
          <w:b/>
        </w:rPr>
        <w:t>00214/INFOEM/IP/RR/2024</w:t>
      </w:r>
      <w:r w:rsidRPr="00367BA2">
        <w:rPr>
          <w:rFonts w:ascii="Palatino Linotype" w:eastAsia="Palatino Linotype" w:hAnsi="Palatino Linotype" w:cs="Palatino Linotype"/>
        </w:rPr>
        <w:t xml:space="preserve">; por lo que, en términos del </w:t>
      </w:r>
      <w:r w:rsidRPr="00367BA2">
        <w:rPr>
          <w:rFonts w:ascii="Palatino Linotype" w:eastAsia="Palatino Linotype" w:hAnsi="Palatino Linotype" w:cs="Palatino Linotype"/>
          <w:b/>
        </w:rPr>
        <w:t>Considerando</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 xml:space="preserve">Cuarto </w:t>
      </w:r>
      <w:r w:rsidRPr="00367BA2">
        <w:rPr>
          <w:rFonts w:ascii="Palatino Linotype" w:eastAsia="Palatino Linotype" w:hAnsi="Palatino Linotype" w:cs="Palatino Linotype"/>
        </w:rPr>
        <w:t xml:space="preserve">de esta resolución, se </w:t>
      </w:r>
      <w:r w:rsidRPr="00367BA2">
        <w:rPr>
          <w:rFonts w:ascii="Palatino Linotype" w:eastAsia="Palatino Linotype" w:hAnsi="Palatino Linotype" w:cs="Palatino Linotype"/>
          <w:b/>
        </w:rPr>
        <w:t xml:space="preserve">REVOCA </w:t>
      </w:r>
      <w:r w:rsidRPr="00367BA2">
        <w:rPr>
          <w:rFonts w:ascii="Palatino Linotype" w:eastAsia="Palatino Linotype" w:hAnsi="Palatino Linotype" w:cs="Palatino Linotype"/>
        </w:rPr>
        <w:t xml:space="preserve">la respuesta emitida por el </w:t>
      </w:r>
      <w:r w:rsidRPr="00367BA2">
        <w:rPr>
          <w:rFonts w:ascii="Palatino Linotype" w:eastAsia="Palatino Linotype" w:hAnsi="Palatino Linotype" w:cs="Palatino Linotype"/>
          <w:b/>
        </w:rPr>
        <w:t xml:space="preserve">Sujeto Obligado. </w:t>
      </w:r>
    </w:p>
    <w:p w14:paraId="53AC1F4A" w14:textId="77777777" w:rsidR="00F0243B" w:rsidRPr="00367BA2" w:rsidRDefault="0017139D">
      <w:pPr>
        <w:spacing w:before="240" w:after="240" w:line="360" w:lineRule="auto"/>
        <w:ind w:right="49"/>
        <w:jc w:val="both"/>
        <w:rPr>
          <w:rFonts w:ascii="Palatino Linotype" w:eastAsia="Palatino Linotype" w:hAnsi="Palatino Linotype" w:cs="Palatino Linotype"/>
          <w:b/>
        </w:rPr>
      </w:pPr>
      <w:r w:rsidRPr="00367BA2">
        <w:rPr>
          <w:rFonts w:ascii="Palatino Linotype" w:eastAsia="Palatino Linotype" w:hAnsi="Palatino Linotype" w:cs="Palatino Linotype"/>
          <w:b/>
        </w:rPr>
        <w:t xml:space="preserve">Segundo. </w:t>
      </w:r>
      <w:r w:rsidRPr="00367BA2">
        <w:rPr>
          <w:rFonts w:ascii="Palatino Linotype" w:eastAsia="Palatino Linotype" w:hAnsi="Palatino Linotype" w:cs="Palatino Linotype"/>
        </w:rPr>
        <w:t xml:space="preserve">Se </w:t>
      </w:r>
      <w:r w:rsidRPr="00367BA2">
        <w:rPr>
          <w:rFonts w:ascii="Palatino Linotype" w:eastAsia="Palatino Linotype" w:hAnsi="Palatino Linotype" w:cs="Palatino Linotype"/>
          <w:b/>
        </w:rPr>
        <w:t xml:space="preserve">Ordena </w:t>
      </w:r>
      <w:r w:rsidRPr="00367BA2">
        <w:rPr>
          <w:rFonts w:ascii="Palatino Linotype" w:eastAsia="Palatino Linotype" w:hAnsi="Palatino Linotype" w:cs="Palatino Linotype"/>
        </w:rPr>
        <w:t xml:space="preserve">al </w:t>
      </w:r>
      <w:r w:rsidRPr="00367BA2">
        <w:rPr>
          <w:rFonts w:ascii="Palatino Linotype" w:eastAsia="Palatino Linotype" w:hAnsi="Palatino Linotype" w:cs="Palatino Linotype"/>
          <w:b/>
        </w:rPr>
        <w:t>Sujeto Obligado</w:t>
      </w:r>
      <w:r w:rsidRPr="00367BA2">
        <w:rPr>
          <w:rFonts w:ascii="Palatino Linotype" w:eastAsia="Palatino Linotype" w:hAnsi="Palatino Linotype" w:cs="Palatino Linotype"/>
        </w:rPr>
        <w:t xml:space="preserve"> haga entrega, previa búsqueda exhaustiva y razonable, en </w:t>
      </w:r>
      <w:r w:rsidRPr="00367BA2">
        <w:rPr>
          <w:rFonts w:ascii="Palatino Linotype" w:eastAsia="Palatino Linotype" w:hAnsi="Palatino Linotype" w:cs="Palatino Linotype"/>
          <w:b/>
        </w:rPr>
        <w:t>versión pública,</w:t>
      </w:r>
      <w:r w:rsidRPr="00367BA2">
        <w:rPr>
          <w:rFonts w:ascii="Palatino Linotype" w:eastAsia="Palatino Linotype" w:hAnsi="Palatino Linotype" w:cs="Palatino Linotype"/>
        </w:rPr>
        <w:t xml:space="preserve"> a</w:t>
      </w:r>
      <w:r w:rsidRPr="00367BA2">
        <w:rPr>
          <w:rFonts w:ascii="Palatino Linotype" w:eastAsia="Palatino Linotype" w:hAnsi="Palatino Linotype" w:cs="Palatino Linotype"/>
          <w:b/>
        </w:rPr>
        <w:t xml:space="preserve"> la parte Recurrente,</w:t>
      </w:r>
      <w:r w:rsidRPr="00367BA2">
        <w:rPr>
          <w:rFonts w:ascii="Palatino Linotype" w:eastAsia="Palatino Linotype" w:hAnsi="Palatino Linotype" w:cs="Palatino Linotype"/>
        </w:rPr>
        <w:t xml:space="preserve"> vía </w:t>
      </w:r>
      <w:r w:rsidRPr="00367BA2">
        <w:rPr>
          <w:rFonts w:ascii="Palatino Linotype" w:eastAsia="Palatino Linotype" w:hAnsi="Palatino Linotype" w:cs="Palatino Linotype"/>
          <w:b/>
        </w:rPr>
        <w:t xml:space="preserve">SAIMEX, </w:t>
      </w:r>
      <w:r w:rsidRPr="00367BA2">
        <w:rPr>
          <w:rFonts w:ascii="Palatino Linotype" w:eastAsia="Palatino Linotype" w:hAnsi="Palatino Linotype" w:cs="Palatino Linotype"/>
        </w:rPr>
        <w:t xml:space="preserve">en términos de los </w:t>
      </w:r>
      <w:r w:rsidRPr="00367BA2">
        <w:rPr>
          <w:rFonts w:ascii="Palatino Linotype" w:eastAsia="Palatino Linotype" w:hAnsi="Palatino Linotype" w:cs="Palatino Linotype"/>
          <w:b/>
        </w:rPr>
        <w:t>Considerandos</w:t>
      </w:r>
      <w:r w:rsidRPr="00367BA2">
        <w:rPr>
          <w:rFonts w:ascii="Palatino Linotype" w:eastAsia="Palatino Linotype" w:hAnsi="Palatino Linotype" w:cs="Palatino Linotype"/>
        </w:rPr>
        <w:t xml:space="preserve"> </w:t>
      </w:r>
      <w:r w:rsidRPr="00367BA2">
        <w:rPr>
          <w:rFonts w:ascii="Palatino Linotype" w:eastAsia="Palatino Linotype" w:hAnsi="Palatino Linotype" w:cs="Palatino Linotype"/>
          <w:b/>
        </w:rPr>
        <w:t xml:space="preserve">Cuarto y Quinto de la presente resolución, lo siguiente: </w:t>
      </w:r>
    </w:p>
    <w:p w14:paraId="0D393E37" w14:textId="77777777" w:rsidR="00F0243B" w:rsidRPr="00367BA2" w:rsidRDefault="0017139D">
      <w:pPr>
        <w:numPr>
          <w:ilvl w:val="0"/>
          <w:numId w:val="5"/>
        </w:numPr>
        <w:pBdr>
          <w:top w:val="nil"/>
          <w:left w:val="nil"/>
          <w:bottom w:val="nil"/>
          <w:right w:val="nil"/>
          <w:between w:val="nil"/>
        </w:pBdr>
        <w:spacing w:before="240" w:line="360" w:lineRule="auto"/>
        <w:ind w:left="567" w:right="49"/>
        <w:jc w:val="both"/>
        <w:rPr>
          <w:rFonts w:ascii="Palatino Linotype" w:eastAsia="Palatino Linotype" w:hAnsi="Palatino Linotype" w:cs="Palatino Linotype"/>
          <w:b/>
        </w:rPr>
      </w:pPr>
      <w:r w:rsidRPr="00367BA2">
        <w:rPr>
          <w:rFonts w:ascii="Palatino Linotype" w:eastAsia="Palatino Linotype" w:hAnsi="Palatino Linotype" w:cs="Palatino Linotype"/>
          <w:b/>
          <w:i/>
          <w:sz w:val="22"/>
          <w:szCs w:val="22"/>
        </w:rPr>
        <w:t>Último censo de panteones municipales generado al 16 de enero de 2024.</w:t>
      </w:r>
    </w:p>
    <w:p w14:paraId="68147FC5" w14:textId="77777777" w:rsidR="00F0243B" w:rsidRPr="00367BA2" w:rsidRDefault="0017139D">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sz w:val="22"/>
          <w:szCs w:val="22"/>
        </w:rPr>
      </w:pPr>
      <w:r w:rsidRPr="00367BA2">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7576A6D1"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Tercero</w:t>
      </w:r>
      <w:r w:rsidRPr="00367BA2">
        <w:rPr>
          <w:rFonts w:ascii="Palatino Linotype" w:eastAsia="Palatino Linotype" w:hAnsi="Palatino Linotype" w:cs="Palatino Linotype"/>
          <w:b/>
          <w:sz w:val="28"/>
          <w:szCs w:val="28"/>
        </w:rPr>
        <w:t xml:space="preserve">.  </w:t>
      </w:r>
      <w:r w:rsidRPr="00367BA2">
        <w:rPr>
          <w:rFonts w:ascii="Palatino Linotype" w:eastAsia="Palatino Linotype" w:hAnsi="Palatino Linotype" w:cs="Palatino Linotype"/>
          <w:b/>
        </w:rPr>
        <w:t>Notifíquese vía SAIMEX,</w:t>
      </w:r>
      <w:r w:rsidRPr="00367BA2">
        <w:rPr>
          <w:rFonts w:ascii="Palatino Linotype" w:eastAsia="Palatino Linotype" w:hAnsi="Palatino Linotype" w:cs="Palatino Linotype"/>
          <w:b/>
          <w:sz w:val="28"/>
          <w:szCs w:val="28"/>
        </w:rPr>
        <w:t xml:space="preserve"> </w:t>
      </w:r>
      <w:r w:rsidRPr="00367BA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EAA299"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Cuarto.</w:t>
      </w:r>
      <w:r w:rsidRPr="00367BA2">
        <w:rPr>
          <w:rFonts w:ascii="Palatino Linotype" w:eastAsia="Palatino Linotype" w:hAnsi="Palatino Linotype" w:cs="Palatino Linotype"/>
          <w:b/>
          <w:sz w:val="28"/>
          <w:szCs w:val="28"/>
        </w:rPr>
        <w:t xml:space="preserve"> </w:t>
      </w:r>
      <w:r w:rsidRPr="00367BA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6CBF65" w14:textId="77777777" w:rsidR="00F0243B" w:rsidRPr="00367BA2" w:rsidRDefault="0017139D">
      <w:pPr>
        <w:spacing w:before="240" w:after="240" w:line="360" w:lineRule="auto"/>
        <w:jc w:val="both"/>
        <w:rPr>
          <w:rFonts w:ascii="Palatino Linotype" w:eastAsia="Palatino Linotype" w:hAnsi="Palatino Linotype" w:cs="Palatino Linotype"/>
        </w:rPr>
      </w:pPr>
      <w:r w:rsidRPr="00367BA2">
        <w:rPr>
          <w:rFonts w:ascii="Palatino Linotype" w:eastAsia="Palatino Linotype" w:hAnsi="Palatino Linotype" w:cs="Palatino Linotype"/>
          <w:b/>
        </w:rPr>
        <w:t>Quinto</w:t>
      </w:r>
      <w:r w:rsidRPr="00367BA2">
        <w:rPr>
          <w:rFonts w:ascii="Palatino Linotype" w:eastAsia="Palatino Linotype" w:hAnsi="Palatino Linotype" w:cs="Palatino Linotype"/>
          <w:b/>
          <w:sz w:val="28"/>
          <w:szCs w:val="28"/>
        </w:rPr>
        <w:t xml:space="preserve">. </w:t>
      </w:r>
      <w:r w:rsidRPr="00367BA2">
        <w:rPr>
          <w:rFonts w:ascii="Palatino Linotype" w:eastAsia="Palatino Linotype" w:hAnsi="Palatino Linotype" w:cs="Palatino Linotype"/>
          <w:b/>
        </w:rPr>
        <w:t xml:space="preserve">Notifíquese vía SAIMEX, </w:t>
      </w:r>
      <w:r w:rsidRPr="00367BA2">
        <w:rPr>
          <w:rFonts w:ascii="Palatino Linotype" w:eastAsia="Palatino Linotype" w:hAnsi="Palatino Linotype" w:cs="Palatino Linotype"/>
        </w:rPr>
        <w:t>a</w:t>
      </w:r>
      <w:r w:rsidRPr="00367BA2">
        <w:rPr>
          <w:rFonts w:ascii="Palatino Linotype" w:eastAsia="Palatino Linotype" w:hAnsi="Palatino Linotype" w:cs="Palatino Linotype"/>
          <w:b/>
        </w:rPr>
        <w:t xml:space="preserve"> la parte Recurrente</w:t>
      </w:r>
      <w:r w:rsidRPr="00367BA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5F74A2D" w14:textId="77777777" w:rsidR="00F0243B" w:rsidRPr="00367BA2" w:rsidRDefault="0017139D">
      <w:pPr>
        <w:spacing w:line="360" w:lineRule="auto"/>
        <w:jc w:val="both"/>
        <w:rPr>
          <w:rFonts w:ascii="Palatino Linotype" w:eastAsia="Palatino Linotype" w:hAnsi="Palatino Linotype" w:cs="Palatino Linotype"/>
        </w:rPr>
      </w:pPr>
      <w:bookmarkStart w:id="12" w:name="_heading=h.4d34og8" w:colFirst="0" w:colLast="0"/>
      <w:bookmarkEnd w:id="12"/>
      <w:r w:rsidRPr="00367BA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AUSENCIA JUSTIFICADA) Y GUADALUPE RAMÍREZ PEÑA; EN LA VIGÉSIMA TERCERA SESIÓN ORDINARIA, CELEBRADA EL VEINTISÉIS DE JUNIO DE DOS MIL VEINTICUATRO, ANTE EL SECRETARIO TÉCNICO DEL PLENO ALEXIS TAPIA RAMÍREZ. </w:t>
      </w:r>
    </w:p>
    <w:p w14:paraId="0AE57AF1" w14:textId="77777777" w:rsidR="00F0243B" w:rsidRPr="00367BA2" w:rsidRDefault="00F0243B">
      <w:pPr>
        <w:rPr>
          <w:rFonts w:ascii="Palatino Linotype" w:eastAsia="Palatino Linotype" w:hAnsi="Palatino Linotype" w:cs="Palatino Linotype"/>
        </w:rPr>
      </w:pPr>
    </w:p>
    <w:p w14:paraId="20AA13D1" w14:textId="77777777" w:rsidR="00F0243B" w:rsidRPr="00367BA2" w:rsidRDefault="00F0243B">
      <w:pPr>
        <w:rPr>
          <w:rFonts w:ascii="Palatino Linotype" w:eastAsia="Palatino Linotype" w:hAnsi="Palatino Linotype" w:cs="Palatino Linotype"/>
        </w:rPr>
      </w:pPr>
    </w:p>
    <w:p w14:paraId="37C70F78" w14:textId="77777777" w:rsidR="00F0243B" w:rsidRPr="00367BA2" w:rsidRDefault="00F0243B">
      <w:pPr>
        <w:spacing w:line="360" w:lineRule="auto"/>
        <w:jc w:val="both"/>
        <w:rPr>
          <w:rFonts w:ascii="Palatino Linotype" w:eastAsia="Palatino Linotype" w:hAnsi="Palatino Linotype" w:cs="Palatino Linotype"/>
        </w:rPr>
      </w:pPr>
      <w:bookmarkStart w:id="13" w:name="_heading=h.3rdcrjn" w:colFirst="0" w:colLast="0"/>
      <w:bookmarkEnd w:id="13"/>
    </w:p>
    <w:p w14:paraId="6AA94090" w14:textId="77777777" w:rsidR="00F0243B" w:rsidRPr="00367BA2" w:rsidRDefault="00F0243B">
      <w:pPr>
        <w:spacing w:line="360" w:lineRule="auto"/>
        <w:jc w:val="both"/>
        <w:rPr>
          <w:rFonts w:ascii="Palatino Linotype" w:eastAsia="Palatino Linotype" w:hAnsi="Palatino Linotype" w:cs="Palatino Linotype"/>
        </w:rPr>
      </w:pPr>
    </w:p>
    <w:p w14:paraId="7A1EC992" w14:textId="77777777" w:rsidR="00F0243B" w:rsidRPr="00367BA2" w:rsidRDefault="00F0243B">
      <w:pPr>
        <w:spacing w:line="360" w:lineRule="auto"/>
        <w:jc w:val="both"/>
        <w:rPr>
          <w:rFonts w:ascii="Palatino Linotype" w:eastAsia="Palatino Linotype" w:hAnsi="Palatino Linotype" w:cs="Palatino Linotype"/>
        </w:rPr>
      </w:pPr>
    </w:p>
    <w:p w14:paraId="0A27F083" w14:textId="77777777" w:rsidR="00F0243B" w:rsidRPr="00367BA2" w:rsidRDefault="00F0243B">
      <w:pPr>
        <w:spacing w:line="360" w:lineRule="auto"/>
        <w:jc w:val="both"/>
        <w:rPr>
          <w:rFonts w:ascii="Palatino Linotype" w:eastAsia="Palatino Linotype" w:hAnsi="Palatino Linotype" w:cs="Palatino Linotype"/>
        </w:rPr>
      </w:pPr>
      <w:bookmarkStart w:id="14" w:name="_heading=h.1t3h5sf" w:colFirst="0" w:colLast="0"/>
      <w:bookmarkEnd w:id="14"/>
    </w:p>
    <w:p w14:paraId="3942787A" w14:textId="77777777" w:rsidR="00F0243B" w:rsidRPr="00367BA2" w:rsidRDefault="00F0243B">
      <w:pPr>
        <w:spacing w:line="360" w:lineRule="auto"/>
        <w:jc w:val="both"/>
        <w:rPr>
          <w:rFonts w:ascii="Palatino Linotype" w:eastAsia="Palatino Linotype" w:hAnsi="Palatino Linotype" w:cs="Palatino Linotype"/>
        </w:rPr>
      </w:pPr>
    </w:p>
    <w:p w14:paraId="4614C493" w14:textId="77777777" w:rsidR="00F0243B" w:rsidRPr="00367BA2" w:rsidRDefault="00F0243B">
      <w:pPr>
        <w:spacing w:line="360" w:lineRule="auto"/>
        <w:jc w:val="both"/>
        <w:rPr>
          <w:rFonts w:ascii="Palatino Linotype" w:eastAsia="Palatino Linotype" w:hAnsi="Palatino Linotype" w:cs="Palatino Linotype"/>
        </w:rPr>
      </w:pPr>
    </w:p>
    <w:p w14:paraId="25C61698" w14:textId="77777777" w:rsidR="00F0243B" w:rsidRPr="00367BA2" w:rsidRDefault="00F0243B">
      <w:pPr>
        <w:spacing w:line="360" w:lineRule="auto"/>
        <w:jc w:val="both"/>
        <w:rPr>
          <w:rFonts w:ascii="Palatino Linotype" w:eastAsia="Palatino Linotype" w:hAnsi="Palatino Linotype" w:cs="Palatino Linotype"/>
        </w:rPr>
      </w:pPr>
    </w:p>
    <w:p w14:paraId="3B5D7ADE" w14:textId="77777777" w:rsidR="00F0243B" w:rsidRPr="00367BA2" w:rsidRDefault="00F0243B">
      <w:pPr>
        <w:spacing w:line="360" w:lineRule="auto"/>
        <w:jc w:val="both"/>
        <w:rPr>
          <w:rFonts w:ascii="Palatino Linotype" w:eastAsia="Palatino Linotype" w:hAnsi="Palatino Linotype" w:cs="Palatino Linotype"/>
        </w:rPr>
      </w:pPr>
    </w:p>
    <w:p w14:paraId="0C3F7297" w14:textId="77777777" w:rsidR="00F0243B" w:rsidRPr="00367BA2" w:rsidRDefault="00F0243B">
      <w:pPr>
        <w:spacing w:line="360" w:lineRule="auto"/>
        <w:jc w:val="both"/>
        <w:rPr>
          <w:rFonts w:ascii="Palatino Linotype" w:eastAsia="Palatino Linotype" w:hAnsi="Palatino Linotype" w:cs="Palatino Linotype"/>
        </w:rPr>
      </w:pPr>
    </w:p>
    <w:p w14:paraId="791BB975" w14:textId="77777777" w:rsidR="00F0243B" w:rsidRPr="00367BA2" w:rsidRDefault="00F0243B">
      <w:pPr>
        <w:spacing w:line="360" w:lineRule="auto"/>
        <w:jc w:val="both"/>
        <w:rPr>
          <w:rFonts w:ascii="Palatino Linotype" w:eastAsia="Palatino Linotype" w:hAnsi="Palatino Linotype" w:cs="Palatino Linotype"/>
        </w:rPr>
      </w:pPr>
    </w:p>
    <w:p w14:paraId="37A6BCF5" w14:textId="77777777" w:rsidR="00F0243B" w:rsidRPr="00367BA2" w:rsidRDefault="00F0243B">
      <w:pPr>
        <w:spacing w:line="360" w:lineRule="auto"/>
        <w:jc w:val="both"/>
        <w:rPr>
          <w:rFonts w:ascii="Palatino Linotype" w:eastAsia="Palatino Linotype" w:hAnsi="Palatino Linotype" w:cs="Palatino Linotype"/>
        </w:rPr>
      </w:pPr>
    </w:p>
    <w:p w14:paraId="12ABDBCC" w14:textId="77777777" w:rsidR="00F0243B" w:rsidRPr="00367BA2" w:rsidRDefault="00F0243B">
      <w:pPr>
        <w:spacing w:line="360" w:lineRule="auto"/>
        <w:jc w:val="both"/>
        <w:rPr>
          <w:rFonts w:ascii="Palatino Linotype" w:eastAsia="Palatino Linotype" w:hAnsi="Palatino Linotype" w:cs="Palatino Linotype"/>
        </w:rPr>
      </w:pPr>
    </w:p>
    <w:p w14:paraId="661BDDF3" w14:textId="77777777" w:rsidR="00F0243B" w:rsidRPr="00367BA2" w:rsidRDefault="00F0243B">
      <w:pPr>
        <w:spacing w:line="360" w:lineRule="auto"/>
        <w:jc w:val="both"/>
        <w:rPr>
          <w:rFonts w:ascii="Palatino Linotype" w:eastAsia="Palatino Linotype" w:hAnsi="Palatino Linotype" w:cs="Palatino Linotype"/>
        </w:rPr>
      </w:pPr>
    </w:p>
    <w:p w14:paraId="561E9FFF" w14:textId="77777777" w:rsidR="00F0243B" w:rsidRPr="00367BA2" w:rsidRDefault="00F0243B">
      <w:pPr>
        <w:spacing w:line="360" w:lineRule="auto"/>
        <w:jc w:val="both"/>
        <w:rPr>
          <w:rFonts w:ascii="Palatino Linotype" w:eastAsia="Palatino Linotype" w:hAnsi="Palatino Linotype" w:cs="Palatino Linotype"/>
        </w:rPr>
      </w:pPr>
    </w:p>
    <w:p w14:paraId="6FECE8FA" w14:textId="77777777" w:rsidR="00F0243B" w:rsidRPr="00367BA2" w:rsidRDefault="00F0243B">
      <w:pPr>
        <w:spacing w:line="360" w:lineRule="auto"/>
        <w:jc w:val="both"/>
        <w:rPr>
          <w:rFonts w:ascii="Palatino Linotype" w:eastAsia="Palatino Linotype" w:hAnsi="Palatino Linotype" w:cs="Palatino Linotype"/>
        </w:rPr>
      </w:pPr>
    </w:p>
    <w:p w14:paraId="6EB2BBE0" w14:textId="77777777" w:rsidR="00F0243B" w:rsidRPr="00367BA2" w:rsidRDefault="00F0243B">
      <w:pPr>
        <w:spacing w:line="360" w:lineRule="auto"/>
        <w:jc w:val="both"/>
        <w:rPr>
          <w:rFonts w:ascii="Palatino Linotype" w:eastAsia="Palatino Linotype" w:hAnsi="Palatino Linotype" w:cs="Palatino Linotype"/>
        </w:rPr>
      </w:pPr>
    </w:p>
    <w:p w14:paraId="59DE605B" w14:textId="77777777" w:rsidR="00F0243B" w:rsidRPr="00367BA2" w:rsidRDefault="00F0243B">
      <w:pPr>
        <w:spacing w:line="360" w:lineRule="auto"/>
        <w:jc w:val="both"/>
        <w:rPr>
          <w:rFonts w:ascii="Palatino Linotype" w:eastAsia="Palatino Linotype" w:hAnsi="Palatino Linotype" w:cs="Palatino Linotype"/>
        </w:rPr>
      </w:pPr>
    </w:p>
    <w:p w14:paraId="4323771F" w14:textId="77777777" w:rsidR="00F0243B" w:rsidRPr="00367BA2" w:rsidRDefault="00F0243B">
      <w:pPr>
        <w:spacing w:line="360" w:lineRule="auto"/>
        <w:jc w:val="both"/>
        <w:rPr>
          <w:rFonts w:ascii="Palatino Linotype" w:eastAsia="Palatino Linotype" w:hAnsi="Palatino Linotype" w:cs="Palatino Linotype"/>
        </w:rPr>
      </w:pPr>
    </w:p>
    <w:p w14:paraId="429DC7F6" w14:textId="77777777" w:rsidR="00F0243B" w:rsidRPr="00367BA2" w:rsidRDefault="00F0243B">
      <w:pPr>
        <w:spacing w:line="360" w:lineRule="auto"/>
        <w:jc w:val="both"/>
        <w:rPr>
          <w:rFonts w:ascii="Palatino Linotype" w:eastAsia="Palatino Linotype" w:hAnsi="Palatino Linotype" w:cs="Palatino Linotype"/>
        </w:rPr>
      </w:pPr>
    </w:p>
    <w:p w14:paraId="3A0D1131" w14:textId="77777777" w:rsidR="00F0243B" w:rsidRPr="00367BA2" w:rsidRDefault="00F0243B">
      <w:pPr>
        <w:spacing w:line="360" w:lineRule="auto"/>
        <w:jc w:val="both"/>
        <w:rPr>
          <w:rFonts w:ascii="Palatino Linotype" w:eastAsia="Palatino Linotype" w:hAnsi="Palatino Linotype" w:cs="Palatino Linotype"/>
        </w:rPr>
      </w:pPr>
    </w:p>
    <w:p w14:paraId="22596310" w14:textId="77777777" w:rsidR="00F0243B" w:rsidRPr="00367BA2" w:rsidRDefault="00F0243B">
      <w:pPr>
        <w:spacing w:line="360" w:lineRule="auto"/>
        <w:jc w:val="both"/>
        <w:rPr>
          <w:rFonts w:ascii="Palatino Linotype" w:eastAsia="Palatino Linotype" w:hAnsi="Palatino Linotype" w:cs="Palatino Linotype"/>
        </w:rPr>
      </w:pPr>
    </w:p>
    <w:p w14:paraId="5A3A239E" w14:textId="77777777" w:rsidR="00F0243B" w:rsidRPr="00367BA2" w:rsidRDefault="00F0243B">
      <w:pPr>
        <w:spacing w:line="360" w:lineRule="auto"/>
        <w:jc w:val="both"/>
        <w:rPr>
          <w:rFonts w:ascii="Palatino Linotype" w:eastAsia="Palatino Linotype" w:hAnsi="Palatino Linotype" w:cs="Palatino Linotype"/>
        </w:rPr>
      </w:pPr>
    </w:p>
    <w:p w14:paraId="03755731" w14:textId="77777777" w:rsidR="00F0243B" w:rsidRPr="00367BA2" w:rsidRDefault="00F0243B">
      <w:pPr>
        <w:spacing w:line="360" w:lineRule="auto"/>
        <w:jc w:val="both"/>
        <w:rPr>
          <w:rFonts w:ascii="Palatino Linotype" w:eastAsia="Palatino Linotype" w:hAnsi="Palatino Linotype" w:cs="Palatino Linotype"/>
        </w:rPr>
      </w:pPr>
    </w:p>
    <w:sectPr w:rsidR="00F0243B" w:rsidRPr="00367BA2">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3CFD7" w14:textId="77777777" w:rsidR="00A017E6" w:rsidRDefault="00A017E6">
      <w:r>
        <w:separator/>
      </w:r>
    </w:p>
  </w:endnote>
  <w:endnote w:type="continuationSeparator" w:id="0">
    <w:p w14:paraId="59F5F1F0" w14:textId="77777777" w:rsidR="00A017E6" w:rsidRDefault="00A0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9D4A" w14:textId="77777777" w:rsidR="00F0243B" w:rsidRDefault="001713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45F4E">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45F4E">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6E451538" w14:textId="77777777" w:rsidR="00F0243B" w:rsidRDefault="00F0243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B32F8" w14:textId="77777777" w:rsidR="00F0243B" w:rsidRDefault="001713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45F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45F4E">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5A5F40F7" w14:textId="77777777" w:rsidR="00F0243B" w:rsidRDefault="00F0243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468CF" w14:textId="77777777" w:rsidR="00A017E6" w:rsidRDefault="00A017E6">
      <w:r>
        <w:separator/>
      </w:r>
    </w:p>
  </w:footnote>
  <w:footnote w:type="continuationSeparator" w:id="0">
    <w:p w14:paraId="695EAAA5" w14:textId="77777777" w:rsidR="00A017E6" w:rsidRDefault="00A01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6D7D9" w14:textId="77777777" w:rsidR="00F0243B" w:rsidRDefault="0017139D">
    <w:pPr>
      <w:rPr>
        <w:rFonts w:ascii="Cambria" w:eastAsia="Cambria" w:hAnsi="Cambria" w:cs="Cambria"/>
        <w:color w:val="000000"/>
      </w:rPr>
    </w:pPr>
    <w:r>
      <w:rPr>
        <w:noProof/>
      </w:rPr>
      <w:drawing>
        <wp:anchor distT="0" distB="0" distL="0" distR="0" simplePos="0" relativeHeight="251658240" behindDoc="1" locked="0" layoutInCell="1" hidden="0" allowOverlap="1" wp14:anchorId="4BA06CC5" wp14:editId="6479A78B">
          <wp:simplePos x="0" y="0"/>
          <wp:positionH relativeFrom="column">
            <wp:posOffset>-1080114</wp:posOffset>
          </wp:positionH>
          <wp:positionV relativeFrom="paragraph">
            <wp:posOffset>-488291</wp:posOffset>
          </wp:positionV>
          <wp:extent cx="7809865" cy="10165715"/>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7087" w:type="dxa"/>
      <w:tblInd w:w="3261" w:type="dxa"/>
      <w:tblLayout w:type="fixed"/>
      <w:tblLook w:val="0400" w:firstRow="0" w:lastRow="0" w:firstColumn="0" w:lastColumn="0" w:noHBand="0" w:noVBand="1"/>
    </w:tblPr>
    <w:tblGrid>
      <w:gridCol w:w="2489"/>
      <w:gridCol w:w="4598"/>
    </w:tblGrid>
    <w:tr w:rsidR="00F0243B" w14:paraId="1E429147" w14:textId="77777777">
      <w:tc>
        <w:tcPr>
          <w:tcW w:w="2489" w:type="dxa"/>
          <w:shd w:val="clear" w:color="auto" w:fill="auto"/>
        </w:tcPr>
        <w:p w14:paraId="6793977E"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42799C3" w14:textId="77777777" w:rsidR="00F0243B" w:rsidRDefault="0017139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00214/INFOEM/IP/RR/2024</w:t>
          </w:r>
        </w:p>
      </w:tc>
    </w:tr>
    <w:tr w:rsidR="00F0243B" w14:paraId="02C2C586" w14:textId="77777777">
      <w:trPr>
        <w:trHeight w:val="228"/>
      </w:trPr>
      <w:tc>
        <w:tcPr>
          <w:tcW w:w="2489" w:type="dxa"/>
          <w:shd w:val="clear" w:color="auto" w:fill="auto"/>
          <w:vAlign w:val="center"/>
        </w:tcPr>
        <w:p w14:paraId="7ACC168C"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289FD30" w14:textId="77777777" w:rsidR="00F0243B" w:rsidRDefault="0017139D">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F0243B" w14:paraId="56C744C4" w14:textId="77777777">
      <w:tc>
        <w:tcPr>
          <w:tcW w:w="2489" w:type="dxa"/>
          <w:shd w:val="clear" w:color="auto" w:fill="auto"/>
          <w:vAlign w:val="center"/>
        </w:tcPr>
        <w:p w14:paraId="05206A2C" w14:textId="77777777" w:rsidR="00F0243B" w:rsidRDefault="0017139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795BED8" w14:textId="77777777" w:rsidR="00F0243B" w:rsidRDefault="0017139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A5ED31" w14:textId="77777777" w:rsidR="00F0243B" w:rsidRDefault="0017139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30213" w14:textId="77777777" w:rsidR="00F0243B" w:rsidRDefault="0017139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A1D6181" wp14:editId="44325BD1">
          <wp:simplePos x="0" y="0"/>
          <wp:positionH relativeFrom="column">
            <wp:posOffset>-1079492</wp:posOffset>
          </wp:positionH>
          <wp:positionV relativeFrom="paragraph">
            <wp:posOffset>-328922</wp:posOffset>
          </wp:positionV>
          <wp:extent cx="7809865" cy="10165715"/>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F0243B" w14:paraId="0B85A609" w14:textId="77777777">
      <w:tc>
        <w:tcPr>
          <w:tcW w:w="2551" w:type="dxa"/>
          <w:shd w:val="clear" w:color="auto" w:fill="auto"/>
          <w:vAlign w:val="center"/>
        </w:tcPr>
        <w:p w14:paraId="1A837E94"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19BA7EA" w14:textId="77777777" w:rsidR="00F0243B" w:rsidRDefault="0017139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00214/INFOEM/IP/RR/2024</w:t>
          </w:r>
        </w:p>
      </w:tc>
    </w:tr>
    <w:tr w:rsidR="00F0243B" w14:paraId="63195CA2" w14:textId="77777777">
      <w:trPr>
        <w:trHeight w:val="130"/>
      </w:trPr>
      <w:tc>
        <w:tcPr>
          <w:tcW w:w="2551" w:type="dxa"/>
          <w:shd w:val="clear" w:color="auto" w:fill="auto"/>
          <w:vAlign w:val="center"/>
        </w:tcPr>
        <w:p w14:paraId="213F5B92"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16A8C1A4" w14:textId="0AF4DF22" w:rsidR="00F0243B" w:rsidRDefault="00345F4E" w:rsidP="00345F4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 XXXXX</w:t>
          </w:r>
        </w:p>
      </w:tc>
    </w:tr>
    <w:tr w:rsidR="00F0243B" w14:paraId="74DE1BCC" w14:textId="77777777">
      <w:trPr>
        <w:trHeight w:val="228"/>
      </w:trPr>
      <w:tc>
        <w:tcPr>
          <w:tcW w:w="2551" w:type="dxa"/>
          <w:shd w:val="clear" w:color="auto" w:fill="auto"/>
          <w:vAlign w:val="center"/>
        </w:tcPr>
        <w:p w14:paraId="5F03AB8F"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AD97EB1" w14:textId="77777777" w:rsidR="00F0243B" w:rsidRDefault="0017139D">
          <w:pPr>
            <w:ind w:left="-4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F0243B" w14:paraId="04D8DE53" w14:textId="77777777">
      <w:tc>
        <w:tcPr>
          <w:tcW w:w="2551" w:type="dxa"/>
          <w:shd w:val="clear" w:color="auto" w:fill="auto"/>
          <w:vAlign w:val="center"/>
        </w:tcPr>
        <w:p w14:paraId="07DD569A" w14:textId="77777777" w:rsidR="00F0243B" w:rsidRDefault="001713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514FFE3A" w14:textId="77777777" w:rsidR="00F0243B" w:rsidRDefault="0017139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D5D52C" w14:textId="77777777" w:rsidR="00F0243B" w:rsidRDefault="00F0243B">
    <w:pPr>
      <w:pBdr>
        <w:top w:val="nil"/>
        <w:left w:val="nil"/>
        <w:bottom w:val="nil"/>
        <w:right w:val="nil"/>
        <w:between w:val="nil"/>
      </w:pBdr>
      <w:tabs>
        <w:tab w:val="center" w:pos="4252"/>
        <w:tab w:val="right" w:pos="8504"/>
      </w:tabs>
      <w:rPr>
        <w:rFonts w:ascii="Cambria" w:eastAsia="Cambria" w:hAnsi="Cambria" w:cs="Cambria"/>
        <w:color w:val="000000"/>
      </w:rPr>
    </w:pPr>
  </w:p>
  <w:p w14:paraId="3C5FA33F" w14:textId="77777777" w:rsidR="00F0243B" w:rsidRDefault="00F024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81195"/>
    <w:multiLevelType w:val="multilevel"/>
    <w:tmpl w:val="53066C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CDC200B"/>
    <w:multiLevelType w:val="multilevel"/>
    <w:tmpl w:val="E74C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4607887"/>
    <w:multiLevelType w:val="multilevel"/>
    <w:tmpl w:val="28A6D6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67F02AF7"/>
    <w:multiLevelType w:val="multilevel"/>
    <w:tmpl w:val="135891E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7DD522AB"/>
    <w:multiLevelType w:val="multilevel"/>
    <w:tmpl w:val="3FBC9B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43B"/>
    <w:rsid w:val="0017139D"/>
    <w:rsid w:val="00345F4E"/>
    <w:rsid w:val="00367BA2"/>
    <w:rsid w:val="003E2BB8"/>
    <w:rsid w:val="00A017E6"/>
    <w:rsid w:val="00F024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45B8D"/>
  <w15:docId w15:val="{85FDFD56-7098-4E68-AE3B-5ACD8A71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302"/>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355FC9"/>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SdDHx0XPm60f+jIMJtpRjmWUg==">CgMxLjAyCWguMWZvYjl0ZTIIaC5namRneHMyCWguM2R5NnZrbTIJaC4zMGowemxsMgloLjJzOGV5bzEyCGgudHlqY3d0MgloLjN6bnlzaDcyCWguMmV0OTJwMDIJaC4xN2RwOHZ1Mg5oLmlqdjk4cG50Y2Q1czIJaC4yNmluMXJnMgloLjRkMzRvZzgyCWguM3JkY3JqbjIJaC4xdDNoNXNmOAByITFGdDVJZ1JDdFVWeHNZUE5GRVl5d0lCZlo3MVU4dUN6Qw==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8992</Words>
  <Characters>49456</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MARII</cp:lastModifiedBy>
  <cp:revision>2</cp:revision>
  <dcterms:created xsi:type="dcterms:W3CDTF">2024-07-07T16:46:00Z</dcterms:created>
  <dcterms:modified xsi:type="dcterms:W3CDTF">2024-07-07T16:46:00Z</dcterms:modified>
</cp:coreProperties>
</file>