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B06" w:rsidRDefault="00531B06">
      <w:pPr>
        <w:widowControl w:val="0"/>
        <w:pBdr>
          <w:top w:val="nil"/>
          <w:left w:val="nil"/>
          <w:bottom w:val="nil"/>
          <w:right w:val="nil"/>
          <w:between w:val="nil"/>
        </w:pBdr>
        <w:spacing w:line="276" w:lineRule="auto"/>
      </w:pPr>
    </w:p>
    <w:p w:rsidR="00531B06"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color w:val="000000"/>
          <w:sz w:val="22"/>
          <w:szCs w:val="22"/>
        </w:rPr>
        <w:t xml:space="preserve">Resolución del Pleno del Instituto de Transparencia, Acceso a la Información Pública y </w:t>
      </w:r>
      <w:r w:rsidRPr="004C44E4">
        <w:rPr>
          <w:rFonts w:ascii="Palatino Linotype" w:eastAsia="Palatino Linotype" w:hAnsi="Palatino Linotype" w:cs="Palatino Linotype"/>
          <w:sz w:val="22"/>
          <w:szCs w:val="22"/>
        </w:rPr>
        <w:t xml:space="preserve">Protección de Datos Personales del Estado de México y Municipios, con domicilio en Metepec, Estado de México, de fecha dieciséis de octubre de dos mil veinticuatro. </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both"/>
        <w:rPr>
          <w:rFonts w:ascii="Palatino Linotype" w:eastAsia="Palatino Linotype" w:hAnsi="Palatino Linotype" w:cs="Palatino Linotype"/>
          <w:b/>
          <w:color w:val="000000"/>
          <w:sz w:val="22"/>
          <w:szCs w:val="22"/>
        </w:rPr>
      </w:pPr>
      <w:r w:rsidRPr="004C44E4">
        <w:rPr>
          <w:rFonts w:ascii="Palatino Linotype" w:eastAsia="Palatino Linotype" w:hAnsi="Palatino Linotype" w:cs="Palatino Linotype"/>
          <w:b/>
          <w:color w:val="000000"/>
          <w:sz w:val="22"/>
          <w:szCs w:val="22"/>
        </w:rPr>
        <w:t xml:space="preserve">VISTO </w:t>
      </w:r>
      <w:r w:rsidRPr="004C44E4">
        <w:rPr>
          <w:rFonts w:ascii="Palatino Linotype" w:eastAsia="Palatino Linotype" w:hAnsi="Palatino Linotype" w:cs="Palatino Linotype"/>
          <w:color w:val="000000"/>
          <w:sz w:val="22"/>
          <w:szCs w:val="22"/>
        </w:rPr>
        <w:t xml:space="preserve">el expediente conformado con motivo del Recurso de Revisión </w:t>
      </w:r>
      <w:r w:rsidRPr="004C44E4">
        <w:rPr>
          <w:rFonts w:ascii="Palatino Linotype" w:eastAsia="Palatino Linotype" w:hAnsi="Palatino Linotype" w:cs="Palatino Linotype"/>
          <w:b/>
          <w:color w:val="000000"/>
          <w:sz w:val="22"/>
          <w:szCs w:val="22"/>
        </w:rPr>
        <w:t xml:space="preserve">05306/INFOEM/IP/RR/2024 </w:t>
      </w:r>
      <w:r w:rsidRPr="004C44E4">
        <w:rPr>
          <w:rFonts w:ascii="Palatino Linotype" w:eastAsia="Palatino Linotype" w:hAnsi="Palatino Linotype" w:cs="Palatino Linotype"/>
          <w:color w:val="000000"/>
          <w:sz w:val="22"/>
          <w:szCs w:val="22"/>
        </w:rPr>
        <w:t xml:space="preserve">interpuesto por </w:t>
      </w:r>
      <w:r w:rsidRPr="004C44E4">
        <w:rPr>
          <w:rFonts w:ascii="Palatino Linotype" w:eastAsia="Palatino Linotype" w:hAnsi="Palatino Linotype" w:cs="Palatino Linotype"/>
          <w:b/>
          <w:color w:val="000000"/>
          <w:sz w:val="22"/>
          <w:szCs w:val="22"/>
        </w:rPr>
        <w:t xml:space="preserve">un Particular, </w:t>
      </w:r>
      <w:r w:rsidRPr="004C44E4">
        <w:rPr>
          <w:rFonts w:ascii="Palatino Linotype" w:eastAsia="Palatino Linotype" w:hAnsi="Palatino Linotype" w:cs="Palatino Linotype"/>
          <w:color w:val="000000"/>
          <w:sz w:val="22"/>
          <w:szCs w:val="22"/>
        </w:rPr>
        <w:t xml:space="preserve">en lo subsecuente la persona </w:t>
      </w:r>
      <w:r w:rsidRPr="004C44E4">
        <w:rPr>
          <w:rFonts w:ascii="Palatino Linotype" w:eastAsia="Palatino Linotype" w:hAnsi="Palatino Linotype" w:cs="Palatino Linotype"/>
          <w:color w:val="0D0D0D"/>
          <w:sz w:val="22"/>
          <w:szCs w:val="22"/>
        </w:rPr>
        <w:t>Recurrente o Particular</w:t>
      </w:r>
      <w:r w:rsidRPr="004C44E4">
        <w:rPr>
          <w:rFonts w:ascii="Palatino Linotype" w:eastAsia="Palatino Linotype" w:hAnsi="Palatino Linotype" w:cs="Palatino Linotype"/>
          <w:color w:val="000000"/>
          <w:sz w:val="22"/>
          <w:szCs w:val="22"/>
        </w:rPr>
        <w:t xml:space="preserve">, en contra de la respuesta del Sujeto Obligado, </w:t>
      </w:r>
      <w:r w:rsidRPr="004C44E4">
        <w:rPr>
          <w:rFonts w:ascii="Palatino Linotype" w:eastAsia="Palatino Linotype" w:hAnsi="Palatino Linotype" w:cs="Palatino Linotype"/>
          <w:b/>
          <w:sz w:val="22"/>
          <w:szCs w:val="22"/>
        </w:rPr>
        <w:t>Comisión del Agua del Estado de M</w:t>
      </w:r>
      <w:r w:rsidRPr="004C44E4">
        <w:rPr>
          <w:rFonts w:ascii="Palatino Linotype" w:eastAsia="Palatino Linotype" w:hAnsi="Palatino Linotype" w:cs="Palatino Linotype"/>
          <w:b/>
          <w:sz w:val="22"/>
          <w:szCs w:val="22"/>
        </w:rPr>
        <w:t>éxico</w:t>
      </w:r>
      <w:r w:rsidRPr="004C44E4">
        <w:rPr>
          <w:rFonts w:ascii="Palatino Linotype" w:eastAsia="Palatino Linotype" w:hAnsi="Palatino Linotype" w:cs="Palatino Linotype"/>
          <w:color w:val="000000"/>
          <w:sz w:val="22"/>
          <w:szCs w:val="22"/>
        </w:rPr>
        <w:t>, se emite la presente resolución, con base en los antecedentes y considerandos que a continuación se exponen:</w:t>
      </w:r>
    </w:p>
    <w:p w:rsidR="00531B06" w:rsidRPr="004C44E4" w:rsidRDefault="00531B06">
      <w:pPr>
        <w:tabs>
          <w:tab w:val="left" w:pos="2835"/>
        </w:tabs>
        <w:spacing w:line="360" w:lineRule="auto"/>
        <w:ind w:right="-93"/>
        <w:jc w:val="both"/>
        <w:rPr>
          <w:rFonts w:ascii="Palatino Linotype" w:eastAsia="Palatino Linotype" w:hAnsi="Palatino Linotype" w:cs="Palatino Linotype"/>
          <w:sz w:val="22"/>
          <w:szCs w:val="22"/>
        </w:rPr>
      </w:pPr>
    </w:p>
    <w:p w:rsidR="00531B06" w:rsidRPr="004C44E4" w:rsidRDefault="003B4598">
      <w:pPr>
        <w:spacing w:line="360" w:lineRule="auto"/>
        <w:ind w:right="-93"/>
        <w:jc w:val="center"/>
        <w:rPr>
          <w:rFonts w:ascii="Palatino Linotype" w:eastAsia="Palatino Linotype" w:hAnsi="Palatino Linotype" w:cs="Palatino Linotype"/>
          <w:b/>
          <w:sz w:val="22"/>
          <w:szCs w:val="22"/>
        </w:rPr>
      </w:pPr>
      <w:r w:rsidRPr="004C44E4">
        <w:rPr>
          <w:rFonts w:ascii="Palatino Linotype" w:eastAsia="Palatino Linotype" w:hAnsi="Palatino Linotype" w:cs="Palatino Linotype"/>
          <w:b/>
          <w:sz w:val="22"/>
          <w:szCs w:val="22"/>
        </w:rPr>
        <w:t>A N T E C E D E N T E S</w:t>
      </w:r>
    </w:p>
    <w:p w:rsidR="00531B06" w:rsidRPr="004C44E4" w:rsidRDefault="00531B06">
      <w:pPr>
        <w:spacing w:line="360" w:lineRule="auto"/>
        <w:ind w:right="-93"/>
        <w:jc w:val="both"/>
        <w:rPr>
          <w:rFonts w:ascii="Palatino Linotype" w:eastAsia="Palatino Linotype" w:hAnsi="Palatino Linotype" w:cs="Palatino Linotype"/>
          <w:sz w:val="22"/>
          <w:szCs w:val="22"/>
        </w:rPr>
      </w:pPr>
    </w:p>
    <w:p w:rsidR="00531B06" w:rsidRPr="004C44E4" w:rsidRDefault="003B4598">
      <w:pPr>
        <w:tabs>
          <w:tab w:val="left" w:pos="567"/>
        </w:tabs>
        <w:spacing w:line="360" w:lineRule="auto"/>
        <w:jc w:val="both"/>
        <w:rPr>
          <w:rFonts w:ascii="Palatino Linotype" w:eastAsia="Palatino Linotype" w:hAnsi="Palatino Linotype" w:cs="Palatino Linotype"/>
          <w:b/>
          <w:sz w:val="22"/>
          <w:szCs w:val="22"/>
        </w:rPr>
      </w:pPr>
      <w:r w:rsidRPr="004C44E4">
        <w:rPr>
          <w:rFonts w:ascii="Palatino Linotype" w:eastAsia="Palatino Linotype" w:hAnsi="Palatino Linotype" w:cs="Palatino Linotype"/>
          <w:b/>
          <w:sz w:val="22"/>
          <w:szCs w:val="22"/>
        </w:rPr>
        <w:t>I. Presentación de la solicitud de información</w:t>
      </w:r>
    </w:p>
    <w:p w:rsidR="00531B06" w:rsidRPr="004C44E4" w:rsidRDefault="00531B06">
      <w:pPr>
        <w:tabs>
          <w:tab w:val="left" w:pos="567"/>
        </w:tabs>
        <w:spacing w:line="360" w:lineRule="auto"/>
        <w:jc w:val="both"/>
        <w:rPr>
          <w:rFonts w:ascii="Palatino Linotype" w:eastAsia="Palatino Linotype" w:hAnsi="Palatino Linotype" w:cs="Palatino Linotype"/>
          <w:sz w:val="22"/>
          <w:szCs w:val="22"/>
        </w:rPr>
      </w:pPr>
    </w:p>
    <w:p w:rsidR="00531B06" w:rsidRPr="004C44E4" w:rsidRDefault="003B4598">
      <w:p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color w:val="000000"/>
          <w:sz w:val="22"/>
          <w:szCs w:val="22"/>
        </w:rPr>
        <w:t>Con fecha ocho de julio de dos mil veinticuatro, un Particular pre</w:t>
      </w:r>
      <w:r w:rsidRPr="004C44E4">
        <w:rPr>
          <w:rFonts w:ascii="Palatino Linotype" w:eastAsia="Palatino Linotype" w:hAnsi="Palatino Linotype" w:cs="Palatino Linotype"/>
          <w:color w:val="000000"/>
          <w:sz w:val="22"/>
          <w:szCs w:val="22"/>
        </w:rPr>
        <w:t xml:space="preserve">sentó una solicitud de acceso a la información pública, a través del Sistema de Acceso a la Información Mexiquense, en lo sucesivo el SAIMEX, ante el </w:t>
      </w:r>
      <w:r w:rsidRPr="004C44E4">
        <w:rPr>
          <w:rFonts w:ascii="Palatino Linotype" w:eastAsia="Palatino Linotype" w:hAnsi="Palatino Linotype" w:cs="Palatino Linotype"/>
          <w:sz w:val="22"/>
          <w:szCs w:val="22"/>
        </w:rPr>
        <w:t>Comisión del Agua del Estado de México</w:t>
      </w:r>
      <w:r w:rsidRPr="004C44E4">
        <w:rPr>
          <w:rFonts w:ascii="Palatino Linotype" w:eastAsia="Palatino Linotype" w:hAnsi="Palatino Linotype" w:cs="Palatino Linotype"/>
          <w:color w:val="000000"/>
          <w:sz w:val="22"/>
          <w:szCs w:val="22"/>
        </w:rPr>
        <w:t xml:space="preserve">, </w:t>
      </w:r>
      <w:r w:rsidRPr="004C44E4">
        <w:rPr>
          <w:rFonts w:ascii="Palatino Linotype" w:eastAsia="Palatino Linotype" w:hAnsi="Palatino Linotype" w:cs="Palatino Linotype"/>
          <w:sz w:val="22"/>
          <w:szCs w:val="22"/>
        </w:rPr>
        <w:t>en la que requirió:</w:t>
      </w:r>
    </w:p>
    <w:p w:rsidR="00531B06" w:rsidRPr="004C44E4" w:rsidRDefault="00531B06">
      <w:pPr>
        <w:spacing w:line="360" w:lineRule="auto"/>
        <w:ind w:right="567"/>
        <w:rPr>
          <w:rFonts w:ascii="Palatino Linotype" w:eastAsia="Palatino Linotype" w:hAnsi="Palatino Linotype" w:cs="Palatino Linotype"/>
          <w:b/>
          <w:sz w:val="22"/>
          <w:szCs w:val="22"/>
        </w:rPr>
      </w:pPr>
    </w:p>
    <w:p w:rsidR="00531B06" w:rsidRPr="004C44E4" w:rsidRDefault="003B4598">
      <w:pPr>
        <w:tabs>
          <w:tab w:val="left" w:pos="567"/>
        </w:tabs>
        <w:spacing w:line="360" w:lineRule="auto"/>
        <w:ind w:left="567" w:right="539"/>
        <w:jc w:val="both"/>
        <w:rPr>
          <w:rFonts w:ascii="Palatino Linotype" w:eastAsia="Palatino Linotype" w:hAnsi="Palatino Linotype" w:cs="Palatino Linotype"/>
          <w:b/>
        </w:rPr>
      </w:pPr>
      <w:r w:rsidRPr="004C44E4">
        <w:rPr>
          <w:rFonts w:ascii="Palatino Linotype" w:eastAsia="Palatino Linotype" w:hAnsi="Palatino Linotype" w:cs="Palatino Linotype"/>
          <w:b/>
        </w:rPr>
        <w:t>Folio de la solicitud: 00340/CAEM/IP/2024</w:t>
      </w:r>
    </w:p>
    <w:p w:rsidR="00531B06" w:rsidRPr="004C44E4" w:rsidRDefault="003B4598">
      <w:pPr>
        <w:tabs>
          <w:tab w:val="left" w:pos="567"/>
        </w:tabs>
        <w:spacing w:line="360" w:lineRule="auto"/>
        <w:ind w:left="567" w:right="539"/>
        <w:jc w:val="both"/>
        <w:rPr>
          <w:rFonts w:ascii="Palatino Linotype" w:eastAsia="Palatino Linotype" w:hAnsi="Palatino Linotype" w:cs="Palatino Linotype"/>
          <w:b/>
        </w:rPr>
      </w:pPr>
      <w:r w:rsidRPr="004C44E4">
        <w:rPr>
          <w:rFonts w:ascii="Palatino Linotype" w:eastAsia="Palatino Linotype" w:hAnsi="Palatino Linotype" w:cs="Palatino Linotype"/>
          <w:b/>
        </w:rPr>
        <w:t>DESCRIPCIÓN CLARA Y PRECISA DE LA INFORMACIÓN SOLICITADA</w:t>
      </w:r>
    </w:p>
    <w:p w:rsidR="00531B06" w:rsidRPr="004C44E4" w:rsidRDefault="003B4598">
      <w:pPr>
        <w:tabs>
          <w:tab w:val="left" w:pos="567"/>
        </w:tabs>
        <w:spacing w:line="360" w:lineRule="auto"/>
        <w:ind w:left="567" w:right="567"/>
        <w:jc w:val="both"/>
        <w:rPr>
          <w:rFonts w:ascii="Palatino Linotype" w:eastAsia="Palatino Linotype" w:hAnsi="Palatino Linotype" w:cs="Palatino Linotype"/>
          <w:i/>
        </w:rPr>
      </w:pPr>
      <w:r w:rsidRPr="004C44E4">
        <w:rPr>
          <w:rFonts w:ascii="Palatino Linotype" w:eastAsia="Palatino Linotype" w:hAnsi="Palatino Linotype" w:cs="Palatino Linotype"/>
          <w:i/>
        </w:rPr>
        <w:t>“</w:t>
      </w:r>
      <w:proofErr w:type="spellStart"/>
      <w:r w:rsidRPr="004C44E4">
        <w:rPr>
          <w:rFonts w:ascii="Palatino Linotype" w:eastAsia="Palatino Linotype" w:hAnsi="Palatino Linotype" w:cs="Palatino Linotype"/>
          <w:i/>
        </w:rPr>
        <w:t>informacion</w:t>
      </w:r>
      <w:proofErr w:type="spellEnd"/>
      <w:r w:rsidRPr="004C44E4">
        <w:rPr>
          <w:rFonts w:ascii="Palatino Linotype" w:eastAsia="Palatino Linotype" w:hAnsi="Palatino Linotype" w:cs="Palatino Linotype"/>
          <w:i/>
        </w:rPr>
        <w:t xml:space="preserve"> solicitada a la </w:t>
      </w:r>
      <w:proofErr w:type="spellStart"/>
      <w:r w:rsidRPr="004C44E4">
        <w:rPr>
          <w:rFonts w:ascii="Palatino Linotype" w:eastAsia="Palatino Linotype" w:hAnsi="Palatino Linotype" w:cs="Palatino Linotype"/>
          <w:b/>
          <w:i/>
        </w:rPr>
        <w:t>umai</w:t>
      </w:r>
      <w:proofErr w:type="spellEnd"/>
      <w:r w:rsidRPr="004C44E4">
        <w:rPr>
          <w:rFonts w:ascii="Palatino Linotype" w:eastAsia="Palatino Linotype" w:hAnsi="Palatino Linotype" w:cs="Palatino Linotype"/>
          <w:b/>
          <w:i/>
        </w:rPr>
        <w:t xml:space="preserve"> así como a la </w:t>
      </w:r>
      <w:proofErr w:type="spellStart"/>
      <w:r w:rsidRPr="004C44E4">
        <w:rPr>
          <w:rFonts w:ascii="Palatino Linotype" w:eastAsia="Palatino Linotype" w:hAnsi="Palatino Linotype" w:cs="Palatino Linotype"/>
          <w:b/>
          <w:i/>
        </w:rPr>
        <w:t>contraloria</w:t>
      </w:r>
      <w:proofErr w:type="spellEnd"/>
      <w:r w:rsidRPr="004C44E4">
        <w:rPr>
          <w:rFonts w:ascii="Palatino Linotype" w:eastAsia="Palatino Linotype" w:hAnsi="Palatino Linotype" w:cs="Palatino Linotype"/>
          <w:b/>
          <w:i/>
        </w:rPr>
        <w:t xml:space="preserve"> interna de la </w:t>
      </w:r>
      <w:proofErr w:type="spellStart"/>
      <w:r w:rsidRPr="004C44E4">
        <w:rPr>
          <w:rFonts w:ascii="Palatino Linotype" w:eastAsia="Palatino Linotype" w:hAnsi="Palatino Linotype" w:cs="Palatino Linotype"/>
          <w:b/>
          <w:i/>
        </w:rPr>
        <w:t>Caem</w:t>
      </w:r>
      <w:proofErr w:type="spellEnd"/>
      <w:r w:rsidRPr="004C44E4">
        <w:rPr>
          <w:rFonts w:ascii="Palatino Linotype" w:eastAsia="Palatino Linotype" w:hAnsi="Palatino Linotype" w:cs="Palatino Linotype"/>
          <w:i/>
        </w:rPr>
        <w:t xml:space="preserve"> solicito el </w:t>
      </w:r>
      <w:proofErr w:type="spellStart"/>
      <w:r w:rsidRPr="004C44E4">
        <w:rPr>
          <w:rFonts w:ascii="Palatino Linotype" w:eastAsia="Palatino Linotype" w:hAnsi="Palatino Linotype" w:cs="Palatino Linotype"/>
          <w:i/>
        </w:rPr>
        <w:t>numero</w:t>
      </w:r>
      <w:proofErr w:type="spellEnd"/>
      <w:r w:rsidRPr="004C44E4">
        <w:rPr>
          <w:rFonts w:ascii="Palatino Linotype" w:eastAsia="Palatino Linotype" w:hAnsi="Palatino Linotype" w:cs="Palatino Linotype"/>
          <w:i/>
        </w:rPr>
        <w:t xml:space="preserve"> real de vehículos directos asignados y. que servidor </w:t>
      </w:r>
      <w:proofErr w:type="spellStart"/>
      <w:r w:rsidRPr="004C44E4">
        <w:rPr>
          <w:rFonts w:ascii="Palatino Linotype" w:eastAsia="Palatino Linotype" w:hAnsi="Palatino Linotype" w:cs="Palatino Linotype"/>
          <w:i/>
        </w:rPr>
        <w:t>publico</w:t>
      </w:r>
      <w:proofErr w:type="spellEnd"/>
      <w:r w:rsidRPr="004C44E4">
        <w:rPr>
          <w:rFonts w:ascii="Palatino Linotype" w:eastAsia="Palatino Linotype" w:hAnsi="Palatino Linotype" w:cs="Palatino Linotype"/>
          <w:i/>
        </w:rPr>
        <w:t xml:space="preserve"> lo usa, a la </w:t>
      </w:r>
      <w:proofErr w:type="spellStart"/>
      <w:r w:rsidRPr="004C44E4">
        <w:rPr>
          <w:rFonts w:ascii="Palatino Linotype" w:eastAsia="Palatino Linotype" w:hAnsi="Palatino Linotype" w:cs="Palatino Linotype"/>
          <w:i/>
        </w:rPr>
        <w:t>umai</w:t>
      </w:r>
      <w:proofErr w:type="spellEnd"/>
      <w:r w:rsidRPr="004C44E4">
        <w:rPr>
          <w:rFonts w:ascii="Palatino Linotype" w:eastAsia="Palatino Linotype" w:hAnsi="Palatino Linotype" w:cs="Palatino Linotype"/>
          <w:i/>
        </w:rPr>
        <w:t xml:space="preserve">, así como la lista de </w:t>
      </w:r>
      <w:r w:rsidRPr="004C44E4">
        <w:rPr>
          <w:rFonts w:ascii="Palatino Linotype" w:eastAsia="Palatino Linotype" w:hAnsi="Palatino Linotype" w:cs="Palatino Linotype"/>
          <w:i/>
        </w:rPr>
        <w:t xml:space="preserve">vehículos operativos y a quienes están asignados, dotación mensual combustible de cada vehículo así como los tickets de gasto de combustible junto con la bitácora, cuantos </w:t>
      </w:r>
      <w:proofErr w:type="spellStart"/>
      <w:r w:rsidRPr="004C44E4">
        <w:rPr>
          <w:rFonts w:ascii="Palatino Linotype" w:eastAsia="Palatino Linotype" w:hAnsi="Palatino Linotype" w:cs="Palatino Linotype"/>
          <w:i/>
        </w:rPr>
        <w:t>tag</w:t>
      </w:r>
      <w:proofErr w:type="spellEnd"/>
      <w:r w:rsidRPr="004C44E4">
        <w:rPr>
          <w:rFonts w:ascii="Palatino Linotype" w:eastAsia="Palatino Linotype" w:hAnsi="Palatino Linotype" w:cs="Palatino Linotype"/>
          <w:i/>
        </w:rPr>
        <w:t xml:space="preserve"> tiene asignado el jefe de la </w:t>
      </w:r>
      <w:proofErr w:type="spellStart"/>
      <w:r w:rsidRPr="004C44E4">
        <w:rPr>
          <w:rFonts w:ascii="Palatino Linotype" w:eastAsia="Palatino Linotype" w:hAnsi="Palatino Linotype" w:cs="Palatino Linotype"/>
          <w:i/>
        </w:rPr>
        <w:t>umai</w:t>
      </w:r>
      <w:proofErr w:type="spellEnd"/>
      <w:r w:rsidRPr="004C44E4">
        <w:rPr>
          <w:rFonts w:ascii="Palatino Linotype" w:eastAsia="Palatino Linotype" w:hAnsi="Palatino Linotype" w:cs="Palatino Linotype"/>
          <w:i/>
        </w:rPr>
        <w:t xml:space="preserve"> así como los temas vehículos dotación de </w:t>
      </w:r>
      <w:proofErr w:type="spellStart"/>
      <w:r w:rsidRPr="004C44E4">
        <w:rPr>
          <w:rFonts w:ascii="Palatino Linotype" w:eastAsia="Palatino Linotype" w:hAnsi="Palatino Linotype" w:cs="Palatino Linotype"/>
          <w:i/>
        </w:rPr>
        <w:t>tag</w:t>
      </w:r>
      <w:proofErr w:type="spellEnd"/>
      <w:r w:rsidRPr="004C44E4">
        <w:rPr>
          <w:rFonts w:ascii="Palatino Linotype" w:eastAsia="Palatino Linotype" w:hAnsi="Palatino Linotype" w:cs="Palatino Linotype"/>
          <w:i/>
        </w:rPr>
        <w:t xml:space="preserve"> d</w:t>
      </w:r>
      <w:r w:rsidRPr="004C44E4">
        <w:rPr>
          <w:rFonts w:ascii="Palatino Linotype" w:eastAsia="Palatino Linotype" w:hAnsi="Palatino Linotype" w:cs="Palatino Linotype"/>
          <w:i/>
        </w:rPr>
        <w:t xml:space="preserve">e cada vehículo así como los cruces </w:t>
      </w:r>
      <w:r w:rsidRPr="004C44E4">
        <w:rPr>
          <w:rFonts w:ascii="Palatino Linotype" w:eastAsia="Palatino Linotype" w:hAnsi="Palatino Linotype" w:cs="Palatino Linotype"/>
          <w:i/>
        </w:rPr>
        <w:lastRenderedPageBreak/>
        <w:t xml:space="preserve">para comprobación del gasto (no es </w:t>
      </w:r>
      <w:proofErr w:type="spellStart"/>
      <w:r w:rsidRPr="004C44E4">
        <w:rPr>
          <w:rFonts w:ascii="Palatino Linotype" w:eastAsia="Palatino Linotype" w:hAnsi="Palatino Linotype" w:cs="Palatino Linotype"/>
          <w:i/>
        </w:rPr>
        <w:t>inaormcacio</w:t>
      </w:r>
      <w:proofErr w:type="spellEnd"/>
      <w:r w:rsidRPr="004C44E4">
        <w:rPr>
          <w:rFonts w:ascii="Palatino Linotype" w:eastAsia="Palatino Linotype" w:hAnsi="Palatino Linotype" w:cs="Palatino Linotype"/>
          <w:i/>
        </w:rPr>
        <w:t xml:space="preserve"> reservada ni confidencial y el sistema te permite ver los cruces)”</w:t>
      </w:r>
    </w:p>
    <w:p w:rsidR="00531B06" w:rsidRPr="004C44E4" w:rsidRDefault="00531B06">
      <w:pPr>
        <w:tabs>
          <w:tab w:val="left" w:pos="567"/>
        </w:tabs>
        <w:spacing w:line="360" w:lineRule="auto"/>
        <w:ind w:left="567" w:right="567"/>
        <w:rPr>
          <w:rFonts w:ascii="Palatino Linotype" w:eastAsia="Palatino Linotype" w:hAnsi="Palatino Linotype" w:cs="Palatino Linotype"/>
          <w:i/>
        </w:rPr>
      </w:pPr>
    </w:p>
    <w:p w:rsidR="00531B06" w:rsidRPr="004C44E4" w:rsidRDefault="003B4598">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color w:val="000000"/>
        </w:rPr>
      </w:pPr>
      <w:r w:rsidRPr="004C44E4">
        <w:rPr>
          <w:rFonts w:ascii="Palatino Linotype" w:eastAsia="Palatino Linotype" w:hAnsi="Palatino Linotype" w:cs="Palatino Linotype"/>
          <w:b/>
          <w:color w:val="000000"/>
        </w:rPr>
        <w:t>MODALIDAD DE ENTREGA</w:t>
      </w:r>
    </w:p>
    <w:p w:rsidR="00531B06" w:rsidRPr="004C44E4" w:rsidRDefault="003B4598">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4C44E4">
        <w:rPr>
          <w:rFonts w:ascii="Palatino Linotype" w:eastAsia="Palatino Linotype" w:hAnsi="Palatino Linotype" w:cs="Palatino Linotype"/>
          <w:i/>
          <w:color w:val="000000"/>
        </w:rPr>
        <w:t>“A través del SAIMEX”</w:t>
      </w:r>
    </w:p>
    <w:p w:rsidR="00531B06" w:rsidRPr="004C44E4" w:rsidRDefault="00531B06">
      <w:pPr>
        <w:spacing w:line="360" w:lineRule="auto"/>
        <w:jc w:val="both"/>
        <w:rPr>
          <w:rFonts w:ascii="Palatino Linotype" w:eastAsia="Palatino Linotype" w:hAnsi="Palatino Linotype" w:cs="Palatino Linotype"/>
          <w:b/>
          <w:color w:val="000000"/>
          <w:sz w:val="22"/>
          <w:szCs w:val="22"/>
        </w:rPr>
      </w:pPr>
    </w:p>
    <w:p w:rsidR="00531B06" w:rsidRPr="004C44E4" w:rsidRDefault="003B4598">
      <w:pPr>
        <w:spacing w:line="360" w:lineRule="auto"/>
        <w:jc w:val="both"/>
        <w:rPr>
          <w:rFonts w:ascii="Palatino Linotype" w:eastAsia="Palatino Linotype" w:hAnsi="Palatino Linotype" w:cs="Palatino Linotype"/>
          <w:b/>
          <w:color w:val="000000"/>
          <w:sz w:val="22"/>
          <w:szCs w:val="22"/>
        </w:rPr>
      </w:pPr>
      <w:r w:rsidRPr="004C44E4">
        <w:rPr>
          <w:rFonts w:ascii="Palatino Linotype" w:eastAsia="Palatino Linotype" w:hAnsi="Palatino Linotype" w:cs="Palatino Linotype"/>
          <w:b/>
          <w:color w:val="000000"/>
          <w:sz w:val="22"/>
          <w:szCs w:val="22"/>
        </w:rPr>
        <w:t>II. Respuesta del Sujeto Obligado</w:t>
      </w:r>
    </w:p>
    <w:p w:rsidR="00531B06" w:rsidRPr="004C44E4" w:rsidRDefault="00531B06">
      <w:pPr>
        <w:spacing w:line="360" w:lineRule="auto"/>
        <w:jc w:val="both"/>
        <w:rPr>
          <w:rFonts w:ascii="Palatino Linotype" w:eastAsia="Palatino Linotype" w:hAnsi="Palatino Linotype" w:cs="Palatino Linotype"/>
          <w:b/>
          <w:color w:val="000000"/>
          <w:sz w:val="22"/>
          <w:szCs w:val="22"/>
        </w:rPr>
      </w:pPr>
    </w:p>
    <w:p w:rsidR="00531B06" w:rsidRPr="004C44E4" w:rsidRDefault="003B4598">
      <w:pPr>
        <w:tabs>
          <w:tab w:val="left" w:pos="567"/>
        </w:tabs>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t xml:space="preserve">Con fecha veintiuno de agosto de dos mil veinticuatro, el Sujeto Obligado notificó la respuesta a la solicitud de acceso a la información, a través del SAIMEX, en los siguientes términos: </w:t>
      </w:r>
    </w:p>
    <w:p w:rsidR="00531B06" w:rsidRPr="004C44E4" w:rsidRDefault="00531B06">
      <w:pPr>
        <w:tabs>
          <w:tab w:val="left" w:pos="567"/>
        </w:tabs>
        <w:spacing w:line="360" w:lineRule="auto"/>
        <w:jc w:val="both"/>
        <w:rPr>
          <w:rFonts w:ascii="Palatino Linotype" w:eastAsia="Palatino Linotype" w:hAnsi="Palatino Linotype" w:cs="Palatino Linotype"/>
          <w:sz w:val="22"/>
          <w:szCs w:val="22"/>
        </w:rPr>
      </w:pPr>
    </w:p>
    <w:p w:rsidR="00531B06" w:rsidRPr="004C44E4" w:rsidRDefault="003B4598">
      <w:pPr>
        <w:numPr>
          <w:ilvl w:val="0"/>
          <w:numId w:val="2"/>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i/>
          <w:color w:val="000000"/>
          <w:sz w:val="22"/>
          <w:szCs w:val="22"/>
        </w:rPr>
      </w:pPr>
      <w:r w:rsidRPr="004C44E4">
        <w:rPr>
          <w:rFonts w:ascii="Palatino Linotype" w:eastAsia="Palatino Linotype" w:hAnsi="Palatino Linotype" w:cs="Palatino Linotype"/>
          <w:b/>
          <w:i/>
          <w:color w:val="000000"/>
          <w:sz w:val="22"/>
          <w:szCs w:val="22"/>
        </w:rPr>
        <w:t xml:space="preserve">00340.pdf </w:t>
      </w:r>
      <w:r w:rsidRPr="004C44E4">
        <w:rPr>
          <w:rFonts w:ascii="Palatino Linotype" w:eastAsia="Palatino Linotype" w:hAnsi="Palatino Linotype" w:cs="Palatino Linotype"/>
          <w:b/>
          <w:color w:val="000000"/>
          <w:sz w:val="22"/>
          <w:szCs w:val="22"/>
        </w:rPr>
        <w:t xml:space="preserve">; </w:t>
      </w:r>
      <w:r w:rsidRPr="004C44E4">
        <w:rPr>
          <w:rFonts w:ascii="Palatino Linotype" w:eastAsia="Palatino Linotype" w:hAnsi="Palatino Linotype" w:cs="Palatino Linotype"/>
          <w:color w:val="000000"/>
          <w:sz w:val="22"/>
          <w:szCs w:val="22"/>
        </w:rPr>
        <w:t xml:space="preserve">del que se observan dos oficios; </w:t>
      </w:r>
    </w:p>
    <w:p w:rsidR="00531B06" w:rsidRPr="004C44E4" w:rsidRDefault="003B4598">
      <w:pPr>
        <w:numPr>
          <w:ilvl w:val="1"/>
          <w:numId w:val="2"/>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i/>
          <w:color w:val="000000"/>
          <w:sz w:val="22"/>
          <w:szCs w:val="22"/>
        </w:rPr>
      </w:pPr>
      <w:r w:rsidRPr="004C44E4">
        <w:rPr>
          <w:rFonts w:ascii="Palatino Linotype" w:eastAsia="Palatino Linotype" w:hAnsi="Palatino Linotype" w:cs="Palatino Linotype"/>
          <w:color w:val="000000"/>
          <w:sz w:val="22"/>
          <w:szCs w:val="22"/>
        </w:rPr>
        <w:t xml:space="preserve">El oficio 219C0110010000S/01684/2024, suscrito por la Titular de la Unidad de Transparencia, en el que remitió la respuesta emitida por la Unidad de Modernización Administrativa e Informática. </w:t>
      </w:r>
    </w:p>
    <w:p w:rsidR="00531B06" w:rsidRPr="004C44E4" w:rsidRDefault="003B4598">
      <w:pPr>
        <w:numPr>
          <w:ilvl w:val="1"/>
          <w:numId w:val="2"/>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i/>
          <w:color w:val="000000"/>
          <w:sz w:val="22"/>
          <w:szCs w:val="22"/>
        </w:rPr>
      </w:pPr>
      <w:r w:rsidRPr="004C44E4">
        <w:rPr>
          <w:rFonts w:ascii="Palatino Linotype" w:eastAsia="Palatino Linotype" w:hAnsi="Palatino Linotype" w:cs="Palatino Linotype"/>
          <w:color w:val="000000"/>
          <w:sz w:val="22"/>
          <w:szCs w:val="22"/>
        </w:rPr>
        <w:t xml:space="preserve">Oficio 219C0110010100S/01682/2024, suscrito por la Titular de </w:t>
      </w:r>
      <w:r w:rsidRPr="004C44E4">
        <w:rPr>
          <w:rFonts w:ascii="Palatino Linotype" w:eastAsia="Palatino Linotype" w:hAnsi="Palatino Linotype" w:cs="Palatino Linotype"/>
          <w:color w:val="000000"/>
          <w:sz w:val="22"/>
          <w:szCs w:val="22"/>
        </w:rPr>
        <w:t>la Unidad de Modernización Administrativa e Informática, en el que señala que se adjunta un Excel con el número real de vehículos asignados a la unidad y los resguardos de cada uno de ellos al mes de julio, así como el acuse de entrega a la subdirección de</w:t>
      </w:r>
      <w:r w:rsidRPr="004C44E4">
        <w:rPr>
          <w:rFonts w:ascii="Palatino Linotype" w:eastAsia="Palatino Linotype" w:hAnsi="Palatino Linotype" w:cs="Palatino Linotype"/>
          <w:color w:val="000000"/>
          <w:sz w:val="22"/>
          <w:szCs w:val="22"/>
        </w:rPr>
        <w:t xml:space="preserve"> servicios con la dotación mensual de combustible de cada vehículo del mes de julio; así como la bitácora y tickets de los 4 vehículos de la unidad correspondientes al periodo del 2023 a julio 2024; e informó que se cuenta con 2 </w:t>
      </w:r>
      <w:proofErr w:type="spellStart"/>
      <w:r w:rsidRPr="004C44E4">
        <w:rPr>
          <w:rFonts w:ascii="Palatino Linotype" w:eastAsia="Palatino Linotype" w:hAnsi="Palatino Linotype" w:cs="Palatino Linotype"/>
          <w:color w:val="000000"/>
          <w:sz w:val="22"/>
          <w:szCs w:val="22"/>
        </w:rPr>
        <w:t>Tags</w:t>
      </w:r>
      <w:proofErr w:type="spellEnd"/>
      <w:r w:rsidRPr="004C44E4">
        <w:rPr>
          <w:rFonts w:ascii="Palatino Linotype" w:eastAsia="Palatino Linotype" w:hAnsi="Palatino Linotype" w:cs="Palatino Linotype"/>
          <w:color w:val="000000"/>
          <w:sz w:val="22"/>
          <w:szCs w:val="22"/>
        </w:rPr>
        <w:t xml:space="preserve"> para la unidad y se ad</w:t>
      </w:r>
      <w:r w:rsidRPr="004C44E4">
        <w:rPr>
          <w:rFonts w:ascii="Palatino Linotype" w:eastAsia="Palatino Linotype" w:hAnsi="Palatino Linotype" w:cs="Palatino Linotype"/>
          <w:color w:val="000000"/>
          <w:sz w:val="22"/>
          <w:szCs w:val="22"/>
        </w:rPr>
        <w:t xml:space="preserve">junta el archivo Excel de los últimos movimientos. </w:t>
      </w:r>
    </w:p>
    <w:p w:rsidR="00531B06" w:rsidRPr="004C44E4" w:rsidRDefault="003B4598">
      <w:pPr>
        <w:numPr>
          <w:ilvl w:val="0"/>
          <w:numId w:val="2"/>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i/>
          <w:color w:val="000000"/>
          <w:sz w:val="22"/>
          <w:szCs w:val="22"/>
        </w:rPr>
      </w:pPr>
      <w:r w:rsidRPr="004C44E4">
        <w:rPr>
          <w:rFonts w:ascii="Palatino Linotype" w:eastAsia="Palatino Linotype" w:hAnsi="Palatino Linotype" w:cs="Palatino Linotype"/>
          <w:b/>
          <w:i/>
          <w:color w:val="000000"/>
          <w:sz w:val="22"/>
          <w:szCs w:val="22"/>
        </w:rPr>
        <w:t xml:space="preserve">Anexo </w:t>
      </w:r>
      <w:proofErr w:type="spellStart"/>
      <w:r w:rsidRPr="004C44E4">
        <w:rPr>
          <w:rFonts w:ascii="Palatino Linotype" w:eastAsia="Palatino Linotype" w:hAnsi="Palatino Linotype" w:cs="Palatino Linotype"/>
          <w:b/>
          <w:i/>
          <w:color w:val="000000"/>
          <w:sz w:val="22"/>
          <w:szCs w:val="22"/>
        </w:rPr>
        <w:t>saimex</w:t>
      </w:r>
      <w:proofErr w:type="spellEnd"/>
      <w:r w:rsidRPr="004C44E4">
        <w:rPr>
          <w:rFonts w:ascii="Palatino Linotype" w:eastAsia="Palatino Linotype" w:hAnsi="Palatino Linotype" w:cs="Palatino Linotype"/>
          <w:b/>
          <w:i/>
          <w:color w:val="000000"/>
          <w:sz w:val="22"/>
          <w:szCs w:val="22"/>
        </w:rPr>
        <w:t xml:space="preserve"> 340.zip, </w:t>
      </w:r>
      <w:r w:rsidRPr="004C44E4">
        <w:rPr>
          <w:rFonts w:ascii="Palatino Linotype" w:eastAsia="Palatino Linotype" w:hAnsi="Palatino Linotype" w:cs="Palatino Linotype"/>
          <w:color w:val="000000"/>
          <w:sz w:val="22"/>
          <w:szCs w:val="22"/>
        </w:rPr>
        <w:t>del que se desprenden los siguientes:</w:t>
      </w:r>
    </w:p>
    <w:p w:rsidR="00531B06" w:rsidRPr="004C44E4" w:rsidRDefault="003B4598">
      <w:pPr>
        <w:numPr>
          <w:ilvl w:val="1"/>
          <w:numId w:val="2"/>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i/>
          <w:color w:val="000000"/>
          <w:sz w:val="22"/>
          <w:szCs w:val="22"/>
        </w:rPr>
      </w:pPr>
      <w:r w:rsidRPr="004C44E4">
        <w:rPr>
          <w:rFonts w:ascii="Palatino Linotype" w:eastAsia="Palatino Linotype" w:hAnsi="Palatino Linotype" w:cs="Palatino Linotype"/>
          <w:b/>
          <w:i/>
          <w:color w:val="000000"/>
          <w:sz w:val="22"/>
          <w:szCs w:val="22"/>
        </w:rPr>
        <w:lastRenderedPageBreak/>
        <w:t xml:space="preserve">VEHICULOS ASIGNADOS A LA UNIDAD DE MODERNIZACIÓN ADMINISTRATIVA E INFORMÁTICA, </w:t>
      </w:r>
      <w:r w:rsidRPr="004C44E4">
        <w:rPr>
          <w:rFonts w:ascii="Palatino Linotype" w:eastAsia="Palatino Linotype" w:hAnsi="Palatino Linotype" w:cs="Palatino Linotype"/>
          <w:color w:val="000000"/>
          <w:sz w:val="22"/>
          <w:szCs w:val="22"/>
        </w:rPr>
        <w:t xml:space="preserve">en el que se aprecia un archivo de Excel, en el que se advierten </w:t>
      </w:r>
      <w:r w:rsidRPr="004C44E4">
        <w:rPr>
          <w:rFonts w:ascii="Palatino Linotype" w:eastAsia="Palatino Linotype" w:hAnsi="Palatino Linotype" w:cs="Palatino Linotype"/>
          <w:color w:val="000000"/>
          <w:sz w:val="22"/>
          <w:szCs w:val="22"/>
        </w:rPr>
        <w:t xml:space="preserve">cuatro vehículos, con el número consecutivo, placas, número económico, marca, modelo, serie, tipo, color, cilindros, área usuaria, </w:t>
      </w:r>
      <w:proofErr w:type="spellStart"/>
      <w:r w:rsidRPr="004C44E4">
        <w:rPr>
          <w:rFonts w:ascii="Palatino Linotype" w:eastAsia="Palatino Linotype" w:hAnsi="Palatino Linotype" w:cs="Palatino Linotype"/>
          <w:color w:val="000000"/>
          <w:sz w:val="22"/>
          <w:szCs w:val="22"/>
        </w:rPr>
        <w:t>resguardante</w:t>
      </w:r>
      <w:proofErr w:type="spellEnd"/>
      <w:r w:rsidRPr="004C44E4">
        <w:rPr>
          <w:rFonts w:ascii="Palatino Linotype" w:eastAsia="Palatino Linotype" w:hAnsi="Palatino Linotype" w:cs="Palatino Linotype"/>
          <w:color w:val="000000"/>
          <w:sz w:val="22"/>
          <w:szCs w:val="22"/>
        </w:rPr>
        <w:t xml:space="preserve">, número de inventario, el tipo de uso y lugar de resguardo; así el número de identificación de dos </w:t>
      </w:r>
      <w:proofErr w:type="spellStart"/>
      <w:r w:rsidRPr="004C44E4">
        <w:rPr>
          <w:rFonts w:ascii="Palatino Linotype" w:eastAsia="Palatino Linotype" w:hAnsi="Palatino Linotype" w:cs="Palatino Linotype"/>
          <w:color w:val="000000"/>
          <w:sz w:val="22"/>
          <w:szCs w:val="22"/>
        </w:rPr>
        <w:t>Tags</w:t>
      </w:r>
      <w:proofErr w:type="spellEnd"/>
      <w:r w:rsidRPr="004C44E4">
        <w:rPr>
          <w:rFonts w:ascii="Palatino Linotype" w:eastAsia="Palatino Linotype" w:hAnsi="Palatino Linotype" w:cs="Palatino Linotype"/>
          <w:color w:val="000000"/>
          <w:sz w:val="22"/>
          <w:szCs w:val="22"/>
        </w:rPr>
        <w:t>; cabe se</w:t>
      </w:r>
      <w:r w:rsidRPr="004C44E4">
        <w:rPr>
          <w:rFonts w:ascii="Palatino Linotype" w:eastAsia="Palatino Linotype" w:hAnsi="Palatino Linotype" w:cs="Palatino Linotype"/>
          <w:color w:val="000000"/>
          <w:sz w:val="22"/>
          <w:szCs w:val="22"/>
        </w:rPr>
        <w:t>ñalar que se advierte que son los designados  a la Unidad de Modernización Administrativa e Informática, UMAI.</w:t>
      </w:r>
    </w:p>
    <w:p w:rsidR="00531B06" w:rsidRPr="004C44E4" w:rsidRDefault="003B4598">
      <w:pPr>
        <w:numPr>
          <w:ilvl w:val="1"/>
          <w:numId w:val="2"/>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i/>
          <w:color w:val="000000"/>
          <w:sz w:val="22"/>
          <w:szCs w:val="22"/>
        </w:rPr>
      </w:pPr>
      <w:r w:rsidRPr="004C44E4">
        <w:rPr>
          <w:rFonts w:ascii="Palatino Linotype" w:eastAsia="Palatino Linotype" w:hAnsi="Palatino Linotype" w:cs="Palatino Linotype"/>
          <w:b/>
          <w:i/>
          <w:color w:val="000000"/>
          <w:sz w:val="22"/>
          <w:szCs w:val="22"/>
        </w:rPr>
        <w:t>Movimientos TAGS-UMAI,</w:t>
      </w:r>
      <w:r w:rsidRPr="004C44E4">
        <w:rPr>
          <w:rFonts w:ascii="Palatino Linotype" w:eastAsia="Palatino Linotype" w:hAnsi="Palatino Linotype" w:cs="Palatino Linotype"/>
          <w:color w:val="000000"/>
          <w:sz w:val="22"/>
          <w:szCs w:val="22"/>
        </w:rPr>
        <w:t xml:space="preserve"> en el que se aprecia un archivo de Excel, con dos hojas. en el que se deshago el número de identificación de dos </w:t>
      </w:r>
      <w:proofErr w:type="spellStart"/>
      <w:r w:rsidRPr="004C44E4">
        <w:rPr>
          <w:rFonts w:ascii="Palatino Linotype" w:eastAsia="Palatino Linotype" w:hAnsi="Palatino Linotype" w:cs="Palatino Linotype"/>
          <w:color w:val="000000"/>
          <w:sz w:val="22"/>
          <w:szCs w:val="22"/>
        </w:rPr>
        <w:t>Tags</w:t>
      </w:r>
      <w:proofErr w:type="spellEnd"/>
      <w:r w:rsidRPr="004C44E4">
        <w:rPr>
          <w:rFonts w:ascii="Palatino Linotype" w:eastAsia="Palatino Linotype" w:hAnsi="Palatino Linotype" w:cs="Palatino Linotype"/>
          <w:color w:val="000000"/>
          <w:sz w:val="22"/>
          <w:szCs w:val="22"/>
        </w:rPr>
        <w:t xml:space="preserve">, el </w:t>
      </w:r>
      <w:r w:rsidRPr="004C44E4">
        <w:rPr>
          <w:rFonts w:ascii="Palatino Linotype" w:eastAsia="Palatino Linotype" w:hAnsi="Palatino Linotype" w:cs="Palatino Linotype"/>
          <w:color w:val="000000"/>
          <w:sz w:val="22"/>
          <w:szCs w:val="22"/>
        </w:rPr>
        <w:t xml:space="preserve">concepto, la fecha de movimiento, la hora, el cobro, el número de caseta, la caseta, el carril, la clase, el importe, el saldo disponible y el folio. </w:t>
      </w:r>
    </w:p>
    <w:p w:rsidR="00531B06" w:rsidRPr="004C44E4" w:rsidRDefault="003B4598">
      <w:pPr>
        <w:numPr>
          <w:ilvl w:val="1"/>
          <w:numId w:val="2"/>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i/>
          <w:color w:val="000000"/>
          <w:sz w:val="22"/>
          <w:szCs w:val="22"/>
        </w:rPr>
      </w:pPr>
      <w:r w:rsidRPr="004C44E4">
        <w:rPr>
          <w:rFonts w:ascii="Palatino Linotype" w:eastAsia="Palatino Linotype" w:hAnsi="Palatino Linotype" w:cs="Palatino Linotype"/>
          <w:b/>
          <w:i/>
          <w:color w:val="000000"/>
          <w:sz w:val="22"/>
          <w:szCs w:val="22"/>
        </w:rPr>
        <w:t xml:space="preserve">DOTACION DE COMBUSTIBLE UMAI, </w:t>
      </w:r>
      <w:r w:rsidRPr="004C44E4">
        <w:rPr>
          <w:rFonts w:ascii="Palatino Linotype" w:eastAsia="Palatino Linotype" w:hAnsi="Palatino Linotype" w:cs="Palatino Linotype"/>
          <w:color w:val="000000"/>
          <w:sz w:val="22"/>
          <w:szCs w:val="22"/>
        </w:rPr>
        <w:t>del que se desprende el oficio 219C0110010000S/1507/2024, suscrito por la T</w:t>
      </w:r>
      <w:r w:rsidRPr="004C44E4">
        <w:rPr>
          <w:rFonts w:ascii="Palatino Linotype" w:eastAsia="Palatino Linotype" w:hAnsi="Palatino Linotype" w:cs="Palatino Linotype"/>
          <w:color w:val="000000"/>
          <w:sz w:val="22"/>
          <w:szCs w:val="22"/>
        </w:rPr>
        <w:t xml:space="preserve">itular de la Unidad de Modernización Administrativa e informática, en el que informó al Subdirector de Servicios la relación actualizada del parque vehicular de las áreas que conforman la Unidad que dirige y solicitó combustible para el mes de agosto 2024 </w:t>
      </w:r>
      <w:r w:rsidRPr="004C44E4">
        <w:rPr>
          <w:rFonts w:ascii="Palatino Linotype" w:eastAsia="Palatino Linotype" w:hAnsi="Palatino Linotype" w:cs="Palatino Linotype"/>
          <w:color w:val="000000"/>
          <w:sz w:val="22"/>
          <w:szCs w:val="22"/>
        </w:rPr>
        <w:t>con el montó para cada vehículo.</w:t>
      </w:r>
    </w:p>
    <w:p w:rsidR="00531B06" w:rsidRPr="004C44E4" w:rsidRDefault="003B4598">
      <w:pPr>
        <w:numPr>
          <w:ilvl w:val="1"/>
          <w:numId w:val="2"/>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i/>
          <w:color w:val="000000"/>
          <w:sz w:val="22"/>
          <w:szCs w:val="22"/>
        </w:rPr>
      </w:pPr>
      <w:r w:rsidRPr="004C44E4">
        <w:rPr>
          <w:rFonts w:ascii="Palatino Linotype" w:eastAsia="Palatino Linotype" w:hAnsi="Palatino Linotype" w:cs="Palatino Linotype"/>
          <w:b/>
          <w:color w:val="000000"/>
          <w:sz w:val="22"/>
          <w:szCs w:val="22"/>
        </w:rPr>
        <w:t xml:space="preserve">Carpeta denominada </w:t>
      </w:r>
      <w:r w:rsidRPr="004C44E4">
        <w:rPr>
          <w:rFonts w:ascii="Palatino Linotype" w:eastAsia="Palatino Linotype" w:hAnsi="Palatino Linotype" w:cs="Palatino Linotype"/>
          <w:b/>
          <w:i/>
          <w:color w:val="000000"/>
          <w:sz w:val="22"/>
          <w:szCs w:val="22"/>
        </w:rPr>
        <w:t xml:space="preserve">Concentrado de vehículos 2023, </w:t>
      </w:r>
      <w:r w:rsidRPr="004C44E4">
        <w:rPr>
          <w:rFonts w:ascii="Palatino Linotype" w:eastAsia="Palatino Linotype" w:hAnsi="Palatino Linotype" w:cs="Palatino Linotype"/>
          <w:color w:val="000000"/>
          <w:sz w:val="22"/>
          <w:szCs w:val="22"/>
        </w:rPr>
        <w:t xml:space="preserve">en el que se observan los 5 </w:t>
      </w:r>
      <w:r w:rsidRPr="004C44E4">
        <w:rPr>
          <w:rFonts w:ascii="Palatino Linotype" w:eastAsia="Palatino Linotype" w:hAnsi="Palatino Linotype" w:cs="Palatino Linotype"/>
          <w:color w:val="000000"/>
          <w:sz w:val="22"/>
          <w:szCs w:val="22"/>
        </w:rPr>
        <w:t>archivos correspondientes a bitácoras de combustible del periodo de enero a diciembre y 4 carpetas con imágenes de tickets de compra de combustib</w:t>
      </w:r>
      <w:r w:rsidRPr="004C44E4">
        <w:rPr>
          <w:rFonts w:ascii="Palatino Linotype" w:eastAsia="Palatino Linotype" w:hAnsi="Palatino Linotype" w:cs="Palatino Linotype"/>
          <w:color w:val="000000"/>
          <w:sz w:val="22"/>
          <w:szCs w:val="22"/>
        </w:rPr>
        <w:t>le.</w:t>
      </w:r>
    </w:p>
    <w:p w:rsidR="00531B06" w:rsidRPr="004C44E4" w:rsidRDefault="003B4598">
      <w:pPr>
        <w:numPr>
          <w:ilvl w:val="1"/>
          <w:numId w:val="2"/>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i/>
          <w:color w:val="000000"/>
          <w:sz w:val="22"/>
          <w:szCs w:val="22"/>
        </w:rPr>
      </w:pPr>
      <w:r w:rsidRPr="004C44E4">
        <w:rPr>
          <w:rFonts w:ascii="Palatino Linotype" w:eastAsia="Palatino Linotype" w:hAnsi="Palatino Linotype" w:cs="Palatino Linotype"/>
          <w:b/>
          <w:color w:val="000000"/>
          <w:sz w:val="22"/>
          <w:szCs w:val="22"/>
        </w:rPr>
        <w:t xml:space="preserve">Carpeta denominada </w:t>
      </w:r>
      <w:r w:rsidRPr="004C44E4">
        <w:rPr>
          <w:rFonts w:ascii="Palatino Linotype" w:eastAsia="Palatino Linotype" w:hAnsi="Palatino Linotype" w:cs="Palatino Linotype"/>
          <w:b/>
          <w:i/>
          <w:color w:val="000000"/>
          <w:sz w:val="22"/>
          <w:szCs w:val="22"/>
        </w:rPr>
        <w:t xml:space="preserve">Concentrado de vehículos 2024, </w:t>
      </w:r>
      <w:r w:rsidRPr="004C44E4">
        <w:rPr>
          <w:rFonts w:ascii="Palatino Linotype" w:eastAsia="Palatino Linotype" w:hAnsi="Palatino Linotype" w:cs="Palatino Linotype"/>
          <w:color w:val="000000"/>
          <w:sz w:val="22"/>
          <w:szCs w:val="22"/>
        </w:rPr>
        <w:t xml:space="preserve">en el que se observan el 4 archivos correspondientes a bitácoras de combustible del periodo de enero a julio, y un archivo en el que se observa únicamente la bitácora de julio y 5 archivos con imágenes de tickets de compra de combustible y en los que se </w:t>
      </w:r>
      <w:r w:rsidRPr="004C44E4">
        <w:rPr>
          <w:rFonts w:ascii="Palatino Linotype" w:eastAsia="Palatino Linotype" w:hAnsi="Palatino Linotype" w:cs="Palatino Linotype"/>
          <w:color w:val="000000"/>
          <w:sz w:val="22"/>
          <w:szCs w:val="22"/>
        </w:rPr>
        <w:lastRenderedPageBreak/>
        <w:t>ob</w:t>
      </w:r>
      <w:r w:rsidRPr="004C44E4">
        <w:rPr>
          <w:rFonts w:ascii="Palatino Linotype" w:eastAsia="Palatino Linotype" w:hAnsi="Palatino Linotype" w:cs="Palatino Linotype"/>
          <w:color w:val="000000"/>
          <w:sz w:val="22"/>
          <w:szCs w:val="22"/>
        </w:rPr>
        <w:t>serva que corresponde a enero a julio de 2024, y respecto al vehículo V</w:t>
      </w:r>
      <w:r w:rsidRPr="004C44E4">
        <w:rPr>
          <w:rFonts w:ascii="Palatino Linotype" w:eastAsia="Palatino Linotype" w:hAnsi="Palatino Linotype" w:cs="Palatino Linotype"/>
          <w:b/>
          <w:color w:val="000000"/>
          <w:sz w:val="22"/>
          <w:szCs w:val="22"/>
        </w:rPr>
        <w:t xml:space="preserve">-257 </w:t>
      </w:r>
      <w:r w:rsidRPr="004C44E4">
        <w:rPr>
          <w:rFonts w:ascii="Palatino Linotype" w:eastAsia="Palatino Linotype" w:hAnsi="Palatino Linotype" w:cs="Palatino Linotype"/>
          <w:color w:val="000000"/>
          <w:sz w:val="22"/>
          <w:szCs w:val="22"/>
        </w:rPr>
        <w:t>los tickets únicamente corresponden a enero a marzo de 2024.</w:t>
      </w:r>
      <w:r w:rsidRPr="004C44E4">
        <w:rPr>
          <w:rFonts w:ascii="Palatino Linotype" w:eastAsia="Palatino Linotype" w:hAnsi="Palatino Linotype" w:cs="Palatino Linotype"/>
          <w:b/>
          <w:color w:val="000000"/>
          <w:sz w:val="22"/>
          <w:szCs w:val="22"/>
        </w:rPr>
        <w:t xml:space="preserve"> </w:t>
      </w:r>
    </w:p>
    <w:p w:rsidR="00531B06" w:rsidRPr="004C44E4" w:rsidRDefault="00531B06">
      <w:pPr>
        <w:tabs>
          <w:tab w:val="left" w:pos="567"/>
        </w:tabs>
        <w:spacing w:line="360" w:lineRule="auto"/>
        <w:jc w:val="both"/>
        <w:rPr>
          <w:rFonts w:ascii="Palatino Linotype" w:eastAsia="Palatino Linotype" w:hAnsi="Palatino Linotype" w:cs="Palatino Linotype"/>
          <w:b/>
          <w:i/>
        </w:rPr>
      </w:pPr>
    </w:p>
    <w:p w:rsidR="00531B06" w:rsidRPr="004C44E4" w:rsidRDefault="003B4598">
      <w:pPr>
        <w:spacing w:line="360" w:lineRule="auto"/>
        <w:jc w:val="both"/>
        <w:rPr>
          <w:rFonts w:ascii="Palatino Linotype" w:eastAsia="Palatino Linotype" w:hAnsi="Palatino Linotype" w:cs="Palatino Linotype"/>
          <w:b/>
          <w:color w:val="000000"/>
          <w:sz w:val="22"/>
          <w:szCs w:val="22"/>
        </w:rPr>
      </w:pPr>
      <w:r w:rsidRPr="004C44E4">
        <w:rPr>
          <w:rFonts w:ascii="Palatino Linotype" w:eastAsia="Palatino Linotype" w:hAnsi="Palatino Linotype" w:cs="Palatino Linotype"/>
          <w:b/>
          <w:color w:val="000000"/>
          <w:sz w:val="22"/>
          <w:szCs w:val="22"/>
        </w:rPr>
        <w:t>III. Interpo</w:t>
      </w:r>
      <w:r w:rsidR="00F72E24" w:rsidRPr="004C44E4">
        <w:rPr>
          <w:rFonts w:ascii="Palatino Linotype" w:eastAsia="Palatino Linotype" w:hAnsi="Palatino Linotype" w:cs="Palatino Linotype"/>
          <w:b/>
          <w:color w:val="000000"/>
          <w:sz w:val="22"/>
          <w:szCs w:val="22"/>
        </w:rPr>
        <w:t>sición del Recurso de Revisión</w:t>
      </w:r>
    </w:p>
    <w:p w:rsidR="00531B06" w:rsidRPr="004C44E4" w:rsidRDefault="00531B06">
      <w:pPr>
        <w:spacing w:line="360" w:lineRule="auto"/>
        <w:jc w:val="both"/>
        <w:rPr>
          <w:rFonts w:ascii="Palatino Linotype" w:eastAsia="Palatino Linotype" w:hAnsi="Palatino Linotype" w:cs="Palatino Linotype"/>
          <w:b/>
          <w:color w:val="000000"/>
          <w:sz w:val="22"/>
          <w:szCs w:val="22"/>
        </w:rPr>
      </w:pPr>
    </w:p>
    <w:p w:rsidR="00531B06" w:rsidRPr="004C44E4" w:rsidRDefault="003B4598">
      <w:p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t>Con tres de septiembre de dos mil veinticuatro, se recibió en este Inst</w:t>
      </w:r>
      <w:r w:rsidRPr="004C44E4">
        <w:rPr>
          <w:rFonts w:ascii="Palatino Linotype" w:eastAsia="Palatino Linotype" w:hAnsi="Palatino Linotype" w:cs="Palatino Linotype"/>
          <w:sz w:val="22"/>
          <w:szCs w:val="22"/>
        </w:rPr>
        <w:t>ituto, a través del SAIMEX, el Recurso de Revisión interpuesto por el Particular, en los siguientes términos:</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spacing w:line="360" w:lineRule="auto"/>
        <w:ind w:left="567" w:right="537"/>
        <w:jc w:val="both"/>
        <w:rPr>
          <w:rFonts w:ascii="Palatino Linotype" w:eastAsia="Palatino Linotype" w:hAnsi="Palatino Linotype" w:cs="Palatino Linotype"/>
          <w:b/>
        </w:rPr>
      </w:pPr>
      <w:r w:rsidRPr="004C44E4">
        <w:rPr>
          <w:rFonts w:ascii="Palatino Linotype" w:eastAsia="Palatino Linotype" w:hAnsi="Palatino Linotype" w:cs="Palatino Linotype"/>
          <w:b/>
        </w:rPr>
        <w:t>ACTO IMPUGNADO</w:t>
      </w:r>
      <w:r w:rsidRPr="004C44E4">
        <w:rPr>
          <w:rFonts w:ascii="Palatino Linotype" w:eastAsia="Palatino Linotype" w:hAnsi="Palatino Linotype" w:cs="Palatino Linotype"/>
          <w:b/>
        </w:rPr>
        <w:tab/>
      </w:r>
    </w:p>
    <w:p w:rsidR="00531B06" w:rsidRPr="004C44E4" w:rsidRDefault="003B4598">
      <w:pPr>
        <w:spacing w:line="360" w:lineRule="auto"/>
        <w:ind w:left="567" w:right="537"/>
        <w:jc w:val="both"/>
        <w:rPr>
          <w:rFonts w:ascii="Palatino Linotype" w:eastAsia="Palatino Linotype" w:hAnsi="Palatino Linotype" w:cs="Palatino Linotype"/>
          <w:i/>
        </w:rPr>
      </w:pPr>
      <w:r w:rsidRPr="004C44E4">
        <w:rPr>
          <w:rFonts w:ascii="Palatino Linotype" w:eastAsia="Palatino Linotype" w:hAnsi="Palatino Linotype" w:cs="Palatino Linotype"/>
          <w:i/>
        </w:rPr>
        <w:t xml:space="preserve">“respuesta incompleta ya que también pido por parte </w:t>
      </w:r>
      <w:r w:rsidRPr="004C44E4">
        <w:rPr>
          <w:rFonts w:ascii="Palatino Linotype" w:eastAsia="Palatino Linotype" w:hAnsi="Palatino Linotype" w:cs="Palatino Linotype"/>
          <w:b/>
          <w:i/>
        </w:rPr>
        <w:t xml:space="preserve">de la </w:t>
      </w:r>
      <w:proofErr w:type="spellStart"/>
      <w:r w:rsidRPr="004C44E4">
        <w:rPr>
          <w:rFonts w:ascii="Palatino Linotype" w:eastAsia="Palatino Linotype" w:hAnsi="Palatino Linotype" w:cs="Palatino Linotype"/>
          <w:b/>
          <w:i/>
        </w:rPr>
        <w:t>contraloria</w:t>
      </w:r>
      <w:proofErr w:type="spellEnd"/>
      <w:r w:rsidRPr="004C44E4">
        <w:rPr>
          <w:rFonts w:ascii="Palatino Linotype" w:eastAsia="Palatino Linotype" w:hAnsi="Palatino Linotype" w:cs="Palatino Linotype"/>
          <w:b/>
          <w:i/>
        </w:rPr>
        <w:t xml:space="preserve"> el informe que contienen los oficios que ustedes ya saben</w:t>
      </w:r>
      <w:r w:rsidRPr="004C44E4">
        <w:rPr>
          <w:rFonts w:ascii="Palatino Linotype" w:eastAsia="Palatino Linotype" w:hAnsi="Palatino Linotype" w:cs="Palatino Linotype"/>
          <w:i/>
        </w:rPr>
        <w:t xml:space="preserve"> que deben de generar por eso pido también la intervención de la </w:t>
      </w:r>
      <w:proofErr w:type="spellStart"/>
      <w:r w:rsidRPr="004C44E4">
        <w:rPr>
          <w:rFonts w:ascii="Palatino Linotype" w:eastAsia="Palatino Linotype" w:hAnsi="Palatino Linotype" w:cs="Palatino Linotype"/>
          <w:b/>
          <w:i/>
        </w:rPr>
        <w:t>contraloria</w:t>
      </w:r>
      <w:proofErr w:type="spellEnd"/>
      <w:r w:rsidRPr="004C44E4">
        <w:rPr>
          <w:rFonts w:ascii="Palatino Linotype" w:eastAsia="Palatino Linotype" w:hAnsi="Palatino Linotype" w:cs="Palatino Linotype"/>
          <w:b/>
          <w:i/>
        </w:rPr>
        <w:t xml:space="preserve"> interna vienen en sus manuales de combustible de uso de unidades oficiales</w:t>
      </w:r>
      <w:r w:rsidRPr="004C44E4">
        <w:rPr>
          <w:rFonts w:ascii="Palatino Linotype" w:eastAsia="Palatino Linotype" w:hAnsi="Palatino Linotype" w:cs="Palatino Linotype"/>
          <w:i/>
        </w:rPr>
        <w:t xml:space="preserve"> en fin no les voy a enseñar </w:t>
      </w:r>
      <w:proofErr w:type="gramStart"/>
      <w:r w:rsidRPr="004C44E4">
        <w:rPr>
          <w:rFonts w:ascii="Palatino Linotype" w:eastAsia="Palatino Linotype" w:hAnsi="Palatino Linotype" w:cs="Palatino Linotype"/>
          <w:i/>
        </w:rPr>
        <w:t>verdad ?”</w:t>
      </w:r>
      <w:proofErr w:type="gramEnd"/>
      <w:r w:rsidRPr="004C44E4">
        <w:rPr>
          <w:rFonts w:ascii="Palatino Linotype" w:eastAsia="Palatino Linotype" w:hAnsi="Palatino Linotype" w:cs="Palatino Linotype"/>
          <w:i/>
        </w:rPr>
        <w:t xml:space="preserve"> (</w:t>
      </w:r>
      <w:proofErr w:type="gramStart"/>
      <w:r w:rsidRPr="004C44E4">
        <w:rPr>
          <w:rFonts w:ascii="Palatino Linotype" w:eastAsia="Palatino Linotype" w:hAnsi="Palatino Linotype" w:cs="Palatino Linotype"/>
          <w:i/>
        </w:rPr>
        <w:t>sic</w:t>
      </w:r>
      <w:proofErr w:type="gramEnd"/>
      <w:r w:rsidRPr="004C44E4">
        <w:rPr>
          <w:rFonts w:ascii="Palatino Linotype" w:eastAsia="Palatino Linotype" w:hAnsi="Palatino Linotype" w:cs="Palatino Linotype"/>
          <w:i/>
        </w:rPr>
        <w:t>.)</w:t>
      </w:r>
    </w:p>
    <w:p w:rsidR="00531B06" w:rsidRPr="004C44E4" w:rsidRDefault="00531B06">
      <w:pPr>
        <w:spacing w:line="360" w:lineRule="auto"/>
        <w:ind w:left="567" w:right="537"/>
        <w:jc w:val="both"/>
        <w:rPr>
          <w:rFonts w:ascii="Palatino Linotype" w:eastAsia="Palatino Linotype" w:hAnsi="Palatino Linotype" w:cs="Palatino Linotype"/>
        </w:rPr>
      </w:pPr>
    </w:p>
    <w:p w:rsidR="00531B06" w:rsidRPr="004C44E4" w:rsidRDefault="003B4598">
      <w:pPr>
        <w:spacing w:line="360" w:lineRule="auto"/>
        <w:ind w:left="567" w:right="537"/>
        <w:jc w:val="both"/>
        <w:rPr>
          <w:rFonts w:ascii="Palatino Linotype" w:eastAsia="Palatino Linotype" w:hAnsi="Palatino Linotype" w:cs="Palatino Linotype"/>
          <w:b/>
        </w:rPr>
      </w:pPr>
      <w:r w:rsidRPr="004C44E4">
        <w:rPr>
          <w:rFonts w:ascii="Palatino Linotype" w:eastAsia="Palatino Linotype" w:hAnsi="Palatino Linotype" w:cs="Palatino Linotype"/>
          <w:b/>
        </w:rPr>
        <w:t>RAZONES O MOTIVOS DE LA INCONFORMIDAD</w:t>
      </w:r>
      <w:r w:rsidRPr="004C44E4">
        <w:rPr>
          <w:rFonts w:ascii="Palatino Linotype" w:eastAsia="Palatino Linotype" w:hAnsi="Palatino Linotype" w:cs="Palatino Linotype"/>
          <w:b/>
        </w:rPr>
        <w:tab/>
      </w:r>
    </w:p>
    <w:p w:rsidR="00531B06" w:rsidRPr="004C44E4" w:rsidRDefault="003B4598">
      <w:pPr>
        <w:tabs>
          <w:tab w:val="left" w:pos="4667"/>
        </w:tabs>
        <w:spacing w:line="360" w:lineRule="auto"/>
        <w:ind w:left="567" w:right="537"/>
        <w:jc w:val="both"/>
        <w:rPr>
          <w:rFonts w:ascii="Palatino Linotype" w:eastAsia="Palatino Linotype" w:hAnsi="Palatino Linotype" w:cs="Palatino Linotype"/>
        </w:rPr>
      </w:pPr>
      <w:r w:rsidRPr="004C44E4">
        <w:rPr>
          <w:rFonts w:ascii="Palatino Linotype" w:eastAsia="Palatino Linotype" w:hAnsi="Palatino Linotype" w:cs="Palatino Linotype"/>
          <w:i/>
        </w:rPr>
        <w:t>“respuesta incomple</w:t>
      </w:r>
      <w:r w:rsidRPr="004C44E4">
        <w:rPr>
          <w:rFonts w:ascii="Palatino Linotype" w:eastAsia="Palatino Linotype" w:hAnsi="Palatino Linotype" w:cs="Palatino Linotype"/>
          <w:i/>
        </w:rPr>
        <w:t xml:space="preserve">ta ya que también pido por parte de la </w:t>
      </w:r>
      <w:proofErr w:type="spellStart"/>
      <w:r w:rsidRPr="004C44E4">
        <w:rPr>
          <w:rFonts w:ascii="Palatino Linotype" w:eastAsia="Palatino Linotype" w:hAnsi="Palatino Linotype" w:cs="Palatino Linotype"/>
          <w:i/>
        </w:rPr>
        <w:t>contraloria</w:t>
      </w:r>
      <w:proofErr w:type="spellEnd"/>
      <w:r w:rsidRPr="004C44E4">
        <w:rPr>
          <w:rFonts w:ascii="Palatino Linotype" w:eastAsia="Palatino Linotype" w:hAnsi="Palatino Linotype" w:cs="Palatino Linotype"/>
          <w:i/>
        </w:rPr>
        <w:t xml:space="preserve"> el informe que contienen los oficios que ustedes ya saben que deben de generar por eso pido también la intervención de la </w:t>
      </w:r>
      <w:proofErr w:type="spellStart"/>
      <w:r w:rsidRPr="004C44E4">
        <w:rPr>
          <w:rFonts w:ascii="Palatino Linotype" w:eastAsia="Palatino Linotype" w:hAnsi="Palatino Linotype" w:cs="Palatino Linotype"/>
          <w:i/>
        </w:rPr>
        <w:t>contraloria</w:t>
      </w:r>
      <w:proofErr w:type="spellEnd"/>
      <w:r w:rsidRPr="004C44E4">
        <w:rPr>
          <w:rFonts w:ascii="Palatino Linotype" w:eastAsia="Palatino Linotype" w:hAnsi="Palatino Linotype" w:cs="Palatino Linotype"/>
          <w:i/>
        </w:rPr>
        <w:t xml:space="preserve"> interna vienen en sus manuales de combustible de uso de unidades oficia</w:t>
      </w:r>
      <w:r w:rsidRPr="004C44E4">
        <w:rPr>
          <w:rFonts w:ascii="Palatino Linotype" w:eastAsia="Palatino Linotype" w:hAnsi="Palatino Linotype" w:cs="Palatino Linotype"/>
          <w:i/>
        </w:rPr>
        <w:t xml:space="preserve">les en fin no les voy a enseñar </w:t>
      </w:r>
      <w:proofErr w:type="gramStart"/>
      <w:r w:rsidRPr="004C44E4">
        <w:rPr>
          <w:rFonts w:ascii="Palatino Linotype" w:eastAsia="Palatino Linotype" w:hAnsi="Palatino Linotype" w:cs="Palatino Linotype"/>
          <w:i/>
        </w:rPr>
        <w:t>verdad ?”</w:t>
      </w:r>
      <w:proofErr w:type="gramEnd"/>
      <w:r w:rsidRPr="004C44E4">
        <w:rPr>
          <w:rFonts w:ascii="Palatino Linotype" w:eastAsia="Palatino Linotype" w:hAnsi="Palatino Linotype" w:cs="Palatino Linotype"/>
          <w:i/>
        </w:rPr>
        <w:t xml:space="preserve"> (</w:t>
      </w:r>
      <w:proofErr w:type="gramStart"/>
      <w:r w:rsidRPr="004C44E4">
        <w:rPr>
          <w:rFonts w:ascii="Palatino Linotype" w:eastAsia="Palatino Linotype" w:hAnsi="Palatino Linotype" w:cs="Palatino Linotype"/>
          <w:i/>
        </w:rPr>
        <w:t>sic</w:t>
      </w:r>
      <w:proofErr w:type="gramEnd"/>
      <w:r w:rsidRPr="004C44E4">
        <w:rPr>
          <w:rFonts w:ascii="Palatino Linotype" w:eastAsia="Palatino Linotype" w:hAnsi="Palatino Linotype" w:cs="Palatino Linotype"/>
          <w:i/>
        </w:rPr>
        <w:t>.)</w:t>
      </w:r>
    </w:p>
    <w:p w:rsidR="00531B06" w:rsidRPr="004C44E4" w:rsidRDefault="00531B06">
      <w:pPr>
        <w:tabs>
          <w:tab w:val="left" w:pos="4667"/>
        </w:tabs>
        <w:spacing w:line="360" w:lineRule="auto"/>
        <w:ind w:left="567" w:right="537"/>
        <w:jc w:val="both"/>
        <w:rPr>
          <w:rFonts w:ascii="Palatino Linotype" w:eastAsia="Palatino Linotype" w:hAnsi="Palatino Linotype" w:cs="Palatino Linotype"/>
          <w:i/>
          <w:sz w:val="22"/>
          <w:szCs w:val="22"/>
        </w:rPr>
      </w:pPr>
    </w:p>
    <w:p w:rsidR="00531B06" w:rsidRPr="004C44E4" w:rsidRDefault="003B4598">
      <w:pPr>
        <w:spacing w:line="360" w:lineRule="auto"/>
        <w:jc w:val="both"/>
        <w:rPr>
          <w:rFonts w:ascii="Palatino Linotype" w:eastAsia="Palatino Linotype" w:hAnsi="Palatino Linotype" w:cs="Palatino Linotype"/>
          <w:b/>
          <w:color w:val="000000"/>
          <w:sz w:val="22"/>
          <w:szCs w:val="22"/>
        </w:rPr>
      </w:pPr>
      <w:r w:rsidRPr="004C44E4">
        <w:rPr>
          <w:rFonts w:ascii="Palatino Linotype" w:eastAsia="Palatino Linotype" w:hAnsi="Palatino Linotype" w:cs="Palatino Linotype"/>
          <w:b/>
          <w:color w:val="000000"/>
          <w:sz w:val="22"/>
          <w:szCs w:val="22"/>
        </w:rPr>
        <w:t>IV. Trámite del Recurs</w:t>
      </w:r>
      <w:r w:rsidR="00F72E24" w:rsidRPr="004C44E4">
        <w:rPr>
          <w:rFonts w:ascii="Palatino Linotype" w:eastAsia="Palatino Linotype" w:hAnsi="Palatino Linotype" w:cs="Palatino Linotype"/>
          <w:b/>
          <w:color w:val="000000"/>
          <w:sz w:val="22"/>
          <w:szCs w:val="22"/>
        </w:rPr>
        <w:t>o de Revisión ante el Instituto</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b/>
          <w:color w:val="000000"/>
          <w:sz w:val="22"/>
          <w:szCs w:val="22"/>
        </w:rPr>
        <w:t xml:space="preserve">a) Turno del Medio de Impugnación. </w:t>
      </w:r>
      <w:r w:rsidRPr="004C44E4">
        <w:rPr>
          <w:rFonts w:ascii="Palatino Linotype" w:eastAsia="Palatino Linotype" w:hAnsi="Palatino Linotype" w:cs="Palatino Linotype"/>
          <w:color w:val="000000"/>
          <w:sz w:val="22"/>
          <w:szCs w:val="22"/>
        </w:rPr>
        <w:t xml:space="preserve">El tres de septiembre de dos mil veinticuatro, el SAIMEX, asignó el número de expediente </w:t>
      </w:r>
      <w:r w:rsidRPr="004C44E4">
        <w:rPr>
          <w:rFonts w:ascii="Palatino Linotype" w:eastAsia="Palatino Linotype" w:hAnsi="Palatino Linotype" w:cs="Palatino Linotype"/>
          <w:b/>
          <w:color w:val="000000"/>
          <w:sz w:val="22"/>
          <w:szCs w:val="22"/>
        </w:rPr>
        <w:t xml:space="preserve">05306/INFOEM/IP/RR/2024, </w:t>
      </w:r>
      <w:r w:rsidRPr="004C44E4">
        <w:rPr>
          <w:rFonts w:ascii="Palatino Linotype" w:eastAsia="Palatino Linotype" w:hAnsi="Palatino Linotype" w:cs="Palatino Linotype"/>
          <w:color w:val="000000"/>
          <w:sz w:val="22"/>
          <w:szCs w:val="22"/>
        </w:rPr>
        <w:t>a</w:t>
      </w:r>
      <w:r w:rsidRPr="004C44E4">
        <w:rPr>
          <w:rFonts w:ascii="Palatino Linotype" w:eastAsia="Palatino Linotype" w:hAnsi="Palatino Linotype" w:cs="Palatino Linotype"/>
          <w:color w:val="000000"/>
          <w:sz w:val="22"/>
          <w:szCs w:val="22"/>
        </w:rPr>
        <w:t xml:space="preserve">l medio de impugnación que nos ocupan, con base en el sistema aprobado por el Pleno de este Órgano Garante y se turnó al Comisionado Ponente Luis Gustavo Parra Noriega, para los efectos del </w:t>
      </w:r>
      <w:r w:rsidRPr="004C44E4">
        <w:rPr>
          <w:rFonts w:ascii="Palatino Linotype" w:eastAsia="Palatino Linotype" w:hAnsi="Palatino Linotype" w:cs="Palatino Linotype"/>
          <w:color w:val="000000"/>
          <w:sz w:val="22"/>
          <w:szCs w:val="22"/>
        </w:rPr>
        <w:lastRenderedPageBreak/>
        <w:t xml:space="preserve">artículo 185, fracción I de la Ley de Transparencia y Acceso a la </w:t>
      </w:r>
      <w:r w:rsidRPr="004C44E4">
        <w:rPr>
          <w:rFonts w:ascii="Palatino Linotype" w:eastAsia="Palatino Linotype" w:hAnsi="Palatino Linotype" w:cs="Palatino Linotype"/>
          <w:color w:val="000000"/>
          <w:sz w:val="22"/>
          <w:szCs w:val="22"/>
        </w:rPr>
        <w:t>Información Pública del Estado de México y Municipios.</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b/>
          <w:color w:val="000000"/>
          <w:sz w:val="22"/>
          <w:szCs w:val="22"/>
        </w:rPr>
        <w:t xml:space="preserve">b) Admisión del Recurso de Revisión. </w:t>
      </w:r>
      <w:r w:rsidRPr="004C44E4">
        <w:rPr>
          <w:rFonts w:ascii="Palatino Linotype" w:eastAsia="Palatino Linotype" w:hAnsi="Palatino Linotype" w:cs="Palatino Linotype"/>
          <w:color w:val="000000"/>
          <w:sz w:val="22"/>
          <w:szCs w:val="22"/>
        </w:rPr>
        <w:t>El</w:t>
      </w:r>
      <w:r w:rsidRPr="004C44E4">
        <w:rPr>
          <w:rFonts w:ascii="Palatino Linotype" w:eastAsia="Palatino Linotype" w:hAnsi="Palatino Linotype" w:cs="Palatino Linotype"/>
          <w:b/>
          <w:color w:val="000000"/>
          <w:sz w:val="22"/>
          <w:szCs w:val="22"/>
        </w:rPr>
        <w:t xml:space="preserve"> </w:t>
      </w:r>
      <w:r w:rsidRPr="004C44E4">
        <w:rPr>
          <w:rFonts w:ascii="Palatino Linotype" w:eastAsia="Palatino Linotype" w:hAnsi="Palatino Linotype" w:cs="Palatino Linotype"/>
          <w:color w:val="000000"/>
          <w:sz w:val="22"/>
          <w:szCs w:val="22"/>
        </w:rPr>
        <w:t>seis de septiembre de dos mil veinticuatro, se acordó la admisión del Recurso de Revisión interpuestos por el Recurrente en contra del Sujeto Obligado, en térmi</w:t>
      </w:r>
      <w:r w:rsidRPr="004C44E4">
        <w:rPr>
          <w:rFonts w:ascii="Palatino Linotype" w:eastAsia="Palatino Linotype" w:hAnsi="Palatino Linotype" w:cs="Palatino Linotype"/>
          <w:color w:val="000000"/>
          <w:sz w:val="22"/>
          <w:szCs w:val="22"/>
        </w:rPr>
        <w:t xml:space="preserve">nos del artículo 185, fracciones I y II de la Ley de Transparencia y Acceso a la Información Pública del Estado de México y Municipios, el cual </w:t>
      </w:r>
      <w:r w:rsidRPr="004C44E4">
        <w:rPr>
          <w:rFonts w:ascii="Palatino Linotype" w:eastAsia="Palatino Linotype" w:hAnsi="Palatino Linotype" w:cs="Palatino Linotype"/>
          <w:b/>
          <w:color w:val="000000"/>
          <w:sz w:val="22"/>
          <w:szCs w:val="22"/>
        </w:rPr>
        <w:t>fue notificada a las partes el mismo día</w:t>
      </w:r>
      <w:r w:rsidRPr="004C44E4">
        <w:rPr>
          <w:rFonts w:ascii="Palatino Linotype" w:eastAsia="Palatino Linotype" w:hAnsi="Palatino Linotype" w:cs="Palatino Linotype"/>
          <w:color w:val="000000"/>
          <w:sz w:val="22"/>
          <w:szCs w:val="22"/>
        </w:rPr>
        <w:t>, a través del SAIMEX, en el que se les otorgó un plazo de siete días há</w:t>
      </w:r>
      <w:r w:rsidRPr="004C44E4">
        <w:rPr>
          <w:rFonts w:ascii="Palatino Linotype" w:eastAsia="Palatino Linotype" w:hAnsi="Palatino Linotype" w:cs="Palatino Linotype"/>
          <w:color w:val="000000"/>
          <w:sz w:val="22"/>
          <w:szCs w:val="22"/>
        </w:rPr>
        <w:t>biles posteriores a la misma, para que manifestaran lo que a su derecho conviniera y formularan alegatos.</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b/>
          <w:sz w:val="22"/>
          <w:szCs w:val="22"/>
        </w:rPr>
        <w:t xml:space="preserve">c) Informe Justificado y Manifestaciones de la parte Recurrente. </w:t>
      </w:r>
      <w:r w:rsidRPr="004C44E4">
        <w:rPr>
          <w:rFonts w:ascii="Palatino Linotype" w:eastAsia="Palatino Linotype" w:hAnsi="Palatino Linotype" w:cs="Palatino Linotype"/>
          <w:sz w:val="22"/>
          <w:szCs w:val="22"/>
        </w:rPr>
        <w:t>De las constancias del SAIMEX, se advierte que el Sujeto Obligado fue omiso en rendir informe justificado y la persona Recurrente omitió realizar manifestaciones que a su derecho asistiera.</w:t>
      </w:r>
    </w:p>
    <w:p w:rsidR="00531B06" w:rsidRPr="004C44E4" w:rsidRDefault="00531B06">
      <w:pPr>
        <w:spacing w:line="360" w:lineRule="auto"/>
        <w:jc w:val="both"/>
        <w:rPr>
          <w:rFonts w:ascii="Palatino Linotype" w:eastAsia="Palatino Linotype" w:hAnsi="Palatino Linotype" w:cs="Palatino Linotype"/>
          <w:b/>
          <w:sz w:val="22"/>
          <w:szCs w:val="22"/>
        </w:rPr>
      </w:pPr>
    </w:p>
    <w:p w:rsidR="00531B06" w:rsidRPr="004C44E4" w:rsidRDefault="003B4598">
      <w:pPr>
        <w:spacing w:line="360" w:lineRule="auto"/>
        <w:jc w:val="both"/>
        <w:rPr>
          <w:rFonts w:ascii="Palatino Linotype" w:eastAsia="Palatino Linotype" w:hAnsi="Palatino Linotype" w:cs="Palatino Linotype"/>
          <w:b/>
          <w:sz w:val="22"/>
          <w:szCs w:val="22"/>
        </w:rPr>
      </w:pPr>
      <w:r w:rsidRPr="004C44E4">
        <w:rPr>
          <w:rFonts w:ascii="Palatino Linotype" w:eastAsia="Palatino Linotype" w:hAnsi="Palatino Linotype" w:cs="Palatino Linotype"/>
          <w:b/>
          <w:sz w:val="22"/>
          <w:szCs w:val="22"/>
        </w:rPr>
        <w:t xml:space="preserve">d) Cierre de instrucción. </w:t>
      </w:r>
      <w:r w:rsidRPr="004C44E4">
        <w:rPr>
          <w:rFonts w:ascii="Palatino Linotype" w:eastAsia="Palatino Linotype" w:hAnsi="Palatino Linotype" w:cs="Palatino Linotype"/>
          <w:sz w:val="22"/>
          <w:szCs w:val="22"/>
        </w:rPr>
        <w:t>El dos de octubre de dos mil veinticuat</w:t>
      </w:r>
      <w:r w:rsidRPr="004C44E4">
        <w:rPr>
          <w:rFonts w:ascii="Palatino Linotype" w:eastAsia="Palatino Linotype" w:hAnsi="Palatino Linotype" w:cs="Palatino Linotype"/>
          <w:sz w:val="22"/>
          <w:szCs w:val="22"/>
        </w:rPr>
        <w:t>ro, al no existir diligencias pendientes por desahogar, se emitió el acuerdo por medio del cual se declaró cerrada la instrucción y, se pasó el expediente a resolución, en términos de lo dispuesto en los artículos 185, fracciones VI y VIII, de la Ley de Tr</w:t>
      </w:r>
      <w:r w:rsidRPr="004C44E4">
        <w:rPr>
          <w:rFonts w:ascii="Palatino Linotype" w:eastAsia="Palatino Linotype" w:hAnsi="Palatino Linotype" w:cs="Palatino Linotype"/>
          <w:sz w:val="22"/>
          <w:szCs w:val="22"/>
        </w:rPr>
        <w:t xml:space="preserve">ansparencia y Acceso a la Información Pública del Estado de México y Municipios; acto que fue notificado a las partes el tres de octubre del mismo año, a través del SAIMEX. </w:t>
      </w:r>
    </w:p>
    <w:p w:rsidR="00531B06" w:rsidRPr="004C44E4" w:rsidRDefault="00531B06">
      <w:pPr>
        <w:spacing w:line="360" w:lineRule="auto"/>
        <w:jc w:val="both"/>
        <w:rPr>
          <w:rFonts w:ascii="Palatino Linotype" w:eastAsia="Palatino Linotype" w:hAnsi="Palatino Linotype" w:cs="Palatino Linotype"/>
          <w:b/>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En razón de que fue debidamente sustanciado el expediente electrónico y no existe</w:t>
      </w:r>
      <w:r w:rsidRPr="004C44E4">
        <w:rPr>
          <w:rFonts w:ascii="Palatino Linotype" w:eastAsia="Palatino Linotype" w:hAnsi="Palatino Linotype" w:cs="Palatino Linotype"/>
          <w:color w:val="000000"/>
          <w:sz w:val="22"/>
          <w:szCs w:val="22"/>
        </w:rPr>
        <w:t xml:space="preserve"> diligencia pendiente de desahogo, se emite la Resolución que conforme a derecho proceda, de acuerdo con los siguientes: </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center"/>
        <w:rPr>
          <w:rFonts w:ascii="Palatino Linotype" w:eastAsia="Palatino Linotype" w:hAnsi="Palatino Linotype" w:cs="Palatino Linotype"/>
          <w:b/>
          <w:sz w:val="22"/>
          <w:szCs w:val="22"/>
        </w:rPr>
      </w:pPr>
      <w:r w:rsidRPr="004C44E4">
        <w:rPr>
          <w:rFonts w:ascii="Palatino Linotype" w:eastAsia="Palatino Linotype" w:hAnsi="Palatino Linotype" w:cs="Palatino Linotype"/>
          <w:b/>
          <w:sz w:val="22"/>
          <w:szCs w:val="22"/>
        </w:rPr>
        <w:t>C O N S I D E R A N D O S</w:t>
      </w:r>
    </w:p>
    <w:p w:rsidR="00531B06" w:rsidRPr="004C44E4" w:rsidRDefault="00531B06">
      <w:pPr>
        <w:spacing w:line="360" w:lineRule="auto"/>
        <w:rPr>
          <w:rFonts w:ascii="Palatino Linotype" w:eastAsia="Palatino Linotype" w:hAnsi="Palatino Linotype" w:cs="Palatino Linotype"/>
          <w:b/>
          <w:sz w:val="22"/>
          <w:szCs w:val="22"/>
        </w:rPr>
      </w:pPr>
    </w:p>
    <w:p w:rsidR="00531B06" w:rsidRPr="004C44E4" w:rsidRDefault="003B4598">
      <w:pPr>
        <w:spacing w:line="360" w:lineRule="auto"/>
        <w:jc w:val="both"/>
        <w:rPr>
          <w:rFonts w:ascii="Palatino Linotype" w:eastAsia="Palatino Linotype" w:hAnsi="Palatino Linotype" w:cs="Palatino Linotype"/>
          <w:b/>
          <w:sz w:val="22"/>
          <w:szCs w:val="22"/>
        </w:rPr>
      </w:pPr>
      <w:r w:rsidRPr="004C44E4">
        <w:rPr>
          <w:rFonts w:ascii="Palatino Linotype" w:eastAsia="Palatino Linotype" w:hAnsi="Palatino Linotype" w:cs="Palatino Linotype"/>
          <w:b/>
          <w:color w:val="000000"/>
          <w:sz w:val="22"/>
          <w:szCs w:val="22"/>
        </w:rPr>
        <w:t>PRIMERO</w:t>
      </w:r>
      <w:r w:rsidRPr="004C44E4">
        <w:rPr>
          <w:rFonts w:ascii="Palatino Linotype" w:eastAsia="Palatino Linotype" w:hAnsi="Palatino Linotype" w:cs="Palatino Linotype"/>
          <w:color w:val="000000"/>
          <w:sz w:val="22"/>
          <w:szCs w:val="22"/>
        </w:rPr>
        <w:t xml:space="preserve">. </w:t>
      </w:r>
      <w:r w:rsidRPr="004C44E4">
        <w:rPr>
          <w:rFonts w:ascii="Palatino Linotype" w:eastAsia="Palatino Linotype" w:hAnsi="Palatino Linotype" w:cs="Palatino Linotype"/>
          <w:b/>
          <w:sz w:val="22"/>
          <w:szCs w:val="22"/>
        </w:rPr>
        <w:t>Competencia</w:t>
      </w:r>
    </w:p>
    <w:p w:rsidR="00531B06" w:rsidRPr="004C44E4" w:rsidRDefault="00531B06">
      <w:pPr>
        <w:spacing w:line="360" w:lineRule="auto"/>
        <w:jc w:val="both"/>
        <w:rPr>
          <w:rFonts w:ascii="Palatino Linotype" w:eastAsia="Palatino Linotype" w:hAnsi="Palatino Linotype" w:cs="Palatino Linotype"/>
          <w:b/>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w:t>
      </w:r>
      <w:r w:rsidRPr="004C44E4">
        <w:rPr>
          <w:rFonts w:ascii="Palatino Linotype" w:eastAsia="Palatino Linotype" w:hAnsi="Palatino Linotype" w:cs="Palatino Linotype"/>
          <w:color w:val="000000"/>
          <w:sz w:val="22"/>
          <w:szCs w:val="22"/>
        </w:rPr>
        <w:t xml:space="preserve">uesto en los artículos 6°, apartado A, de la Constitución Política de los Estados Unidos Mexicanos; 5°, párrafos trigésimo segundo, trigésimo tercero y trigésimo cuarto, fracciones I, II, III, IV y V de la Constitución Política del Estado Libre y Soberano </w:t>
      </w:r>
      <w:r w:rsidRPr="004C44E4">
        <w:rPr>
          <w:rFonts w:ascii="Palatino Linotype" w:eastAsia="Palatino Linotype" w:hAnsi="Palatino Linotype" w:cs="Palatino Linotype"/>
          <w:color w:val="000000"/>
          <w:sz w:val="22"/>
          <w:szCs w:val="22"/>
        </w:rPr>
        <w:t>de México; 1°, 8°, 9°, 10, 56 y 42, fracciones I, II y III, de la Ley General de Transparencia y Acceso a la Información Pública; 1°, 2°, fracciones II y IV; 13, 29, 36, fracciones I y II; 176, 178, 179, 181 párrafo tercero, 185, 188 y 189 de la Ley Transp</w:t>
      </w:r>
      <w:r w:rsidRPr="004C44E4">
        <w:rPr>
          <w:rFonts w:ascii="Palatino Linotype" w:eastAsia="Palatino Linotype" w:hAnsi="Palatino Linotype" w:cs="Palatino Linotype"/>
          <w:color w:val="000000"/>
          <w:sz w:val="22"/>
          <w:szCs w:val="22"/>
        </w:rPr>
        <w:t>arencia y Acceso a la Información Pública del Estado de México y Municipios; 7°, 9°, fracciones I y XXIII y 11 del Reglamento Interior del Instituto de Transparencia, Acceso a la Información Pública y Protección de Datos Personales del Estado de México y M</w:t>
      </w:r>
      <w:r w:rsidRPr="004C44E4">
        <w:rPr>
          <w:rFonts w:ascii="Palatino Linotype" w:eastAsia="Palatino Linotype" w:hAnsi="Palatino Linotype" w:cs="Palatino Linotype"/>
          <w:color w:val="000000"/>
          <w:sz w:val="22"/>
          <w:szCs w:val="22"/>
        </w:rPr>
        <w:t>unicipios.</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b/>
          <w:color w:val="000000"/>
          <w:sz w:val="22"/>
          <w:szCs w:val="22"/>
        </w:rPr>
        <w:t>SEGUNDO</w:t>
      </w:r>
      <w:r w:rsidRPr="004C44E4">
        <w:rPr>
          <w:rFonts w:ascii="Palatino Linotype" w:eastAsia="Palatino Linotype" w:hAnsi="Palatino Linotype" w:cs="Palatino Linotype"/>
          <w:color w:val="000000"/>
          <w:sz w:val="22"/>
          <w:szCs w:val="22"/>
        </w:rPr>
        <w:t xml:space="preserve">. </w:t>
      </w:r>
      <w:r w:rsidRPr="004C44E4">
        <w:rPr>
          <w:rFonts w:ascii="Palatino Linotype" w:eastAsia="Palatino Linotype" w:hAnsi="Palatino Linotype" w:cs="Palatino Linotype"/>
          <w:b/>
          <w:color w:val="000000"/>
          <w:sz w:val="22"/>
          <w:szCs w:val="22"/>
        </w:rPr>
        <w:t>Causales de</w:t>
      </w:r>
      <w:r w:rsidR="00F72E24" w:rsidRPr="004C44E4">
        <w:rPr>
          <w:rFonts w:ascii="Palatino Linotype" w:eastAsia="Palatino Linotype" w:hAnsi="Palatino Linotype" w:cs="Palatino Linotype"/>
          <w:b/>
          <w:color w:val="000000"/>
          <w:sz w:val="22"/>
          <w:szCs w:val="22"/>
        </w:rPr>
        <w:t xml:space="preserve"> improcedencia y sobreseimiento</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b/>
          <w:color w:val="000000"/>
          <w:sz w:val="22"/>
          <w:szCs w:val="22"/>
        </w:rPr>
        <w:t>a)</w:t>
      </w:r>
      <w:r w:rsidRPr="004C44E4">
        <w:rPr>
          <w:rFonts w:ascii="Palatino Linotype" w:eastAsia="Palatino Linotype" w:hAnsi="Palatino Linotype" w:cs="Palatino Linotype"/>
          <w:color w:val="000000"/>
          <w:sz w:val="22"/>
          <w:szCs w:val="22"/>
        </w:rPr>
        <w:t xml:space="preserve"> </w:t>
      </w:r>
      <w:r w:rsidR="00F72E24" w:rsidRPr="004C44E4">
        <w:rPr>
          <w:rFonts w:ascii="Palatino Linotype" w:eastAsia="Palatino Linotype" w:hAnsi="Palatino Linotype" w:cs="Palatino Linotype"/>
          <w:b/>
          <w:color w:val="000000"/>
          <w:sz w:val="22"/>
          <w:szCs w:val="22"/>
        </w:rPr>
        <w:t>Causales de improcedencia</w:t>
      </w:r>
    </w:p>
    <w:p w:rsidR="00531B06" w:rsidRPr="004C44E4" w:rsidRDefault="00531B06">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 xml:space="preserve">Este Instituto realiza el estudio oficioso de las causales de improcedencia, por tratarse de una cuestión de orden público y de estudio preferente acorde con </w:t>
      </w:r>
      <w:r w:rsidRPr="004C44E4">
        <w:rPr>
          <w:rFonts w:ascii="Palatino Linotype" w:eastAsia="Palatino Linotype" w:hAnsi="Palatino Linotype" w:cs="Palatino Linotype"/>
          <w:color w:val="000000"/>
          <w:sz w:val="22"/>
          <w:szCs w:val="22"/>
        </w:rPr>
        <w:t xml:space="preserve">el Criterio orientador en la Tesis de Jurisprudencia “IMPROCEDENCIA.” (Semanario Judicial de la Federación, Quinta Época, </w:t>
      </w:r>
      <w:r w:rsidRPr="004C44E4">
        <w:rPr>
          <w:rFonts w:ascii="Palatino Linotype" w:eastAsia="Palatino Linotype" w:hAnsi="Palatino Linotype" w:cs="Palatino Linotype"/>
          <w:color w:val="000000"/>
          <w:sz w:val="22"/>
          <w:szCs w:val="22"/>
        </w:rPr>
        <w:lastRenderedPageBreak/>
        <w:t>1985, pág. 262), el cual establece que debe examinarse previamente la procedencia del juicio de amparo, sea que las partes lo solicite</w:t>
      </w:r>
      <w:r w:rsidRPr="004C44E4">
        <w:rPr>
          <w:rFonts w:ascii="Palatino Linotype" w:eastAsia="Palatino Linotype" w:hAnsi="Palatino Linotype" w:cs="Palatino Linotype"/>
          <w:color w:val="000000"/>
          <w:sz w:val="22"/>
          <w:szCs w:val="22"/>
        </w:rPr>
        <w:t>n o no, por ser una cuestión de orden público; de tal suerte, deberá ser desechado cualquier Recurso de Revisión que actualice alguno de los supuestos establecidos en el artículo 191 de la Ley de Transparencia y Acceso a la Información Pública del Estado d</w:t>
      </w:r>
      <w:r w:rsidRPr="004C44E4">
        <w:rPr>
          <w:rFonts w:ascii="Palatino Linotype" w:eastAsia="Palatino Linotype" w:hAnsi="Palatino Linotype" w:cs="Palatino Linotype"/>
          <w:color w:val="000000"/>
          <w:sz w:val="22"/>
          <w:szCs w:val="22"/>
        </w:rPr>
        <w:t>e México y Municipios, por ser improcedente.</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En el presente caso, en el análisis oficioso del Recurso de Revisión no se previó una causal de improcedencia; sin embargo, una vez admitido el Recurso de Revisión y en su estudio a detalle, este Organismo Gara</w:t>
      </w:r>
      <w:r w:rsidRPr="004C44E4">
        <w:rPr>
          <w:rFonts w:ascii="Palatino Linotype" w:eastAsia="Palatino Linotype" w:hAnsi="Palatino Linotype" w:cs="Palatino Linotype"/>
          <w:color w:val="000000"/>
          <w:sz w:val="22"/>
          <w:szCs w:val="22"/>
        </w:rPr>
        <w:t>nte advierte que surgió una causal de improcedencia, prevista en el artículo 191 fracción VII de la Ley de Transparencia y Acceso a la Información Pública del Estado de México y Municipios; artículo que a la letra dispone:</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ind w:left="567" w:right="539"/>
        <w:jc w:val="both"/>
        <w:rPr>
          <w:rFonts w:ascii="Palatino Linotype" w:eastAsia="Palatino Linotype" w:hAnsi="Palatino Linotype" w:cs="Palatino Linotype"/>
          <w:i/>
        </w:rPr>
      </w:pPr>
      <w:r w:rsidRPr="004C44E4">
        <w:rPr>
          <w:rFonts w:ascii="Palatino Linotype" w:eastAsia="Palatino Linotype" w:hAnsi="Palatino Linotype" w:cs="Palatino Linotype"/>
          <w:b/>
          <w:i/>
        </w:rPr>
        <w:t>Artículo 191</w:t>
      </w:r>
      <w:r w:rsidRPr="004C44E4">
        <w:rPr>
          <w:rFonts w:ascii="Palatino Linotype" w:eastAsia="Palatino Linotype" w:hAnsi="Palatino Linotype" w:cs="Palatino Linotype"/>
          <w:i/>
        </w:rPr>
        <w:t>. El recurso será de</w:t>
      </w:r>
      <w:r w:rsidRPr="004C44E4">
        <w:rPr>
          <w:rFonts w:ascii="Palatino Linotype" w:eastAsia="Palatino Linotype" w:hAnsi="Palatino Linotype" w:cs="Palatino Linotype"/>
          <w:i/>
        </w:rPr>
        <w:t>sechado por improcedente cuando:</w:t>
      </w:r>
    </w:p>
    <w:p w:rsidR="00531B06" w:rsidRPr="004C44E4" w:rsidRDefault="003B4598">
      <w:pPr>
        <w:spacing w:line="360" w:lineRule="auto"/>
        <w:ind w:left="567" w:right="539"/>
        <w:jc w:val="both"/>
        <w:rPr>
          <w:rFonts w:ascii="Palatino Linotype" w:eastAsia="Palatino Linotype" w:hAnsi="Palatino Linotype" w:cs="Palatino Linotype"/>
          <w:i/>
        </w:rPr>
      </w:pPr>
      <w:r w:rsidRPr="004C44E4">
        <w:rPr>
          <w:rFonts w:ascii="Palatino Linotype" w:eastAsia="Palatino Linotype" w:hAnsi="Palatino Linotype" w:cs="Palatino Linotype"/>
          <w:i/>
        </w:rPr>
        <w:t>I al VI…</w:t>
      </w:r>
    </w:p>
    <w:p w:rsidR="00531B06" w:rsidRPr="004C44E4" w:rsidRDefault="003B4598">
      <w:pPr>
        <w:spacing w:line="360" w:lineRule="auto"/>
        <w:ind w:left="567" w:right="539"/>
        <w:jc w:val="both"/>
        <w:rPr>
          <w:rFonts w:ascii="Palatino Linotype" w:eastAsia="Palatino Linotype" w:hAnsi="Palatino Linotype" w:cs="Palatino Linotype"/>
          <w:b/>
          <w:i/>
        </w:rPr>
      </w:pPr>
      <w:r w:rsidRPr="004C44E4">
        <w:rPr>
          <w:rFonts w:ascii="Palatino Linotype" w:eastAsia="Palatino Linotype" w:hAnsi="Palatino Linotype" w:cs="Palatino Linotype"/>
          <w:b/>
          <w:i/>
        </w:rPr>
        <w:t>VII. El recurrente amplíe su solicitud en el recurso de revisión, únicamente respecto de los nuevos contenidos.</w:t>
      </w:r>
    </w:p>
    <w:p w:rsidR="00531B06" w:rsidRPr="004C44E4" w:rsidRDefault="003B4598">
      <w:pPr>
        <w:spacing w:line="360" w:lineRule="auto"/>
        <w:ind w:left="567" w:right="567"/>
        <w:jc w:val="both"/>
        <w:rPr>
          <w:rFonts w:ascii="Palatino Linotype" w:eastAsia="Palatino Linotype" w:hAnsi="Palatino Linotype" w:cs="Palatino Linotype"/>
        </w:rPr>
      </w:pPr>
      <w:r w:rsidRPr="004C44E4">
        <w:rPr>
          <w:rFonts w:ascii="Palatino Linotype" w:eastAsia="Palatino Linotype" w:hAnsi="Palatino Linotype" w:cs="Palatino Linotype"/>
        </w:rPr>
        <w:t>(Énfasis añadido)</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En atención de lo anterior, se procede a analizar las cuestiones de hecho que dieron lugar a la improcedencia en concordancia con el apartado de causales de sobreseimiento.</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 xml:space="preserve">b) </w:t>
      </w:r>
      <w:r w:rsidRPr="004C44E4">
        <w:rPr>
          <w:rFonts w:ascii="Palatino Linotype" w:eastAsia="Palatino Linotype" w:hAnsi="Palatino Linotype" w:cs="Palatino Linotype"/>
          <w:b/>
          <w:color w:val="000000"/>
          <w:sz w:val="22"/>
          <w:szCs w:val="22"/>
        </w:rPr>
        <w:t>Causales de sobreseimiento.</w:t>
      </w:r>
    </w:p>
    <w:p w:rsidR="00531B06" w:rsidRPr="004C44E4" w:rsidRDefault="00531B06">
      <w:pPr>
        <w:spacing w:line="360" w:lineRule="auto"/>
        <w:jc w:val="both"/>
        <w:rPr>
          <w:rFonts w:ascii="Palatino Linotype" w:eastAsia="Palatino Linotype" w:hAnsi="Palatino Linotype" w:cs="Palatino Linotype"/>
          <w:b/>
          <w:color w:val="000000"/>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sz w:val="22"/>
          <w:szCs w:val="22"/>
        </w:rPr>
        <w:lastRenderedPageBreak/>
        <w:t xml:space="preserve">Por otra parte, el artículo 192 de la </w:t>
      </w:r>
      <w:r w:rsidRPr="004C44E4">
        <w:rPr>
          <w:rFonts w:ascii="Palatino Linotype" w:eastAsia="Palatino Linotype" w:hAnsi="Palatino Linotype" w:cs="Palatino Linotype"/>
          <w:color w:val="000000"/>
          <w:sz w:val="22"/>
          <w:szCs w:val="22"/>
        </w:rPr>
        <w:t>Ley Transparencia y Acceso a la Información Pública del Estado de México y Municipios, señala que el Recurso de Revisión será sobreseído en todo o en parte, cuando, una vez admitido, se actualice alguno de los siguientes supuestos:</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numPr>
          <w:ilvl w:val="0"/>
          <w:numId w:val="1"/>
        </w:numPr>
        <w:spacing w:line="360" w:lineRule="auto"/>
        <w:ind w:left="851"/>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El Recurrente se desist</w:t>
      </w:r>
      <w:r w:rsidRPr="004C44E4">
        <w:rPr>
          <w:rFonts w:ascii="Palatino Linotype" w:eastAsia="Palatino Linotype" w:hAnsi="Palatino Linotype" w:cs="Palatino Linotype"/>
          <w:color w:val="000000"/>
          <w:sz w:val="22"/>
          <w:szCs w:val="22"/>
        </w:rPr>
        <w:t>a expresamente;</w:t>
      </w:r>
    </w:p>
    <w:p w:rsidR="00531B06" w:rsidRPr="004C44E4" w:rsidRDefault="003B4598">
      <w:pPr>
        <w:numPr>
          <w:ilvl w:val="0"/>
          <w:numId w:val="1"/>
        </w:numPr>
        <w:spacing w:line="360" w:lineRule="auto"/>
        <w:ind w:left="851"/>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El Recurrente fallezca o, tratándose de personas morales se disuelva;</w:t>
      </w:r>
    </w:p>
    <w:p w:rsidR="00531B06" w:rsidRPr="004C44E4" w:rsidRDefault="003B4598">
      <w:pPr>
        <w:numPr>
          <w:ilvl w:val="0"/>
          <w:numId w:val="1"/>
        </w:numPr>
        <w:spacing w:line="360" w:lineRule="auto"/>
        <w:ind w:left="851"/>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El Sujeto Obligado modifique la respuesta o la revoque, de tal manera que el recurso de revisión quede sin materia;</w:t>
      </w:r>
    </w:p>
    <w:p w:rsidR="00531B06" w:rsidRPr="004C44E4" w:rsidRDefault="003B4598">
      <w:pPr>
        <w:numPr>
          <w:ilvl w:val="0"/>
          <w:numId w:val="1"/>
        </w:numPr>
        <w:spacing w:line="360" w:lineRule="auto"/>
        <w:ind w:left="851"/>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b/>
          <w:color w:val="000000"/>
          <w:sz w:val="22"/>
          <w:szCs w:val="22"/>
          <w:u w:val="single"/>
        </w:rPr>
        <w:t>Admitido el recurso de revisión, aparezca alguna causa</w:t>
      </w:r>
      <w:r w:rsidRPr="004C44E4">
        <w:rPr>
          <w:rFonts w:ascii="Palatino Linotype" w:eastAsia="Palatino Linotype" w:hAnsi="Palatino Linotype" w:cs="Palatino Linotype"/>
          <w:b/>
          <w:color w:val="000000"/>
          <w:sz w:val="22"/>
          <w:szCs w:val="22"/>
          <w:u w:val="single"/>
        </w:rPr>
        <w:t>l de improcedencia;</w:t>
      </w:r>
      <w:r w:rsidRPr="004C44E4">
        <w:rPr>
          <w:rFonts w:ascii="Palatino Linotype" w:eastAsia="Palatino Linotype" w:hAnsi="Palatino Linotype" w:cs="Palatino Linotype"/>
          <w:color w:val="000000"/>
          <w:sz w:val="22"/>
          <w:szCs w:val="22"/>
        </w:rPr>
        <w:t xml:space="preserve"> y,</w:t>
      </w:r>
    </w:p>
    <w:p w:rsidR="00531B06" w:rsidRPr="004C44E4" w:rsidRDefault="003B4598">
      <w:pPr>
        <w:numPr>
          <w:ilvl w:val="0"/>
          <w:numId w:val="1"/>
        </w:numPr>
        <w:spacing w:line="360" w:lineRule="auto"/>
        <w:ind w:left="851"/>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Cuando por cualquier motivo quede sin materia el recurso de revisión.</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t>Al respecto, de los autos que corren agregados al expediente en el que se actúa, no fue posible advertir que la Recurrente se hubiera desistido, fallecido o el Sujeto Obligado emitiera algún acto que modificara la respuesta y dejará sin material el Recurso</w:t>
      </w:r>
      <w:r w:rsidRPr="004C44E4">
        <w:rPr>
          <w:rFonts w:ascii="Palatino Linotype" w:eastAsia="Palatino Linotype" w:hAnsi="Palatino Linotype" w:cs="Palatino Linotype"/>
          <w:sz w:val="22"/>
          <w:szCs w:val="22"/>
        </w:rPr>
        <w:t xml:space="preserve"> de Revisión; sin embargo, se detectaron elementos de una posible improcedencia; con motivo de una ampliación a la solicitud inicial.</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color w:val="000000"/>
          <w:sz w:val="22"/>
          <w:szCs w:val="22"/>
        </w:rPr>
        <w:t xml:space="preserve">Así, con la finalidad de verificar lo anterior, </w:t>
      </w:r>
      <w:r w:rsidRPr="004C44E4">
        <w:rPr>
          <w:rFonts w:ascii="Palatino Linotype" w:eastAsia="Palatino Linotype" w:hAnsi="Palatino Linotype" w:cs="Palatino Linotype"/>
          <w:sz w:val="22"/>
          <w:szCs w:val="22"/>
        </w:rPr>
        <w:t>se realizará la relatoría de las actuaciones efectuadas por las partes du</w:t>
      </w:r>
      <w:r w:rsidRPr="004C44E4">
        <w:rPr>
          <w:rFonts w:ascii="Palatino Linotype" w:eastAsia="Palatino Linotype" w:hAnsi="Palatino Linotype" w:cs="Palatino Linotype"/>
          <w:sz w:val="22"/>
          <w:szCs w:val="22"/>
        </w:rPr>
        <w:t>rante el procedimiento de acceso a la información pública con el propósito de dar claridad en el tratamiento del tema en estudio.</w:t>
      </w:r>
    </w:p>
    <w:p w:rsidR="00531B06" w:rsidRPr="004C44E4" w:rsidRDefault="00531B06">
      <w:pPr>
        <w:spacing w:line="360" w:lineRule="auto"/>
        <w:jc w:val="both"/>
        <w:rPr>
          <w:rFonts w:ascii="Palatino Linotype" w:eastAsia="Palatino Linotype" w:hAnsi="Palatino Linotype" w:cs="Palatino Linotype"/>
          <w:color w:val="0D0D0D"/>
          <w:sz w:val="22"/>
          <w:szCs w:val="22"/>
        </w:rPr>
      </w:pPr>
    </w:p>
    <w:p w:rsidR="00531B06" w:rsidRPr="004C44E4" w:rsidRDefault="003B4598">
      <w:p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t xml:space="preserve">Una vez expuesto lo anterior; es preciso iniciar el análisis del presente asunto, estudiando la </w:t>
      </w:r>
      <w:r w:rsidRPr="004C44E4">
        <w:rPr>
          <w:rFonts w:ascii="Palatino Linotype" w:eastAsia="Palatino Linotype" w:hAnsi="Palatino Linotype" w:cs="Palatino Linotype"/>
          <w:b/>
          <w:sz w:val="22"/>
          <w:szCs w:val="22"/>
        </w:rPr>
        <w:t>respuesta proporcionada por e</w:t>
      </w:r>
      <w:r w:rsidRPr="004C44E4">
        <w:rPr>
          <w:rFonts w:ascii="Palatino Linotype" w:eastAsia="Palatino Linotype" w:hAnsi="Palatino Linotype" w:cs="Palatino Linotype"/>
          <w:b/>
          <w:sz w:val="22"/>
          <w:szCs w:val="22"/>
        </w:rPr>
        <w:t>l Sujeto Obligado</w:t>
      </w:r>
      <w:r w:rsidRPr="004C44E4">
        <w:rPr>
          <w:rFonts w:ascii="Palatino Linotype" w:eastAsia="Palatino Linotype" w:hAnsi="Palatino Linotype" w:cs="Palatino Linotype"/>
          <w:sz w:val="22"/>
          <w:szCs w:val="22"/>
        </w:rPr>
        <w:t>; puesto que se advierte que fue emitida fuera del plazo dispuesto por la Ley de Transparencia y Acceso a la Información Pública del Estado de México y Municipios.</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t>En principio, es de suma importancia señalar los objetivos de la Ley de Tr</w:t>
      </w:r>
      <w:r w:rsidRPr="004C44E4">
        <w:rPr>
          <w:rFonts w:ascii="Palatino Linotype" w:eastAsia="Palatino Linotype" w:hAnsi="Palatino Linotype" w:cs="Palatino Linotype"/>
          <w:sz w:val="22"/>
          <w:szCs w:val="22"/>
        </w:rPr>
        <w:t>ansparencia y Acceso a la Información Pública del Estado de México y Municipios, en relación con la obligación de acceso por parte de los Sujetos Obligados, lo cuales se encuentran establecidos en el artículo 2° de dicho ordenamiento jurídico y son los sig</w:t>
      </w:r>
      <w:r w:rsidRPr="004C44E4">
        <w:rPr>
          <w:rFonts w:ascii="Palatino Linotype" w:eastAsia="Palatino Linotype" w:hAnsi="Palatino Linotype" w:cs="Palatino Linotype"/>
          <w:sz w:val="22"/>
          <w:szCs w:val="22"/>
        </w:rPr>
        <w:t>uientes:</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numPr>
          <w:ilvl w:val="0"/>
          <w:numId w:val="3"/>
        </w:num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t>Proveer lo necesario para garantizar a toda persona el derecho de acceso a la información pública, a través de procedimientos sencillos, expeditos, oportunos y gratuitos;</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numPr>
          <w:ilvl w:val="0"/>
          <w:numId w:val="3"/>
        </w:num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t>Transparentar la gestión pública, mediante la difusión de la información g</w:t>
      </w:r>
      <w:r w:rsidRPr="004C44E4">
        <w:rPr>
          <w:rFonts w:ascii="Palatino Linotype" w:eastAsia="Palatino Linotype" w:hAnsi="Palatino Linotype" w:cs="Palatino Linotype"/>
          <w:sz w:val="22"/>
          <w:szCs w:val="22"/>
        </w:rPr>
        <w:t>enerada por los Sujetos Obligados, y</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numPr>
          <w:ilvl w:val="0"/>
          <w:numId w:val="3"/>
        </w:num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t>Promover, fomentar y difundir la cultura de la transparencia en el ejercicio de la función pública, el acceso a la información y la participación ciudadana, así como, la rendición de cuentas.</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t>Conforme a lo anterior, s</w:t>
      </w:r>
      <w:r w:rsidRPr="004C44E4">
        <w:rPr>
          <w:rFonts w:ascii="Palatino Linotype" w:eastAsia="Palatino Linotype" w:hAnsi="Palatino Linotype" w:cs="Palatino Linotype"/>
          <w:sz w:val="22"/>
          <w:szCs w:val="22"/>
        </w:rPr>
        <w:t xml:space="preserve">e desprende que </w:t>
      </w:r>
      <w:r w:rsidRPr="004C44E4">
        <w:rPr>
          <w:rFonts w:ascii="Palatino Linotype" w:eastAsia="Palatino Linotype" w:hAnsi="Palatino Linotype" w:cs="Palatino Linotype"/>
          <w:b/>
          <w:sz w:val="22"/>
          <w:szCs w:val="22"/>
        </w:rPr>
        <w:t>los objetivos de la Ley de la materia,</w:t>
      </w:r>
      <w:r w:rsidRPr="004C44E4">
        <w:rPr>
          <w:rFonts w:ascii="Palatino Linotype" w:eastAsia="Palatino Linotype" w:hAnsi="Palatino Linotype" w:cs="Palatino Linotype"/>
          <w:sz w:val="22"/>
          <w:szCs w:val="22"/>
        </w:rPr>
        <w:t xml:space="preserve"> son establecer las bases que regirán las formas para garantizar el derecho de acceso a la información, mediante procesos sencillos y expeditos, la promoción, fomentación y difusión de la cultura de tra</w:t>
      </w:r>
      <w:r w:rsidRPr="004C44E4">
        <w:rPr>
          <w:rFonts w:ascii="Palatino Linotype" w:eastAsia="Palatino Linotype" w:hAnsi="Palatino Linotype" w:cs="Palatino Linotype"/>
          <w:sz w:val="22"/>
          <w:szCs w:val="22"/>
        </w:rPr>
        <w:t>nsparencia y la rendición de cuentas, a través de establecimiento de políticas públicas y mecanismos que garanticen la publicidad de información oportuna, verificable, comprensible, actualizada y completa.</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lastRenderedPageBreak/>
        <w:t xml:space="preserve">En ese orden de ideas, para la atención de las solicitudes de acceso a la información, debe privilegiarse el </w:t>
      </w:r>
      <w:r w:rsidRPr="004C44E4">
        <w:rPr>
          <w:rFonts w:ascii="Palatino Linotype" w:eastAsia="Palatino Linotype" w:hAnsi="Palatino Linotype" w:cs="Palatino Linotype"/>
          <w:b/>
          <w:sz w:val="22"/>
          <w:szCs w:val="22"/>
        </w:rPr>
        <w:t>principio de máxima publicidad</w:t>
      </w:r>
      <w:r w:rsidRPr="004C44E4">
        <w:rPr>
          <w:rFonts w:ascii="Palatino Linotype" w:eastAsia="Palatino Linotype" w:hAnsi="Palatino Linotype" w:cs="Palatino Linotype"/>
          <w:sz w:val="22"/>
          <w:szCs w:val="22"/>
        </w:rPr>
        <w:t xml:space="preserve"> el cual dispone que toda la información en posesión de los sujetos obligados será pública, completa, oportuna y acce</w:t>
      </w:r>
      <w:r w:rsidRPr="004C44E4">
        <w:rPr>
          <w:rFonts w:ascii="Palatino Linotype" w:eastAsia="Palatino Linotype" w:hAnsi="Palatino Linotype" w:cs="Palatino Linotype"/>
          <w:sz w:val="22"/>
          <w:szCs w:val="22"/>
        </w:rPr>
        <w:t>sible, sujeta a un claro régimen de excepciones que deberán estar definidas y ser legítimas y estrictamente necesarias en una sociedad democrática.</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t>Para lograr lo anterior, los Sujetos Obligados deben seguir el procedimiento para la atención a las solicit</w:t>
      </w:r>
      <w:r w:rsidRPr="004C44E4">
        <w:rPr>
          <w:rFonts w:ascii="Palatino Linotype" w:eastAsia="Palatino Linotype" w:hAnsi="Palatino Linotype" w:cs="Palatino Linotype"/>
          <w:sz w:val="22"/>
          <w:szCs w:val="22"/>
        </w:rPr>
        <w:t>udes de acceso a la información, establecido en los artículos 151, 159, 160, 162, 163, 164, 165 y 166, de la Ley de Transparencia y Acceso a la Información Pública del Estado de México y Municipios, el cual es el siguiente:</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numPr>
          <w:ilvl w:val="0"/>
          <w:numId w:val="4"/>
        </w:num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t>Las Unidades de Transparencia d</w:t>
      </w:r>
      <w:r w:rsidRPr="004C44E4">
        <w:rPr>
          <w:rFonts w:ascii="Palatino Linotype" w:eastAsia="Palatino Linotype" w:hAnsi="Palatino Linotype" w:cs="Palatino Linotype"/>
          <w:sz w:val="22"/>
          <w:szCs w:val="22"/>
        </w:rPr>
        <w:t>e los Sujetos Obligados deben garantizar las medidas y condiciones de accesibilidad para que toda persona puede ejercer el derecho de acceso a la información; por lo que, son las responsables de hacer las notificaciones correspondientes, además de llevar a</w:t>
      </w:r>
      <w:r w:rsidRPr="004C44E4">
        <w:rPr>
          <w:rFonts w:ascii="Palatino Linotype" w:eastAsia="Palatino Linotype" w:hAnsi="Palatino Linotype" w:cs="Palatino Linotype"/>
          <w:sz w:val="22"/>
          <w:szCs w:val="22"/>
        </w:rPr>
        <w:t xml:space="preserve"> cabo de todas las gestiones necesarias para facilitar el acceso de la información;</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numPr>
          <w:ilvl w:val="0"/>
          <w:numId w:val="4"/>
        </w:num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t>Los Sujetos Obligados podrán requerir a los Solicitantes, que complementen, corrijan o amplíen su solicitud de información, cuando resulten los datos proporcionados insufi</w:t>
      </w:r>
      <w:r w:rsidRPr="004C44E4">
        <w:rPr>
          <w:rFonts w:ascii="Palatino Linotype" w:eastAsia="Palatino Linotype" w:hAnsi="Palatino Linotype" w:cs="Palatino Linotype"/>
          <w:sz w:val="22"/>
          <w:szCs w:val="22"/>
        </w:rPr>
        <w:t>cientes, incorrectos, incompletos o erróneos; solicitar dicha aclaración, interrumpirá el plazo para dar respuesta y comenzará a computarse el día siguiente al desahogo de esta.</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numPr>
          <w:ilvl w:val="0"/>
          <w:numId w:val="4"/>
        </w:num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lastRenderedPageBreak/>
        <w:t>Las respuestas a los requerimientos informativos deberán notificarse al inter</w:t>
      </w:r>
      <w:r w:rsidRPr="004C44E4">
        <w:rPr>
          <w:rFonts w:ascii="Palatino Linotype" w:eastAsia="Palatino Linotype" w:hAnsi="Palatino Linotype" w:cs="Palatino Linotype"/>
          <w:sz w:val="22"/>
          <w:szCs w:val="22"/>
        </w:rPr>
        <w:t xml:space="preserve">esado en el menor tiempo posible, que </w:t>
      </w:r>
      <w:r w:rsidRPr="004C44E4">
        <w:rPr>
          <w:rFonts w:ascii="Palatino Linotype" w:eastAsia="Palatino Linotype" w:hAnsi="Palatino Linotype" w:cs="Palatino Linotype"/>
          <w:b/>
          <w:sz w:val="22"/>
          <w:szCs w:val="22"/>
        </w:rPr>
        <w:t>no podrá exceder</w:t>
      </w:r>
      <w:r w:rsidRPr="004C44E4">
        <w:rPr>
          <w:rFonts w:ascii="Palatino Linotype" w:eastAsia="Palatino Linotype" w:hAnsi="Palatino Linotype" w:cs="Palatino Linotype"/>
          <w:sz w:val="22"/>
          <w:szCs w:val="22"/>
        </w:rPr>
        <w:t xml:space="preserve"> </w:t>
      </w:r>
      <w:r w:rsidRPr="004C44E4">
        <w:rPr>
          <w:rFonts w:ascii="Palatino Linotype" w:eastAsia="Palatino Linotype" w:hAnsi="Palatino Linotype" w:cs="Palatino Linotype"/>
          <w:b/>
          <w:sz w:val="22"/>
          <w:szCs w:val="22"/>
        </w:rPr>
        <w:t>quince días, contados a partir del día siguiente a la presentación de ésta.</w:t>
      </w:r>
      <w:r w:rsidRPr="004C44E4">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w:t>
      </w:r>
      <w:r w:rsidRPr="004C44E4">
        <w:rPr>
          <w:rFonts w:ascii="Palatino Linotype" w:eastAsia="Palatino Linotype" w:hAnsi="Palatino Linotype" w:cs="Palatino Linotype"/>
          <w:sz w:val="22"/>
          <w:szCs w:val="22"/>
        </w:rPr>
        <w:t>a través del Comité de Transparencia;</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numPr>
          <w:ilvl w:val="0"/>
          <w:numId w:val="4"/>
        </w:numPr>
        <w:spacing w:line="360" w:lineRule="auto"/>
        <w:jc w:val="both"/>
        <w:rPr>
          <w:rFonts w:ascii="Palatino Linotype" w:eastAsia="Palatino Linotype" w:hAnsi="Palatino Linotype" w:cs="Palatino Linotype"/>
          <w:b/>
          <w:sz w:val="22"/>
          <w:szCs w:val="22"/>
        </w:rPr>
      </w:pPr>
      <w:r w:rsidRPr="004C44E4">
        <w:rPr>
          <w:rFonts w:ascii="Palatino Linotype" w:eastAsia="Palatino Linotype" w:hAnsi="Palatino Linotype" w:cs="Palatino Linotype"/>
          <w:sz w:val="22"/>
          <w:szCs w:val="22"/>
        </w:rPr>
        <w:t>Las Unidades de Transparencia garantizarán que las solicitudes se turnen a todas las áreas competentes que cuenten con la información o deban tenerla de acuerdo a sus facultades, funciones y atribuciones, para que rea</w:t>
      </w:r>
      <w:r w:rsidRPr="004C44E4">
        <w:rPr>
          <w:rFonts w:ascii="Palatino Linotype" w:eastAsia="Palatino Linotype" w:hAnsi="Palatino Linotype" w:cs="Palatino Linotype"/>
          <w:sz w:val="22"/>
          <w:szCs w:val="22"/>
        </w:rPr>
        <w:t xml:space="preserve">licen una búsqueda exhaustiva y razonable de la documentación solicitada, con el fin de que proporcionen las expresiones documentales </w:t>
      </w:r>
      <w:r w:rsidRPr="004C44E4">
        <w:rPr>
          <w:rFonts w:ascii="Palatino Linotype" w:eastAsia="Palatino Linotype" w:hAnsi="Palatino Linotype" w:cs="Palatino Linotype"/>
          <w:b/>
          <w:sz w:val="22"/>
          <w:szCs w:val="22"/>
        </w:rPr>
        <w:t>que se encuentren en sus archivos o que estén constreñidos a elaborar;</w:t>
      </w:r>
    </w:p>
    <w:p w:rsidR="00531B06" w:rsidRPr="004C44E4" w:rsidRDefault="00531B06">
      <w:pPr>
        <w:spacing w:line="360" w:lineRule="auto"/>
        <w:jc w:val="both"/>
        <w:rPr>
          <w:rFonts w:ascii="Palatino Linotype" w:eastAsia="Palatino Linotype" w:hAnsi="Palatino Linotype" w:cs="Palatino Linotype"/>
          <w:b/>
          <w:sz w:val="22"/>
          <w:szCs w:val="22"/>
        </w:rPr>
      </w:pPr>
    </w:p>
    <w:p w:rsidR="00531B06" w:rsidRPr="004C44E4" w:rsidRDefault="003B4598">
      <w:pPr>
        <w:numPr>
          <w:ilvl w:val="0"/>
          <w:numId w:val="4"/>
        </w:numPr>
        <w:spacing w:line="360" w:lineRule="auto"/>
        <w:jc w:val="both"/>
        <w:rPr>
          <w:rFonts w:ascii="Palatino Linotype" w:eastAsia="Palatino Linotype" w:hAnsi="Palatino Linotype" w:cs="Palatino Linotype"/>
          <w:b/>
          <w:sz w:val="22"/>
          <w:szCs w:val="22"/>
        </w:rPr>
      </w:pPr>
      <w:r w:rsidRPr="004C44E4">
        <w:rPr>
          <w:rFonts w:ascii="Palatino Linotype" w:eastAsia="Palatino Linotype" w:hAnsi="Palatino Linotype" w:cs="Palatino Linotype"/>
          <w:sz w:val="22"/>
          <w:szCs w:val="22"/>
        </w:rPr>
        <w:t xml:space="preserve">El acceso se dará en la modalidad de entrega y en </w:t>
      </w:r>
      <w:r w:rsidRPr="004C44E4">
        <w:rPr>
          <w:rFonts w:ascii="Palatino Linotype" w:eastAsia="Palatino Linotype" w:hAnsi="Palatino Linotype" w:cs="Palatino Linotype"/>
          <w:sz w:val="22"/>
          <w:szCs w:val="22"/>
        </w:rPr>
        <w:t>su caso, de envío elegido por el solicitante, cuando no pueda entregarse en dicha modalidad, el Sujeto Obligado deberá ofrecer otras; por lo cual, deberá fundamentar y motivar la necesidad de modificar el medio de entrega, y</w:t>
      </w:r>
    </w:p>
    <w:p w:rsidR="00531B06" w:rsidRPr="004C44E4" w:rsidRDefault="00531B06">
      <w:pPr>
        <w:spacing w:line="360" w:lineRule="auto"/>
        <w:jc w:val="both"/>
        <w:rPr>
          <w:rFonts w:ascii="Palatino Linotype" w:eastAsia="Palatino Linotype" w:hAnsi="Palatino Linotype" w:cs="Palatino Linotype"/>
          <w:b/>
          <w:sz w:val="22"/>
          <w:szCs w:val="22"/>
        </w:rPr>
      </w:pPr>
    </w:p>
    <w:p w:rsidR="00531B06" w:rsidRPr="004C44E4" w:rsidRDefault="003B4598">
      <w:pPr>
        <w:numPr>
          <w:ilvl w:val="0"/>
          <w:numId w:val="4"/>
        </w:numPr>
        <w:spacing w:line="360" w:lineRule="auto"/>
        <w:jc w:val="both"/>
        <w:rPr>
          <w:rFonts w:ascii="Palatino Linotype" w:eastAsia="Palatino Linotype" w:hAnsi="Palatino Linotype" w:cs="Palatino Linotype"/>
          <w:b/>
          <w:sz w:val="22"/>
          <w:szCs w:val="22"/>
        </w:rPr>
      </w:pPr>
      <w:r w:rsidRPr="004C44E4">
        <w:rPr>
          <w:rFonts w:ascii="Palatino Linotype" w:eastAsia="Palatino Linotype" w:hAnsi="Palatino Linotype" w:cs="Palatino Linotype"/>
          <w:sz w:val="22"/>
          <w:szCs w:val="22"/>
        </w:rPr>
        <w:t>Las Unidades de Transparencia,</w:t>
      </w:r>
      <w:r w:rsidRPr="004C44E4">
        <w:rPr>
          <w:rFonts w:ascii="Palatino Linotype" w:eastAsia="Palatino Linotype" w:hAnsi="Palatino Linotype" w:cs="Palatino Linotype"/>
          <w:sz w:val="22"/>
          <w:szCs w:val="22"/>
        </w:rPr>
        <w:t xml:space="preserve"> tendrán disponible la información requerida durante un plazo mínimo de sesenta días hábiles, contados a partir de que el solicitante hubiere realizado, en su caso, el pago respectivo, el cual deberá efectuarse en un plazo no mayor a treinta días hábiles; </w:t>
      </w:r>
      <w:r w:rsidRPr="004C44E4">
        <w:rPr>
          <w:rFonts w:ascii="Palatino Linotype" w:eastAsia="Palatino Linotype" w:hAnsi="Palatino Linotype" w:cs="Palatino Linotype"/>
          <w:sz w:val="22"/>
          <w:szCs w:val="22"/>
        </w:rPr>
        <w:t>por lo que, una vez transcurrida dicha temporalidad, los Sujetos Obligados darán por concluida la solicitud y procederán de ser el caso, a la destrucción del material.</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spacing w:line="360" w:lineRule="auto"/>
        <w:jc w:val="both"/>
        <w:rPr>
          <w:rFonts w:ascii="Palatino Linotype" w:eastAsia="Palatino Linotype" w:hAnsi="Palatino Linotype" w:cs="Palatino Linotype"/>
          <w:sz w:val="22"/>
          <w:szCs w:val="22"/>
        </w:rPr>
      </w:pPr>
      <w:bookmarkStart w:id="0" w:name="_heading=h.30j0zll" w:colFirst="0" w:colLast="0"/>
      <w:bookmarkEnd w:id="0"/>
      <w:r w:rsidRPr="004C44E4">
        <w:rPr>
          <w:rFonts w:ascii="Palatino Linotype" w:eastAsia="Palatino Linotype" w:hAnsi="Palatino Linotype" w:cs="Palatino Linotype"/>
          <w:sz w:val="22"/>
          <w:szCs w:val="22"/>
        </w:rPr>
        <w:t>En ese orden de ideas, el plazo con el que contaba el Sujeto Obligado para emitir conte</w:t>
      </w:r>
      <w:r w:rsidRPr="004C44E4">
        <w:rPr>
          <w:rFonts w:ascii="Palatino Linotype" w:eastAsia="Palatino Linotype" w:hAnsi="Palatino Linotype" w:cs="Palatino Linotype"/>
          <w:sz w:val="22"/>
          <w:szCs w:val="22"/>
        </w:rPr>
        <w:t xml:space="preserve">stación al requerimiento informativo, </w:t>
      </w:r>
      <w:r w:rsidRPr="004C44E4">
        <w:rPr>
          <w:rFonts w:ascii="Palatino Linotype" w:eastAsia="Palatino Linotype" w:hAnsi="Palatino Linotype" w:cs="Palatino Linotype"/>
          <w:b/>
          <w:sz w:val="22"/>
          <w:szCs w:val="22"/>
        </w:rPr>
        <w:t>comenzó a correr el nueve de julio y feneció el doce de agosto, ambos de dos mil veinticuatro</w:t>
      </w:r>
      <w:r w:rsidRPr="004C44E4">
        <w:rPr>
          <w:rFonts w:ascii="Palatino Linotype" w:eastAsia="Palatino Linotype" w:hAnsi="Palatino Linotype" w:cs="Palatino Linotype"/>
          <w:sz w:val="22"/>
          <w:szCs w:val="22"/>
        </w:rPr>
        <w:t>; lo anterior, sin contar los días, trece, catorce, veinte, veintiuno, veintidós, veintitrés, veinticuatro, veinticinco, vein</w:t>
      </w:r>
      <w:r w:rsidRPr="004C44E4">
        <w:rPr>
          <w:rFonts w:ascii="Palatino Linotype" w:eastAsia="Palatino Linotype" w:hAnsi="Palatino Linotype" w:cs="Palatino Linotype"/>
          <w:sz w:val="22"/>
          <w:szCs w:val="22"/>
        </w:rPr>
        <w:t>tiséis, veintisiete, veintiocho, veintinueve, treinta, treinta y uno de julio y primero, dos, tres, cuatro, diez y once de agosto de dicho año, al ser inhábiles, de conformidad con los artículos 3°, fracción X, y 159 de la Ley de Transparencia y Acceso a l</w:t>
      </w:r>
      <w:r w:rsidRPr="004C44E4">
        <w:rPr>
          <w:rFonts w:ascii="Palatino Linotype" w:eastAsia="Palatino Linotype" w:hAnsi="Palatino Linotype" w:cs="Palatino Linotype"/>
          <w:sz w:val="22"/>
          <w:szCs w:val="22"/>
        </w:rPr>
        <w:t>a Información Pública del Estado de México y Municipios y el Calendario Oficial en Materia de Transparencia, Acceso a la Información Pública y Protección de Datos Personales del Estado de México y Municipios, así como de laborales de este Instituto, para e</w:t>
      </w:r>
      <w:r w:rsidRPr="004C44E4">
        <w:rPr>
          <w:rFonts w:ascii="Palatino Linotype" w:eastAsia="Palatino Linotype" w:hAnsi="Palatino Linotype" w:cs="Palatino Linotype"/>
          <w:sz w:val="22"/>
          <w:szCs w:val="22"/>
        </w:rPr>
        <w:t>l año dos mil veinticuatro y enero dos mil veinticinco.</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t xml:space="preserve">A pesar de lo anterior, el Sujeto Obligado dio respuesta a la solicitud de información en fecha </w:t>
      </w:r>
      <w:r w:rsidRPr="004C44E4">
        <w:rPr>
          <w:rFonts w:ascii="Palatino Linotype" w:eastAsia="Palatino Linotype" w:hAnsi="Palatino Linotype" w:cs="Palatino Linotype"/>
          <w:b/>
          <w:sz w:val="22"/>
          <w:szCs w:val="22"/>
        </w:rPr>
        <w:t xml:space="preserve">veintiuno de agosto del año dos mil veinticuatro, </w:t>
      </w:r>
      <w:r w:rsidRPr="004C44E4">
        <w:rPr>
          <w:rFonts w:ascii="Palatino Linotype" w:eastAsia="Palatino Linotype" w:hAnsi="Palatino Linotype" w:cs="Palatino Linotype"/>
          <w:sz w:val="22"/>
          <w:szCs w:val="22"/>
        </w:rPr>
        <w:t>es decir veintidós días hábiles después de la fecha de la solicitud de información, asimismo, destaca que en las constancias que integran el expediente digital en SAIMEX, no hay registro de alguna prórroga por parte del Sujeto Obligado, por lo que, resulta</w:t>
      </w:r>
      <w:r w:rsidRPr="004C44E4">
        <w:rPr>
          <w:rFonts w:ascii="Palatino Linotype" w:eastAsia="Palatino Linotype" w:hAnsi="Palatino Linotype" w:cs="Palatino Linotype"/>
          <w:sz w:val="22"/>
          <w:szCs w:val="22"/>
        </w:rPr>
        <w:t xml:space="preserve"> evidente que </w:t>
      </w:r>
      <w:r w:rsidRPr="004C44E4">
        <w:rPr>
          <w:rFonts w:ascii="Palatino Linotype" w:eastAsia="Palatino Linotype" w:hAnsi="Palatino Linotype" w:cs="Palatino Linotype"/>
          <w:b/>
          <w:sz w:val="22"/>
          <w:szCs w:val="22"/>
        </w:rPr>
        <w:t>la respuesta fue emitida fuera de los plazos establecidos en el artículo 163,</w:t>
      </w:r>
      <w:r w:rsidRPr="004C44E4">
        <w:rPr>
          <w:rFonts w:ascii="Palatino Linotype" w:eastAsia="Palatino Linotype" w:hAnsi="Palatino Linotype" w:cs="Palatino Linotype"/>
          <w:sz w:val="22"/>
          <w:szCs w:val="22"/>
        </w:rPr>
        <w:t xml:space="preserve"> de la Ley de Transparencia y Acceso a la Información Pública del Estado de México y Municipios.</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t xml:space="preserve">En consecuencia, de lo anterior es preciso </w:t>
      </w:r>
      <w:r w:rsidRPr="004C44E4">
        <w:rPr>
          <w:rFonts w:ascii="Palatino Linotype" w:eastAsia="Palatino Linotype" w:hAnsi="Palatino Linotype" w:cs="Palatino Linotype"/>
          <w:b/>
          <w:sz w:val="22"/>
          <w:szCs w:val="22"/>
        </w:rPr>
        <w:t>reiterar al Sujeto Oblig</w:t>
      </w:r>
      <w:r w:rsidRPr="004C44E4">
        <w:rPr>
          <w:rFonts w:ascii="Palatino Linotype" w:eastAsia="Palatino Linotype" w:hAnsi="Palatino Linotype" w:cs="Palatino Linotype"/>
          <w:b/>
          <w:sz w:val="22"/>
          <w:szCs w:val="22"/>
        </w:rPr>
        <w:t xml:space="preserve">ado, especialmente a la </w:t>
      </w:r>
      <w:r w:rsidRPr="004C44E4">
        <w:rPr>
          <w:rFonts w:ascii="Palatino Linotype" w:eastAsia="Palatino Linotype" w:hAnsi="Palatino Linotype" w:cs="Palatino Linotype"/>
          <w:b/>
          <w:sz w:val="22"/>
          <w:szCs w:val="22"/>
          <w:u w:val="single"/>
        </w:rPr>
        <w:t>Titular de la Unidad de Transparencia</w:t>
      </w:r>
      <w:r w:rsidRPr="004C44E4">
        <w:rPr>
          <w:rFonts w:ascii="Palatino Linotype" w:eastAsia="Palatino Linotype" w:hAnsi="Palatino Linotype" w:cs="Palatino Linotype"/>
          <w:b/>
          <w:sz w:val="22"/>
          <w:szCs w:val="22"/>
        </w:rPr>
        <w:t xml:space="preserve">, </w:t>
      </w:r>
      <w:r w:rsidRPr="004C44E4">
        <w:rPr>
          <w:rFonts w:ascii="Palatino Linotype" w:eastAsia="Palatino Linotype" w:hAnsi="Palatino Linotype" w:cs="Palatino Linotype"/>
          <w:sz w:val="22"/>
          <w:szCs w:val="22"/>
        </w:rPr>
        <w:t xml:space="preserve">que para garantizar debidamente el derecho de acceso a la información pública se deben cumplir los fundamentos normativos que sostienen y dan garantía a este derecho y, por tanto, </w:t>
      </w:r>
      <w:r w:rsidRPr="004C44E4">
        <w:rPr>
          <w:rFonts w:ascii="Palatino Linotype" w:eastAsia="Palatino Linotype" w:hAnsi="Palatino Linotype" w:cs="Palatino Linotype"/>
          <w:b/>
          <w:sz w:val="22"/>
          <w:szCs w:val="22"/>
          <w:u w:val="single"/>
        </w:rPr>
        <w:t>debe observar</w:t>
      </w:r>
      <w:r w:rsidRPr="004C44E4">
        <w:rPr>
          <w:rFonts w:ascii="Palatino Linotype" w:eastAsia="Palatino Linotype" w:hAnsi="Palatino Linotype" w:cs="Palatino Linotype"/>
          <w:b/>
          <w:sz w:val="22"/>
          <w:szCs w:val="22"/>
          <w:u w:val="single"/>
        </w:rPr>
        <w:t xml:space="preserve"> los plazos y procedimientos previstos en </w:t>
      </w:r>
      <w:r w:rsidRPr="004C44E4">
        <w:rPr>
          <w:rFonts w:ascii="Palatino Linotype" w:eastAsia="Palatino Linotype" w:hAnsi="Palatino Linotype" w:cs="Palatino Linotype"/>
          <w:b/>
          <w:sz w:val="22"/>
          <w:szCs w:val="22"/>
          <w:u w:val="single"/>
        </w:rPr>
        <w:lastRenderedPageBreak/>
        <w:t>la Ley que rige nuestra materia</w:t>
      </w:r>
      <w:r w:rsidRPr="004C44E4">
        <w:rPr>
          <w:rFonts w:ascii="Palatino Linotype" w:eastAsia="Palatino Linotype" w:hAnsi="Palatino Linotype" w:cs="Palatino Linotype"/>
          <w:sz w:val="22"/>
          <w:szCs w:val="22"/>
        </w:rPr>
        <w:t>; por lo que se le insta a apegarse a la normatividad que nos ocupa.</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sz w:val="22"/>
          <w:szCs w:val="22"/>
        </w:rPr>
        <w:t xml:space="preserve">Ahora bien, cabe reiterar que la persona Particular solicitó </w:t>
      </w:r>
      <w:r w:rsidRPr="004C44E4">
        <w:rPr>
          <w:rFonts w:ascii="Palatino Linotype" w:eastAsia="Palatino Linotype" w:hAnsi="Palatino Linotype" w:cs="Palatino Linotype"/>
          <w:color w:val="000000"/>
          <w:sz w:val="22"/>
          <w:szCs w:val="22"/>
        </w:rPr>
        <w:t xml:space="preserve">a la </w:t>
      </w:r>
      <w:r w:rsidRPr="004C44E4">
        <w:rPr>
          <w:rFonts w:ascii="Palatino Linotype" w:eastAsia="Palatino Linotype" w:hAnsi="Palatino Linotype" w:cs="Palatino Linotype"/>
          <w:sz w:val="22"/>
          <w:szCs w:val="22"/>
        </w:rPr>
        <w:t>Unidad de Modernización Administrativa e Inform</w:t>
      </w:r>
      <w:r w:rsidRPr="004C44E4">
        <w:rPr>
          <w:rFonts w:ascii="Palatino Linotype" w:eastAsia="Palatino Linotype" w:hAnsi="Palatino Linotype" w:cs="Palatino Linotype"/>
          <w:sz w:val="22"/>
          <w:szCs w:val="22"/>
        </w:rPr>
        <w:t>ática</w:t>
      </w:r>
      <w:r w:rsidRPr="004C44E4">
        <w:rPr>
          <w:rFonts w:ascii="Palatino Linotype" w:eastAsia="Palatino Linotype" w:hAnsi="Palatino Linotype" w:cs="Palatino Linotype"/>
          <w:color w:val="000000"/>
          <w:sz w:val="22"/>
          <w:szCs w:val="22"/>
        </w:rPr>
        <w:t xml:space="preserve"> y a la Contraloría Interna del Sujeto Obligado, lo siguiente:</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 xml:space="preserve">Número real de vehículos directos asignados y que servidor público que lo usa, de la UMAI. </w:t>
      </w:r>
    </w:p>
    <w:p w:rsidR="00531B06" w:rsidRPr="004C44E4" w:rsidRDefault="003B4598">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 xml:space="preserve">Lista de vehículos operativos y a quienes están asignados. </w:t>
      </w:r>
    </w:p>
    <w:p w:rsidR="00531B06" w:rsidRPr="004C44E4" w:rsidRDefault="003B4598">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 xml:space="preserve">Dotación </w:t>
      </w:r>
      <w:r w:rsidRPr="004C44E4">
        <w:rPr>
          <w:rFonts w:ascii="Palatino Linotype" w:eastAsia="Palatino Linotype" w:hAnsi="Palatino Linotype" w:cs="Palatino Linotype"/>
          <w:sz w:val="22"/>
          <w:szCs w:val="22"/>
        </w:rPr>
        <w:t>mensual de combustible</w:t>
      </w:r>
      <w:r w:rsidRPr="004C44E4">
        <w:rPr>
          <w:rFonts w:ascii="Palatino Linotype" w:eastAsia="Palatino Linotype" w:hAnsi="Palatino Linotype" w:cs="Palatino Linotype"/>
          <w:color w:val="000000"/>
          <w:sz w:val="22"/>
          <w:szCs w:val="22"/>
        </w:rPr>
        <w:t xml:space="preserve"> de cada vehículo.</w:t>
      </w:r>
    </w:p>
    <w:p w:rsidR="00531B06" w:rsidRPr="004C44E4" w:rsidRDefault="003B4598">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Tickets de gasto de combustible y bitácora correspondiente.</w:t>
      </w:r>
    </w:p>
    <w:p w:rsidR="00531B06" w:rsidRPr="004C44E4" w:rsidRDefault="003B4598">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 xml:space="preserve">Cantidad de </w:t>
      </w:r>
      <w:proofErr w:type="spellStart"/>
      <w:r w:rsidRPr="004C44E4">
        <w:rPr>
          <w:rFonts w:ascii="Palatino Linotype" w:eastAsia="Palatino Linotype" w:hAnsi="Palatino Linotype" w:cs="Palatino Linotype"/>
          <w:i/>
          <w:color w:val="000000"/>
          <w:sz w:val="22"/>
          <w:szCs w:val="22"/>
        </w:rPr>
        <w:t>Tags</w:t>
      </w:r>
      <w:proofErr w:type="spellEnd"/>
      <w:r w:rsidRPr="004C44E4">
        <w:rPr>
          <w:rFonts w:ascii="Palatino Linotype" w:eastAsia="Palatino Linotype" w:hAnsi="Palatino Linotype" w:cs="Palatino Linotype"/>
          <w:color w:val="000000"/>
          <w:sz w:val="22"/>
          <w:szCs w:val="22"/>
        </w:rPr>
        <w:t xml:space="preserve"> que tiene asignado el Jefe de la UMAI.</w:t>
      </w:r>
    </w:p>
    <w:p w:rsidR="00531B06" w:rsidRPr="004C44E4" w:rsidRDefault="003B4598">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 xml:space="preserve">La dotación de </w:t>
      </w:r>
      <w:proofErr w:type="spellStart"/>
      <w:r w:rsidRPr="004C44E4">
        <w:rPr>
          <w:rFonts w:ascii="Palatino Linotype" w:eastAsia="Palatino Linotype" w:hAnsi="Palatino Linotype" w:cs="Palatino Linotype"/>
          <w:color w:val="000000"/>
          <w:sz w:val="22"/>
          <w:szCs w:val="22"/>
        </w:rPr>
        <w:t>Tags</w:t>
      </w:r>
      <w:proofErr w:type="spellEnd"/>
      <w:r w:rsidRPr="004C44E4">
        <w:rPr>
          <w:rFonts w:ascii="Palatino Linotype" w:eastAsia="Palatino Linotype" w:hAnsi="Palatino Linotype" w:cs="Palatino Linotype"/>
          <w:color w:val="000000"/>
          <w:sz w:val="22"/>
          <w:szCs w:val="22"/>
        </w:rPr>
        <w:t xml:space="preserve"> de cada vehículo así como los cruces para comprobación del gasto</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Al respecto, es preciso señalar que de conformidad con el Manual General de Organización del Sujeto Obligado, se advierte la unidad administrativa denominada Unidad de Modernización Administrativa e Informática, que tiene el objetivo de promover y difundir</w:t>
      </w:r>
      <w:r w:rsidRPr="004C44E4">
        <w:rPr>
          <w:rFonts w:ascii="Palatino Linotype" w:eastAsia="Palatino Linotype" w:hAnsi="Palatino Linotype" w:cs="Palatino Linotype"/>
          <w:color w:val="000000"/>
          <w:sz w:val="22"/>
          <w:szCs w:val="22"/>
        </w:rPr>
        <w:t xml:space="preserve"> la “</w:t>
      </w:r>
      <w:r w:rsidRPr="004C44E4">
        <w:rPr>
          <w:rFonts w:ascii="Palatino Linotype" w:eastAsia="Palatino Linotype" w:hAnsi="Palatino Linotype" w:cs="Palatino Linotype"/>
          <w:i/>
          <w:color w:val="000000"/>
          <w:sz w:val="22"/>
          <w:szCs w:val="22"/>
        </w:rPr>
        <w:t>elaboración y actualización de documentos normativos, procedimientos, administrativos, sistemas informáticos y de Tecnologías de la Información y Comunicaciones (</w:t>
      </w:r>
      <w:proofErr w:type="spellStart"/>
      <w:r w:rsidRPr="004C44E4">
        <w:rPr>
          <w:rFonts w:ascii="Palatino Linotype" w:eastAsia="Palatino Linotype" w:hAnsi="Palatino Linotype" w:cs="Palatino Linotype"/>
          <w:i/>
          <w:color w:val="000000"/>
          <w:sz w:val="22"/>
          <w:szCs w:val="22"/>
        </w:rPr>
        <w:t>TIC´s</w:t>
      </w:r>
      <w:proofErr w:type="spellEnd"/>
      <w:r w:rsidRPr="004C44E4">
        <w:rPr>
          <w:rFonts w:ascii="Palatino Linotype" w:eastAsia="Palatino Linotype" w:hAnsi="Palatino Linotype" w:cs="Palatino Linotype"/>
          <w:i/>
          <w:color w:val="000000"/>
          <w:sz w:val="22"/>
          <w:szCs w:val="22"/>
        </w:rPr>
        <w:t>), así como la implementación de mecanismos para simplificar, modernizar y consolida</w:t>
      </w:r>
      <w:r w:rsidRPr="004C44E4">
        <w:rPr>
          <w:rFonts w:ascii="Palatino Linotype" w:eastAsia="Palatino Linotype" w:hAnsi="Palatino Linotype" w:cs="Palatino Linotype"/>
          <w:i/>
          <w:color w:val="000000"/>
          <w:sz w:val="22"/>
          <w:szCs w:val="22"/>
        </w:rPr>
        <w:t xml:space="preserve">r las actividades de las unidades administrativas de la Comisión.” </w:t>
      </w:r>
      <w:r w:rsidRPr="004C44E4">
        <w:rPr>
          <w:rFonts w:ascii="Palatino Linotype" w:eastAsia="Palatino Linotype" w:hAnsi="Palatino Linotype" w:cs="Palatino Linotype"/>
          <w:color w:val="000000"/>
          <w:sz w:val="22"/>
          <w:szCs w:val="22"/>
        </w:rPr>
        <w:t>Por su parte, el mismo Manual, prevé a la contraloría interna del Sujeto Obligado, la cual tiene el objeto de “</w:t>
      </w:r>
      <w:r w:rsidRPr="004C44E4">
        <w:rPr>
          <w:rFonts w:ascii="Palatino Linotype" w:eastAsia="Palatino Linotype" w:hAnsi="Palatino Linotype" w:cs="Palatino Linotype"/>
          <w:i/>
          <w:color w:val="000000"/>
          <w:sz w:val="22"/>
          <w:szCs w:val="22"/>
        </w:rPr>
        <w:t>Fiscalizar, revisar y evaluar el grado de eficacia, eficiencia y legalidad con</w:t>
      </w:r>
      <w:r w:rsidRPr="004C44E4">
        <w:rPr>
          <w:rFonts w:ascii="Palatino Linotype" w:eastAsia="Palatino Linotype" w:hAnsi="Palatino Linotype" w:cs="Palatino Linotype"/>
          <w:i/>
          <w:color w:val="000000"/>
          <w:sz w:val="22"/>
          <w:szCs w:val="22"/>
        </w:rPr>
        <w:t xml:space="preserve"> que se aplica la normatividad, políticas y disposiciones jurídico administrativas establecidas para el manejo y ejercicio de los recursos humanos, materiales y financieros, a efecto de garantizar la estricta disciplina presupuestal y la protección del pat</w:t>
      </w:r>
      <w:r w:rsidRPr="004C44E4">
        <w:rPr>
          <w:rFonts w:ascii="Palatino Linotype" w:eastAsia="Palatino Linotype" w:hAnsi="Palatino Linotype" w:cs="Palatino Linotype"/>
          <w:i/>
          <w:color w:val="000000"/>
          <w:sz w:val="22"/>
          <w:szCs w:val="22"/>
        </w:rPr>
        <w:t>rimonio de la Comisión.”</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 xml:space="preserve">En atención a lo antes expuesto, es dable considerar que el Sujeto Obligado a través de respuesta remitió diversa documentación a fin de dar atención a los requerimientos de información, por lo que se procede a insertar una tabla </w:t>
      </w:r>
      <w:r w:rsidRPr="004C44E4">
        <w:rPr>
          <w:rFonts w:ascii="Palatino Linotype" w:eastAsia="Palatino Linotype" w:hAnsi="Palatino Linotype" w:cs="Palatino Linotype"/>
          <w:color w:val="000000"/>
          <w:sz w:val="22"/>
          <w:szCs w:val="22"/>
        </w:rPr>
        <w:t>de relación de columnas que permita advertir la correlación entre lo solicitado y la respuesta:</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tbl>
      <w:tblPr>
        <w:tblStyle w:val="a"/>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3"/>
        <w:gridCol w:w="3648"/>
        <w:gridCol w:w="2126"/>
      </w:tblGrid>
      <w:tr w:rsidR="00531B06" w:rsidRPr="004C44E4">
        <w:trPr>
          <w:jc w:val="center"/>
        </w:trPr>
        <w:tc>
          <w:tcPr>
            <w:tcW w:w="2873" w:type="dxa"/>
            <w:shd w:val="clear" w:color="auto" w:fill="D0CECE"/>
            <w:vAlign w:val="center"/>
          </w:tcPr>
          <w:p w:rsidR="00531B06" w:rsidRPr="004C44E4" w:rsidRDefault="003B4598">
            <w:pPr>
              <w:jc w:val="center"/>
              <w:rPr>
                <w:rFonts w:ascii="Palatino Linotype" w:eastAsia="Palatino Linotype" w:hAnsi="Palatino Linotype" w:cs="Palatino Linotype"/>
                <w:b/>
                <w:color w:val="000000"/>
              </w:rPr>
            </w:pPr>
            <w:r w:rsidRPr="004C44E4">
              <w:rPr>
                <w:rFonts w:ascii="Palatino Linotype" w:eastAsia="Palatino Linotype" w:hAnsi="Palatino Linotype" w:cs="Palatino Linotype"/>
                <w:b/>
                <w:color w:val="000000"/>
              </w:rPr>
              <w:t>Solicitud</w:t>
            </w:r>
          </w:p>
        </w:tc>
        <w:tc>
          <w:tcPr>
            <w:tcW w:w="3648" w:type="dxa"/>
            <w:shd w:val="clear" w:color="auto" w:fill="D0CECE"/>
            <w:vAlign w:val="center"/>
          </w:tcPr>
          <w:p w:rsidR="00531B06" w:rsidRPr="004C44E4" w:rsidRDefault="003B4598">
            <w:pPr>
              <w:jc w:val="center"/>
              <w:rPr>
                <w:rFonts w:ascii="Palatino Linotype" w:eastAsia="Palatino Linotype" w:hAnsi="Palatino Linotype" w:cs="Palatino Linotype"/>
                <w:b/>
                <w:color w:val="000000"/>
              </w:rPr>
            </w:pPr>
            <w:r w:rsidRPr="004C44E4">
              <w:rPr>
                <w:rFonts w:ascii="Palatino Linotype" w:eastAsia="Palatino Linotype" w:hAnsi="Palatino Linotype" w:cs="Palatino Linotype"/>
                <w:b/>
                <w:color w:val="000000"/>
              </w:rPr>
              <w:t>Respuesta</w:t>
            </w:r>
          </w:p>
        </w:tc>
        <w:tc>
          <w:tcPr>
            <w:tcW w:w="2126" w:type="dxa"/>
            <w:shd w:val="clear" w:color="auto" w:fill="D0CECE"/>
            <w:vAlign w:val="center"/>
          </w:tcPr>
          <w:p w:rsidR="00531B06" w:rsidRPr="004C44E4" w:rsidRDefault="003B4598">
            <w:pPr>
              <w:jc w:val="center"/>
              <w:rPr>
                <w:rFonts w:ascii="Palatino Linotype" w:eastAsia="Palatino Linotype" w:hAnsi="Palatino Linotype" w:cs="Palatino Linotype"/>
                <w:b/>
                <w:color w:val="000000"/>
              </w:rPr>
            </w:pPr>
            <w:r w:rsidRPr="004C44E4">
              <w:rPr>
                <w:rFonts w:ascii="Palatino Linotype" w:eastAsia="Palatino Linotype" w:hAnsi="Palatino Linotype" w:cs="Palatino Linotype"/>
                <w:b/>
                <w:color w:val="000000"/>
              </w:rPr>
              <w:t>Observaciones</w:t>
            </w:r>
          </w:p>
        </w:tc>
      </w:tr>
      <w:tr w:rsidR="00531B06" w:rsidRPr="004C44E4">
        <w:trPr>
          <w:jc w:val="center"/>
        </w:trPr>
        <w:tc>
          <w:tcPr>
            <w:tcW w:w="2873" w:type="dxa"/>
          </w:tcPr>
          <w:p w:rsidR="00531B06" w:rsidRPr="004C44E4" w:rsidRDefault="003B4598">
            <w:pPr>
              <w:numPr>
                <w:ilvl w:val="0"/>
                <w:numId w:val="6"/>
              </w:numPr>
              <w:pBdr>
                <w:top w:val="nil"/>
                <w:left w:val="nil"/>
                <w:bottom w:val="nil"/>
                <w:right w:val="nil"/>
                <w:between w:val="nil"/>
              </w:pBdr>
              <w:ind w:left="454"/>
              <w:jc w:val="both"/>
              <w:rPr>
                <w:rFonts w:ascii="Palatino Linotype" w:eastAsia="Palatino Linotype" w:hAnsi="Palatino Linotype" w:cs="Palatino Linotype"/>
                <w:color w:val="000000"/>
              </w:rPr>
            </w:pPr>
            <w:r w:rsidRPr="004C44E4">
              <w:rPr>
                <w:rFonts w:ascii="Palatino Linotype" w:eastAsia="Palatino Linotype" w:hAnsi="Palatino Linotype" w:cs="Palatino Linotype"/>
                <w:color w:val="000000"/>
              </w:rPr>
              <w:t xml:space="preserve">Número real de vehículos asignados y que servidor público que lo usa, de la UMAI. </w:t>
            </w:r>
          </w:p>
        </w:tc>
        <w:tc>
          <w:tcPr>
            <w:tcW w:w="3648" w:type="dxa"/>
            <w:vMerge w:val="restart"/>
          </w:tcPr>
          <w:p w:rsidR="00531B06" w:rsidRPr="004C44E4" w:rsidRDefault="003B4598">
            <w:pPr>
              <w:jc w:val="both"/>
              <w:rPr>
                <w:rFonts w:ascii="Palatino Linotype" w:eastAsia="Palatino Linotype" w:hAnsi="Palatino Linotype" w:cs="Palatino Linotype"/>
                <w:color w:val="000000"/>
              </w:rPr>
            </w:pPr>
            <w:r w:rsidRPr="004C44E4">
              <w:rPr>
                <w:rFonts w:ascii="Palatino Linotype" w:eastAsia="Palatino Linotype" w:hAnsi="Palatino Linotype" w:cs="Palatino Linotype"/>
              </w:rPr>
              <w:t>Titular de la Unidad de Modernización Administrativa e Informática, en el que señala que se adjunta un Excel con el número real de vehículos asignados a la unidad (4: ART044, T428, V257, V337) y señala la persona que tiene el resguardo de cada uno de ellos</w:t>
            </w:r>
            <w:r w:rsidRPr="004C44E4">
              <w:rPr>
                <w:rFonts w:ascii="Palatino Linotype" w:eastAsia="Palatino Linotype" w:hAnsi="Palatino Linotype" w:cs="Palatino Linotype"/>
              </w:rPr>
              <w:t xml:space="preserve"> al mes de julio 2024</w:t>
            </w:r>
          </w:p>
        </w:tc>
        <w:tc>
          <w:tcPr>
            <w:tcW w:w="2126" w:type="dxa"/>
            <w:vMerge w:val="restart"/>
          </w:tcPr>
          <w:p w:rsidR="00531B06" w:rsidRPr="004C44E4" w:rsidRDefault="003B4598">
            <w:pPr>
              <w:jc w:val="both"/>
              <w:rPr>
                <w:rFonts w:ascii="Palatino Linotype" w:eastAsia="Palatino Linotype" w:hAnsi="Palatino Linotype" w:cs="Palatino Linotype"/>
                <w:color w:val="000000"/>
              </w:rPr>
            </w:pPr>
            <w:r w:rsidRPr="004C44E4">
              <w:rPr>
                <w:rFonts w:ascii="Palatino Linotype" w:eastAsia="Palatino Linotype" w:hAnsi="Palatino Linotype" w:cs="Palatino Linotype"/>
                <w:color w:val="000000"/>
              </w:rPr>
              <w:t xml:space="preserve">Colma </w:t>
            </w:r>
          </w:p>
        </w:tc>
      </w:tr>
      <w:tr w:rsidR="00531B06" w:rsidRPr="004C44E4">
        <w:trPr>
          <w:jc w:val="center"/>
        </w:trPr>
        <w:tc>
          <w:tcPr>
            <w:tcW w:w="2873" w:type="dxa"/>
          </w:tcPr>
          <w:p w:rsidR="00531B06" w:rsidRPr="004C44E4" w:rsidRDefault="003B4598">
            <w:pPr>
              <w:numPr>
                <w:ilvl w:val="0"/>
                <w:numId w:val="6"/>
              </w:numPr>
              <w:pBdr>
                <w:top w:val="nil"/>
                <w:left w:val="nil"/>
                <w:bottom w:val="nil"/>
                <w:right w:val="nil"/>
                <w:between w:val="nil"/>
              </w:pBdr>
              <w:ind w:left="454"/>
              <w:jc w:val="both"/>
              <w:rPr>
                <w:rFonts w:ascii="Palatino Linotype" w:eastAsia="Palatino Linotype" w:hAnsi="Palatino Linotype" w:cs="Palatino Linotype"/>
                <w:color w:val="000000"/>
              </w:rPr>
            </w:pPr>
            <w:r w:rsidRPr="004C44E4">
              <w:rPr>
                <w:rFonts w:ascii="Palatino Linotype" w:eastAsia="Palatino Linotype" w:hAnsi="Palatino Linotype" w:cs="Palatino Linotype"/>
                <w:color w:val="000000"/>
              </w:rPr>
              <w:t xml:space="preserve">Lista de vehículos operativos y a quienes están asignados. </w:t>
            </w:r>
          </w:p>
        </w:tc>
        <w:tc>
          <w:tcPr>
            <w:tcW w:w="3648" w:type="dxa"/>
            <w:vMerge/>
          </w:tcPr>
          <w:p w:rsidR="00531B06" w:rsidRPr="004C44E4" w:rsidRDefault="00531B06">
            <w:pPr>
              <w:widowControl w:val="0"/>
              <w:pBdr>
                <w:top w:val="nil"/>
                <w:left w:val="nil"/>
                <w:bottom w:val="nil"/>
                <w:right w:val="nil"/>
                <w:between w:val="nil"/>
              </w:pBdr>
              <w:spacing w:line="276" w:lineRule="auto"/>
              <w:rPr>
                <w:rFonts w:ascii="Palatino Linotype" w:eastAsia="Palatino Linotype" w:hAnsi="Palatino Linotype" w:cs="Palatino Linotype"/>
                <w:color w:val="000000"/>
              </w:rPr>
            </w:pPr>
          </w:p>
        </w:tc>
        <w:tc>
          <w:tcPr>
            <w:tcW w:w="2126" w:type="dxa"/>
            <w:vMerge/>
          </w:tcPr>
          <w:p w:rsidR="00531B06" w:rsidRPr="004C44E4" w:rsidRDefault="00531B06">
            <w:pPr>
              <w:widowControl w:val="0"/>
              <w:pBdr>
                <w:top w:val="nil"/>
                <w:left w:val="nil"/>
                <w:bottom w:val="nil"/>
                <w:right w:val="nil"/>
                <w:between w:val="nil"/>
              </w:pBdr>
              <w:spacing w:line="276" w:lineRule="auto"/>
              <w:rPr>
                <w:rFonts w:ascii="Palatino Linotype" w:eastAsia="Palatino Linotype" w:hAnsi="Palatino Linotype" w:cs="Palatino Linotype"/>
                <w:color w:val="000000"/>
              </w:rPr>
            </w:pPr>
          </w:p>
        </w:tc>
      </w:tr>
      <w:tr w:rsidR="00531B06" w:rsidRPr="004C44E4">
        <w:trPr>
          <w:jc w:val="center"/>
        </w:trPr>
        <w:tc>
          <w:tcPr>
            <w:tcW w:w="2873" w:type="dxa"/>
          </w:tcPr>
          <w:p w:rsidR="00531B06" w:rsidRPr="004C44E4" w:rsidRDefault="003B4598">
            <w:pPr>
              <w:numPr>
                <w:ilvl w:val="0"/>
                <w:numId w:val="6"/>
              </w:numPr>
              <w:pBdr>
                <w:top w:val="nil"/>
                <w:left w:val="nil"/>
                <w:bottom w:val="nil"/>
                <w:right w:val="nil"/>
                <w:between w:val="nil"/>
              </w:pBdr>
              <w:ind w:left="454"/>
              <w:jc w:val="both"/>
              <w:rPr>
                <w:rFonts w:ascii="Palatino Linotype" w:eastAsia="Palatino Linotype" w:hAnsi="Palatino Linotype" w:cs="Palatino Linotype"/>
                <w:color w:val="000000"/>
              </w:rPr>
            </w:pPr>
            <w:r w:rsidRPr="004C44E4">
              <w:rPr>
                <w:rFonts w:ascii="Palatino Linotype" w:eastAsia="Palatino Linotype" w:hAnsi="Palatino Linotype" w:cs="Palatino Linotype"/>
                <w:color w:val="000000"/>
              </w:rPr>
              <w:t xml:space="preserve">Dotación </w:t>
            </w:r>
            <w:r w:rsidRPr="004C44E4">
              <w:rPr>
                <w:rFonts w:ascii="Palatino Linotype" w:eastAsia="Palatino Linotype" w:hAnsi="Palatino Linotype" w:cs="Palatino Linotype"/>
                <w:b/>
              </w:rPr>
              <w:t>mensual de combustible</w:t>
            </w:r>
            <w:r w:rsidRPr="004C44E4">
              <w:rPr>
                <w:rFonts w:ascii="Palatino Linotype" w:eastAsia="Palatino Linotype" w:hAnsi="Palatino Linotype" w:cs="Palatino Linotype"/>
                <w:color w:val="000000"/>
              </w:rPr>
              <w:t xml:space="preserve"> de cada vehículo.</w:t>
            </w:r>
          </w:p>
          <w:p w:rsidR="00531B06" w:rsidRPr="004C44E4" w:rsidRDefault="00531B06">
            <w:pPr>
              <w:ind w:left="454"/>
              <w:jc w:val="both"/>
              <w:rPr>
                <w:rFonts w:ascii="Palatino Linotype" w:eastAsia="Palatino Linotype" w:hAnsi="Palatino Linotype" w:cs="Palatino Linotype"/>
                <w:color w:val="000000"/>
              </w:rPr>
            </w:pPr>
          </w:p>
        </w:tc>
        <w:tc>
          <w:tcPr>
            <w:tcW w:w="3648" w:type="dxa"/>
          </w:tcPr>
          <w:p w:rsidR="00531B06" w:rsidRPr="004C44E4" w:rsidRDefault="003B4598">
            <w:pPr>
              <w:jc w:val="both"/>
              <w:rPr>
                <w:rFonts w:ascii="Palatino Linotype" w:eastAsia="Palatino Linotype" w:hAnsi="Palatino Linotype" w:cs="Palatino Linotype"/>
                <w:color w:val="000000"/>
              </w:rPr>
            </w:pPr>
            <w:r w:rsidRPr="004C44E4">
              <w:rPr>
                <w:rFonts w:ascii="Palatino Linotype" w:eastAsia="Palatino Linotype" w:hAnsi="Palatino Linotype" w:cs="Palatino Linotype"/>
              </w:rPr>
              <w:t>Oficio 219C0110010000S/1507/2024, suscrito por la Titular de la Unidad de Modernización Administrativa e informática, en el que informó al Subdirector de Servicios la relación actualizada del parque vehicular de las áreas que conforman la Unidad que dirige</w:t>
            </w:r>
            <w:r w:rsidRPr="004C44E4">
              <w:rPr>
                <w:rFonts w:ascii="Palatino Linotype" w:eastAsia="Palatino Linotype" w:hAnsi="Palatino Linotype" w:cs="Palatino Linotype"/>
              </w:rPr>
              <w:t xml:space="preserve"> y solicitó combustible para el mes de agosto 2024 con el montó para cada vehículo.</w:t>
            </w:r>
          </w:p>
        </w:tc>
        <w:tc>
          <w:tcPr>
            <w:tcW w:w="2126" w:type="dxa"/>
          </w:tcPr>
          <w:p w:rsidR="00531B06" w:rsidRPr="004C44E4" w:rsidRDefault="003B4598">
            <w:pPr>
              <w:jc w:val="both"/>
              <w:rPr>
                <w:rFonts w:ascii="Palatino Linotype" w:eastAsia="Palatino Linotype" w:hAnsi="Palatino Linotype" w:cs="Palatino Linotype"/>
                <w:color w:val="000000"/>
              </w:rPr>
            </w:pPr>
            <w:r w:rsidRPr="004C44E4">
              <w:rPr>
                <w:rFonts w:ascii="Palatino Linotype" w:eastAsia="Palatino Linotype" w:hAnsi="Palatino Linotype" w:cs="Palatino Linotype"/>
                <w:color w:val="000000"/>
              </w:rPr>
              <w:t>Colma por cuanto hace al mes de agosto.</w:t>
            </w:r>
          </w:p>
          <w:p w:rsidR="00531B06" w:rsidRPr="004C44E4" w:rsidRDefault="00531B06">
            <w:pPr>
              <w:jc w:val="both"/>
              <w:rPr>
                <w:rFonts w:ascii="Palatino Linotype" w:eastAsia="Palatino Linotype" w:hAnsi="Palatino Linotype" w:cs="Palatino Linotype"/>
                <w:color w:val="000000"/>
              </w:rPr>
            </w:pPr>
          </w:p>
          <w:p w:rsidR="00531B06" w:rsidRPr="004C44E4" w:rsidRDefault="003B4598">
            <w:pPr>
              <w:jc w:val="both"/>
              <w:rPr>
                <w:rFonts w:ascii="Palatino Linotype" w:eastAsia="Palatino Linotype" w:hAnsi="Palatino Linotype" w:cs="Palatino Linotype"/>
                <w:color w:val="000000"/>
              </w:rPr>
            </w:pPr>
            <w:r w:rsidRPr="004C44E4">
              <w:rPr>
                <w:rFonts w:ascii="Palatino Linotype" w:eastAsia="Palatino Linotype" w:hAnsi="Palatino Linotype" w:cs="Palatino Linotype"/>
                <w:color w:val="000000"/>
              </w:rPr>
              <w:t>Falta del mes de junio 2024</w:t>
            </w:r>
          </w:p>
          <w:p w:rsidR="00531B06" w:rsidRPr="004C44E4" w:rsidRDefault="00531B06">
            <w:pPr>
              <w:jc w:val="both"/>
              <w:rPr>
                <w:rFonts w:ascii="Palatino Linotype" w:eastAsia="Palatino Linotype" w:hAnsi="Palatino Linotype" w:cs="Palatino Linotype"/>
                <w:b/>
                <w:color w:val="000000"/>
              </w:rPr>
            </w:pPr>
          </w:p>
          <w:p w:rsidR="00531B06" w:rsidRPr="004C44E4" w:rsidRDefault="003B4598">
            <w:pPr>
              <w:jc w:val="both"/>
              <w:rPr>
                <w:rFonts w:ascii="Palatino Linotype" w:eastAsia="Palatino Linotype" w:hAnsi="Palatino Linotype" w:cs="Palatino Linotype"/>
                <w:b/>
                <w:color w:val="000000"/>
              </w:rPr>
            </w:pPr>
            <w:r w:rsidRPr="004C44E4">
              <w:rPr>
                <w:rFonts w:ascii="Palatino Linotype" w:eastAsia="Palatino Linotype" w:hAnsi="Palatino Linotype" w:cs="Palatino Linotype"/>
                <w:b/>
                <w:color w:val="000000"/>
              </w:rPr>
              <w:t>Actos consentidos</w:t>
            </w:r>
          </w:p>
        </w:tc>
      </w:tr>
      <w:tr w:rsidR="00531B06" w:rsidRPr="004C44E4">
        <w:trPr>
          <w:jc w:val="center"/>
        </w:trPr>
        <w:tc>
          <w:tcPr>
            <w:tcW w:w="2873" w:type="dxa"/>
          </w:tcPr>
          <w:p w:rsidR="00531B06" w:rsidRPr="004C44E4" w:rsidRDefault="003B4598">
            <w:pPr>
              <w:numPr>
                <w:ilvl w:val="0"/>
                <w:numId w:val="6"/>
              </w:numPr>
              <w:pBdr>
                <w:top w:val="nil"/>
                <w:left w:val="nil"/>
                <w:bottom w:val="nil"/>
                <w:right w:val="nil"/>
                <w:between w:val="nil"/>
              </w:pBdr>
              <w:ind w:left="454"/>
              <w:jc w:val="both"/>
              <w:rPr>
                <w:rFonts w:ascii="Palatino Linotype" w:eastAsia="Palatino Linotype" w:hAnsi="Palatino Linotype" w:cs="Palatino Linotype"/>
                <w:color w:val="000000"/>
              </w:rPr>
            </w:pPr>
            <w:r w:rsidRPr="004C44E4">
              <w:rPr>
                <w:rFonts w:ascii="Palatino Linotype" w:eastAsia="Palatino Linotype" w:hAnsi="Palatino Linotype" w:cs="Palatino Linotype"/>
                <w:color w:val="000000"/>
              </w:rPr>
              <w:t>Tickets de gasto de combustible y bitácora correspondiente.</w:t>
            </w:r>
          </w:p>
        </w:tc>
        <w:tc>
          <w:tcPr>
            <w:tcW w:w="3648" w:type="dxa"/>
          </w:tcPr>
          <w:p w:rsidR="00531B06" w:rsidRPr="004C44E4" w:rsidRDefault="003B4598">
            <w:pPr>
              <w:jc w:val="both"/>
              <w:rPr>
                <w:rFonts w:ascii="Palatino Linotype" w:eastAsia="Palatino Linotype" w:hAnsi="Palatino Linotype" w:cs="Palatino Linotype"/>
              </w:rPr>
            </w:pPr>
            <w:r w:rsidRPr="004C44E4">
              <w:rPr>
                <w:rFonts w:ascii="Palatino Linotype" w:eastAsia="Palatino Linotype" w:hAnsi="Palatino Linotype" w:cs="Palatino Linotype"/>
                <w:color w:val="000000"/>
              </w:rPr>
              <w:t xml:space="preserve">2023, entregó </w:t>
            </w:r>
            <w:r w:rsidRPr="004C44E4">
              <w:rPr>
                <w:rFonts w:ascii="Palatino Linotype" w:eastAsia="Palatino Linotype" w:hAnsi="Palatino Linotype" w:cs="Palatino Linotype"/>
              </w:rPr>
              <w:t>bitácoras de combustible del periodo de enero a diciembre (ART042, ART044, T428, V257, V337)  y 4 carpetas con imágenes de tickets de compra de combustible por cada vehículo y que corresponden al periodo de enero a septiembre 2023</w:t>
            </w:r>
          </w:p>
          <w:p w:rsidR="00531B06" w:rsidRPr="004C44E4" w:rsidRDefault="00531B06">
            <w:pPr>
              <w:jc w:val="both"/>
              <w:rPr>
                <w:rFonts w:ascii="Palatino Linotype" w:eastAsia="Palatino Linotype" w:hAnsi="Palatino Linotype" w:cs="Palatino Linotype"/>
                <w:color w:val="000000"/>
              </w:rPr>
            </w:pPr>
          </w:p>
          <w:p w:rsidR="00531B06" w:rsidRPr="004C44E4" w:rsidRDefault="003B4598">
            <w:pPr>
              <w:jc w:val="both"/>
              <w:rPr>
                <w:rFonts w:ascii="Palatino Linotype" w:eastAsia="Palatino Linotype" w:hAnsi="Palatino Linotype" w:cs="Palatino Linotype"/>
              </w:rPr>
            </w:pPr>
            <w:r w:rsidRPr="004C44E4">
              <w:rPr>
                <w:rFonts w:ascii="Palatino Linotype" w:eastAsia="Palatino Linotype" w:hAnsi="Palatino Linotype" w:cs="Palatino Linotype"/>
                <w:color w:val="000000"/>
              </w:rPr>
              <w:t xml:space="preserve">2024, entregó bitácoras </w:t>
            </w:r>
            <w:r w:rsidRPr="004C44E4">
              <w:rPr>
                <w:rFonts w:ascii="Palatino Linotype" w:eastAsia="Palatino Linotype" w:hAnsi="Palatino Linotype" w:cs="Palatino Linotype"/>
                <w:color w:val="000000"/>
              </w:rPr>
              <w:t xml:space="preserve">de combustible de </w:t>
            </w:r>
            <w:r w:rsidRPr="004C44E4">
              <w:rPr>
                <w:rFonts w:ascii="Palatino Linotype" w:eastAsia="Palatino Linotype" w:hAnsi="Palatino Linotype" w:cs="Palatino Linotype"/>
              </w:rPr>
              <w:t xml:space="preserve">enero a julio de 4 vehículos (ART044, T428, V257, V337) y de 1 solo se observa la bitácora de julio en el que </w:t>
            </w:r>
            <w:r w:rsidRPr="004C44E4">
              <w:rPr>
                <w:rFonts w:ascii="Palatino Linotype" w:eastAsia="Palatino Linotype" w:hAnsi="Palatino Linotype" w:cs="Palatino Linotype"/>
              </w:rPr>
              <w:lastRenderedPageBreak/>
              <w:t xml:space="preserve">no se identifica el auto correspondiente. </w:t>
            </w:r>
          </w:p>
          <w:p w:rsidR="00531B06" w:rsidRPr="004C44E4" w:rsidRDefault="003B4598">
            <w:pPr>
              <w:jc w:val="both"/>
              <w:rPr>
                <w:rFonts w:ascii="Palatino Linotype" w:eastAsia="Palatino Linotype" w:hAnsi="Palatino Linotype" w:cs="Palatino Linotype"/>
                <w:color w:val="000000"/>
              </w:rPr>
            </w:pPr>
            <w:r w:rsidRPr="004C44E4">
              <w:rPr>
                <w:rFonts w:ascii="Palatino Linotype" w:eastAsia="Palatino Linotype" w:hAnsi="Palatino Linotype" w:cs="Palatino Linotype"/>
              </w:rPr>
              <w:t>4 archivos de tickets de compra de gasolina por auto del periodo de enero a julio 202</w:t>
            </w:r>
            <w:r w:rsidRPr="004C44E4">
              <w:rPr>
                <w:rFonts w:ascii="Palatino Linotype" w:eastAsia="Palatino Linotype" w:hAnsi="Palatino Linotype" w:cs="Palatino Linotype"/>
              </w:rPr>
              <w:t>4</w:t>
            </w:r>
          </w:p>
        </w:tc>
        <w:tc>
          <w:tcPr>
            <w:tcW w:w="2126" w:type="dxa"/>
          </w:tcPr>
          <w:p w:rsidR="00531B06" w:rsidRPr="004C44E4" w:rsidRDefault="003B4598">
            <w:pPr>
              <w:jc w:val="both"/>
              <w:rPr>
                <w:rFonts w:ascii="Palatino Linotype" w:eastAsia="Palatino Linotype" w:hAnsi="Palatino Linotype" w:cs="Palatino Linotype"/>
                <w:color w:val="000000"/>
              </w:rPr>
            </w:pPr>
            <w:r w:rsidRPr="004C44E4">
              <w:rPr>
                <w:rFonts w:ascii="Palatino Linotype" w:eastAsia="Palatino Linotype" w:hAnsi="Palatino Linotype" w:cs="Palatino Linotype"/>
                <w:color w:val="000000"/>
              </w:rPr>
              <w:lastRenderedPageBreak/>
              <w:t>Colma por cuanto hace a las bitácoras de combustible de los años 2023 y 2024</w:t>
            </w:r>
          </w:p>
          <w:p w:rsidR="00531B06" w:rsidRPr="004C44E4" w:rsidRDefault="00531B06">
            <w:pPr>
              <w:jc w:val="both"/>
              <w:rPr>
                <w:rFonts w:ascii="Palatino Linotype" w:eastAsia="Palatino Linotype" w:hAnsi="Palatino Linotype" w:cs="Palatino Linotype"/>
                <w:color w:val="000000"/>
              </w:rPr>
            </w:pPr>
          </w:p>
          <w:p w:rsidR="00531B06" w:rsidRPr="004C44E4" w:rsidRDefault="003B4598">
            <w:pPr>
              <w:jc w:val="both"/>
              <w:rPr>
                <w:rFonts w:ascii="Palatino Linotype" w:eastAsia="Palatino Linotype" w:hAnsi="Palatino Linotype" w:cs="Palatino Linotype"/>
                <w:color w:val="000000"/>
              </w:rPr>
            </w:pPr>
            <w:r w:rsidRPr="004C44E4">
              <w:rPr>
                <w:rFonts w:ascii="Palatino Linotype" w:eastAsia="Palatino Linotype" w:hAnsi="Palatino Linotype" w:cs="Palatino Linotype"/>
                <w:color w:val="000000"/>
              </w:rPr>
              <w:t>Falta información de octubre, noviembre y diciembre 2024</w:t>
            </w:r>
          </w:p>
          <w:p w:rsidR="00531B06" w:rsidRPr="004C44E4" w:rsidRDefault="00531B06">
            <w:pPr>
              <w:jc w:val="both"/>
              <w:rPr>
                <w:rFonts w:ascii="Palatino Linotype" w:eastAsia="Palatino Linotype" w:hAnsi="Palatino Linotype" w:cs="Palatino Linotype"/>
                <w:color w:val="000000"/>
              </w:rPr>
            </w:pPr>
          </w:p>
          <w:p w:rsidR="00531B06" w:rsidRPr="004C44E4" w:rsidRDefault="00531B06">
            <w:pPr>
              <w:jc w:val="both"/>
              <w:rPr>
                <w:rFonts w:ascii="Palatino Linotype" w:eastAsia="Palatino Linotype" w:hAnsi="Palatino Linotype" w:cs="Palatino Linotype"/>
                <w:color w:val="000000"/>
              </w:rPr>
            </w:pPr>
          </w:p>
          <w:p w:rsidR="00531B06" w:rsidRPr="004C44E4" w:rsidRDefault="003B4598">
            <w:pPr>
              <w:jc w:val="both"/>
              <w:rPr>
                <w:rFonts w:ascii="Palatino Linotype" w:eastAsia="Palatino Linotype" w:hAnsi="Palatino Linotype" w:cs="Palatino Linotype"/>
                <w:b/>
                <w:color w:val="000000"/>
              </w:rPr>
            </w:pPr>
            <w:r w:rsidRPr="004C44E4">
              <w:rPr>
                <w:rFonts w:ascii="Palatino Linotype" w:eastAsia="Palatino Linotype" w:hAnsi="Palatino Linotype" w:cs="Palatino Linotype"/>
                <w:b/>
                <w:color w:val="000000"/>
              </w:rPr>
              <w:t xml:space="preserve">Actos consentidos </w:t>
            </w:r>
          </w:p>
        </w:tc>
      </w:tr>
      <w:tr w:rsidR="00531B06" w:rsidRPr="004C44E4">
        <w:trPr>
          <w:jc w:val="center"/>
        </w:trPr>
        <w:tc>
          <w:tcPr>
            <w:tcW w:w="2873" w:type="dxa"/>
          </w:tcPr>
          <w:p w:rsidR="00531B06" w:rsidRPr="004C44E4" w:rsidRDefault="003B4598">
            <w:pPr>
              <w:numPr>
                <w:ilvl w:val="0"/>
                <w:numId w:val="6"/>
              </w:numPr>
              <w:pBdr>
                <w:top w:val="nil"/>
                <w:left w:val="nil"/>
                <w:bottom w:val="nil"/>
                <w:right w:val="nil"/>
                <w:between w:val="nil"/>
              </w:pBdr>
              <w:ind w:left="454"/>
              <w:jc w:val="both"/>
              <w:rPr>
                <w:rFonts w:ascii="Palatino Linotype" w:eastAsia="Palatino Linotype" w:hAnsi="Palatino Linotype" w:cs="Palatino Linotype"/>
                <w:color w:val="000000"/>
              </w:rPr>
            </w:pPr>
            <w:r w:rsidRPr="004C44E4">
              <w:rPr>
                <w:rFonts w:ascii="Palatino Linotype" w:eastAsia="Palatino Linotype" w:hAnsi="Palatino Linotype" w:cs="Palatino Linotype"/>
                <w:color w:val="000000"/>
              </w:rPr>
              <w:t xml:space="preserve">Cantidad de </w:t>
            </w:r>
            <w:proofErr w:type="spellStart"/>
            <w:r w:rsidRPr="004C44E4">
              <w:rPr>
                <w:rFonts w:ascii="Palatino Linotype" w:eastAsia="Palatino Linotype" w:hAnsi="Palatino Linotype" w:cs="Palatino Linotype"/>
                <w:i/>
                <w:color w:val="000000"/>
              </w:rPr>
              <w:t>Tags</w:t>
            </w:r>
            <w:proofErr w:type="spellEnd"/>
            <w:r w:rsidRPr="004C44E4">
              <w:rPr>
                <w:rFonts w:ascii="Palatino Linotype" w:eastAsia="Palatino Linotype" w:hAnsi="Palatino Linotype" w:cs="Palatino Linotype"/>
                <w:color w:val="000000"/>
              </w:rPr>
              <w:t xml:space="preserve"> que tiene asignado el Jefe de la UMAI.</w:t>
            </w:r>
          </w:p>
        </w:tc>
        <w:tc>
          <w:tcPr>
            <w:tcW w:w="3648" w:type="dxa"/>
          </w:tcPr>
          <w:p w:rsidR="00531B06" w:rsidRPr="004C44E4" w:rsidRDefault="003B4598">
            <w:pPr>
              <w:jc w:val="both"/>
              <w:rPr>
                <w:rFonts w:ascii="Palatino Linotype" w:eastAsia="Palatino Linotype" w:hAnsi="Palatino Linotype" w:cs="Palatino Linotype"/>
                <w:color w:val="000000"/>
              </w:rPr>
            </w:pPr>
            <w:r w:rsidRPr="004C44E4">
              <w:rPr>
                <w:rFonts w:ascii="Palatino Linotype" w:eastAsia="Palatino Linotype" w:hAnsi="Palatino Linotype" w:cs="Palatino Linotype"/>
              </w:rPr>
              <w:t xml:space="preserve">La Titular de la Unidad de Modernización Administrativa e Informática, informó que se cuenta con 2 </w:t>
            </w:r>
            <w:proofErr w:type="spellStart"/>
            <w:r w:rsidRPr="004C44E4">
              <w:rPr>
                <w:rFonts w:ascii="Palatino Linotype" w:eastAsia="Palatino Linotype" w:hAnsi="Palatino Linotype" w:cs="Palatino Linotype"/>
              </w:rPr>
              <w:t>Tags</w:t>
            </w:r>
            <w:proofErr w:type="spellEnd"/>
            <w:r w:rsidRPr="004C44E4">
              <w:rPr>
                <w:rFonts w:ascii="Palatino Linotype" w:eastAsia="Palatino Linotype" w:hAnsi="Palatino Linotype" w:cs="Palatino Linotype"/>
              </w:rPr>
              <w:t xml:space="preserve"> para la unidad.</w:t>
            </w:r>
          </w:p>
        </w:tc>
        <w:tc>
          <w:tcPr>
            <w:tcW w:w="2126" w:type="dxa"/>
          </w:tcPr>
          <w:p w:rsidR="00531B06" w:rsidRPr="004C44E4" w:rsidRDefault="003B4598">
            <w:pPr>
              <w:jc w:val="both"/>
              <w:rPr>
                <w:rFonts w:ascii="Palatino Linotype" w:eastAsia="Palatino Linotype" w:hAnsi="Palatino Linotype" w:cs="Palatino Linotype"/>
                <w:b/>
                <w:color w:val="000000"/>
              </w:rPr>
            </w:pPr>
            <w:r w:rsidRPr="004C44E4">
              <w:rPr>
                <w:rFonts w:ascii="Palatino Linotype" w:eastAsia="Palatino Linotype" w:hAnsi="Palatino Linotype" w:cs="Palatino Linotype"/>
                <w:b/>
                <w:color w:val="000000"/>
              </w:rPr>
              <w:t xml:space="preserve">Colma </w:t>
            </w:r>
          </w:p>
        </w:tc>
      </w:tr>
      <w:tr w:rsidR="00531B06" w:rsidRPr="004C44E4">
        <w:trPr>
          <w:jc w:val="center"/>
        </w:trPr>
        <w:tc>
          <w:tcPr>
            <w:tcW w:w="2873" w:type="dxa"/>
          </w:tcPr>
          <w:p w:rsidR="00531B06" w:rsidRPr="004C44E4" w:rsidRDefault="003B4598">
            <w:pPr>
              <w:numPr>
                <w:ilvl w:val="0"/>
                <w:numId w:val="6"/>
              </w:numPr>
              <w:pBdr>
                <w:top w:val="nil"/>
                <w:left w:val="nil"/>
                <w:bottom w:val="nil"/>
                <w:right w:val="nil"/>
                <w:between w:val="nil"/>
              </w:pBdr>
              <w:ind w:left="454"/>
              <w:jc w:val="both"/>
              <w:rPr>
                <w:rFonts w:ascii="Palatino Linotype" w:eastAsia="Palatino Linotype" w:hAnsi="Palatino Linotype" w:cs="Palatino Linotype"/>
                <w:color w:val="000000"/>
              </w:rPr>
            </w:pPr>
            <w:r w:rsidRPr="004C44E4">
              <w:rPr>
                <w:rFonts w:ascii="Palatino Linotype" w:eastAsia="Palatino Linotype" w:hAnsi="Palatino Linotype" w:cs="Palatino Linotype"/>
                <w:color w:val="000000"/>
              </w:rPr>
              <w:t xml:space="preserve">La dotación de </w:t>
            </w:r>
            <w:proofErr w:type="spellStart"/>
            <w:r w:rsidRPr="004C44E4">
              <w:rPr>
                <w:rFonts w:ascii="Palatino Linotype" w:eastAsia="Palatino Linotype" w:hAnsi="Palatino Linotype" w:cs="Palatino Linotype"/>
                <w:color w:val="000000"/>
              </w:rPr>
              <w:t>Tags</w:t>
            </w:r>
            <w:proofErr w:type="spellEnd"/>
            <w:r w:rsidRPr="004C44E4">
              <w:rPr>
                <w:rFonts w:ascii="Palatino Linotype" w:eastAsia="Palatino Linotype" w:hAnsi="Palatino Linotype" w:cs="Palatino Linotype"/>
                <w:color w:val="000000"/>
              </w:rPr>
              <w:t xml:space="preserve"> de cada vehículo así como los cruces para comprobación del gasto</w:t>
            </w:r>
          </w:p>
        </w:tc>
        <w:tc>
          <w:tcPr>
            <w:tcW w:w="3648" w:type="dxa"/>
          </w:tcPr>
          <w:p w:rsidR="00531B06" w:rsidRPr="004C44E4" w:rsidRDefault="003B4598">
            <w:pPr>
              <w:jc w:val="both"/>
              <w:rPr>
                <w:rFonts w:ascii="Palatino Linotype" w:eastAsia="Palatino Linotype" w:hAnsi="Palatino Linotype" w:cs="Palatino Linotype"/>
                <w:color w:val="000000"/>
              </w:rPr>
            </w:pPr>
            <w:r w:rsidRPr="004C44E4">
              <w:rPr>
                <w:rFonts w:ascii="Palatino Linotype" w:eastAsia="Palatino Linotype" w:hAnsi="Palatino Linotype" w:cs="Palatino Linotype"/>
                <w:color w:val="000000"/>
              </w:rPr>
              <w:t xml:space="preserve">Archivo de Excel, con dos hojas, en el que </w:t>
            </w:r>
            <w:r w:rsidRPr="004C44E4">
              <w:rPr>
                <w:rFonts w:ascii="Palatino Linotype" w:eastAsia="Palatino Linotype" w:hAnsi="Palatino Linotype" w:cs="Palatino Linotype"/>
                <w:color w:val="000000"/>
              </w:rPr>
              <w:t xml:space="preserve">se deshago el número de identificación de dos </w:t>
            </w:r>
            <w:proofErr w:type="spellStart"/>
            <w:r w:rsidRPr="004C44E4">
              <w:rPr>
                <w:rFonts w:ascii="Palatino Linotype" w:eastAsia="Palatino Linotype" w:hAnsi="Palatino Linotype" w:cs="Palatino Linotype"/>
                <w:color w:val="000000"/>
              </w:rPr>
              <w:t>Tags</w:t>
            </w:r>
            <w:proofErr w:type="spellEnd"/>
            <w:r w:rsidRPr="004C44E4">
              <w:rPr>
                <w:rFonts w:ascii="Palatino Linotype" w:eastAsia="Palatino Linotype" w:hAnsi="Palatino Linotype" w:cs="Palatino Linotype"/>
                <w:color w:val="000000"/>
              </w:rPr>
              <w:t>, el concepto, la fecha de movimiento, la hora, el cobro, el número de caseta, la caseta, el carril, la clase, el importe, el saldo disponible y el folio; en el que se observa la temporalidad de julio y ago</w:t>
            </w:r>
            <w:r w:rsidRPr="004C44E4">
              <w:rPr>
                <w:rFonts w:ascii="Palatino Linotype" w:eastAsia="Palatino Linotype" w:hAnsi="Palatino Linotype" w:cs="Palatino Linotype"/>
                <w:color w:val="000000"/>
              </w:rPr>
              <w:t xml:space="preserve">sto de 2024 </w:t>
            </w:r>
          </w:p>
        </w:tc>
        <w:tc>
          <w:tcPr>
            <w:tcW w:w="2126" w:type="dxa"/>
          </w:tcPr>
          <w:p w:rsidR="00531B06" w:rsidRPr="004C44E4" w:rsidRDefault="003B4598">
            <w:pPr>
              <w:jc w:val="both"/>
              <w:rPr>
                <w:rFonts w:ascii="Palatino Linotype" w:eastAsia="Palatino Linotype" w:hAnsi="Palatino Linotype" w:cs="Palatino Linotype"/>
                <w:b/>
                <w:color w:val="000000"/>
              </w:rPr>
            </w:pPr>
            <w:r w:rsidRPr="004C44E4">
              <w:rPr>
                <w:rFonts w:ascii="Palatino Linotype" w:eastAsia="Palatino Linotype" w:hAnsi="Palatino Linotype" w:cs="Palatino Linotype"/>
                <w:b/>
                <w:color w:val="000000"/>
              </w:rPr>
              <w:t xml:space="preserve">Colma </w:t>
            </w:r>
          </w:p>
        </w:tc>
      </w:tr>
    </w:tbl>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tabs>
          <w:tab w:val="left" w:pos="4962"/>
        </w:tabs>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color w:val="000000"/>
          <w:sz w:val="22"/>
          <w:szCs w:val="22"/>
        </w:rPr>
        <w:t>Derivado de la respuesta proporcionada por el Sujeto Obligado, la Persona Particular únicamente se inconformó porque no se pronunció la Contraloría Interna y señaló que dicha área debe informar sobre los oficios que ellos ya saben y q</w:t>
      </w:r>
      <w:r w:rsidRPr="004C44E4">
        <w:rPr>
          <w:rFonts w:ascii="Palatino Linotype" w:eastAsia="Palatino Linotype" w:hAnsi="Palatino Linotype" w:cs="Palatino Linotype"/>
          <w:color w:val="000000"/>
          <w:sz w:val="22"/>
          <w:szCs w:val="22"/>
        </w:rPr>
        <w:t xml:space="preserve">ue deben generar, por lo cual se tuvo por atendida de los elementos antes descritos, </w:t>
      </w:r>
      <w:r w:rsidRPr="004C44E4">
        <w:rPr>
          <w:rFonts w:ascii="Palatino Linotype" w:eastAsia="Palatino Linotype" w:hAnsi="Palatino Linotype" w:cs="Palatino Linotype"/>
          <w:sz w:val="22"/>
          <w:szCs w:val="22"/>
        </w:rPr>
        <w:t>situación por la cual no se hará pronunciamiento alguno; lo anterior de conformidad con lo dispuesto en el artículo 195 de la Ley de Transparencia y Acceso a la Informació</w:t>
      </w:r>
      <w:r w:rsidRPr="004C44E4">
        <w:rPr>
          <w:rFonts w:ascii="Palatino Linotype" w:eastAsia="Palatino Linotype" w:hAnsi="Palatino Linotype" w:cs="Palatino Linotype"/>
          <w:sz w:val="22"/>
          <w:szCs w:val="22"/>
        </w:rPr>
        <w:t>n Pública del Estado de México y Municipios, con relación con el diverso 195, fracción IV, del Código de Procedimientos Administrativos del Estado de México, que establece que será improcedente el recurso contra los actos que se hayan consentido tácitament</w:t>
      </w:r>
      <w:r w:rsidRPr="004C44E4">
        <w:rPr>
          <w:rFonts w:ascii="Palatino Linotype" w:eastAsia="Palatino Linotype" w:hAnsi="Palatino Linotype" w:cs="Palatino Linotype"/>
          <w:sz w:val="22"/>
          <w:szCs w:val="22"/>
        </w:rPr>
        <w:t>e, entendiéndose por éstos cuando el recurso no se haya promovido en el plazo señalado para el efecto.</w:t>
      </w:r>
    </w:p>
    <w:p w:rsidR="00531B06" w:rsidRPr="004C44E4" w:rsidRDefault="00531B06">
      <w:pPr>
        <w:spacing w:line="360" w:lineRule="auto"/>
        <w:ind w:right="-93"/>
        <w:jc w:val="both"/>
        <w:rPr>
          <w:rFonts w:ascii="Palatino Linotype" w:eastAsia="Palatino Linotype" w:hAnsi="Palatino Linotype" w:cs="Palatino Linotype"/>
          <w:sz w:val="22"/>
          <w:szCs w:val="22"/>
        </w:rPr>
      </w:pPr>
    </w:p>
    <w:p w:rsidR="00531B06" w:rsidRPr="004C44E4" w:rsidRDefault="003B4598">
      <w:pPr>
        <w:spacing w:line="360" w:lineRule="auto"/>
        <w:ind w:right="-93"/>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t xml:space="preserve">De la misma manera resulta aplicable el criterio sostenido por el Poder Judicial de la Federación de rubro </w:t>
      </w:r>
      <w:r w:rsidRPr="004C44E4">
        <w:rPr>
          <w:rFonts w:ascii="Palatino Linotype" w:eastAsia="Palatino Linotype" w:hAnsi="Palatino Linotype" w:cs="Palatino Linotype"/>
          <w:b/>
          <w:sz w:val="22"/>
          <w:szCs w:val="22"/>
        </w:rPr>
        <w:t>ACTOS CONSENTIDOS TÁCITAMENTE, Tesis VI.2o. J/21</w:t>
      </w:r>
      <w:r w:rsidRPr="004C44E4">
        <w:rPr>
          <w:rFonts w:ascii="Palatino Linotype" w:eastAsia="Palatino Linotype" w:hAnsi="Palatino Linotype" w:cs="Palatino Linotype"/>
          <w:sz w:val="22"/>
          <w:szCs w:val="22"/>
        </w:rPr>
        <w:t xml:space="preserve">, emitida en la novena </w:t>
      </w:r>
      <w:r w:rsidRPr="004C44E4">
        <w:rPr>
          <w:rFonts w:ascii="Palatino Linotype" w:eastAsia="Palatino Linotype" w:hAnsi="Palatino Linotype" w:cs="Palatino Linotype"/>
          <w:sz w:val="22"/>
          <w:szCs w:val="22"/>
        </w:rPr>
        <w:lastRenderedPageBreak/>
        <w:t>época, por el Segundo Tribunal Colegiado del Sexto Circuito, publicada en la Gaceta del Semanario Judicial de la Federación en agosto de 1995, página 291 y número de registro 204707, de</w:t>
      </w:r>
      <w:r w:rsidRPr="004C44E4">
        <w:rPr>
          <w:rFonts w:ascii="Palatino Linotype" w:eastAsia="Palatino Linotype" w:hAnsi="Palatino Linotype" w:cs="Palatino Linotype"/>
          <w:sz w:val="22"/>
          <w:szCs w:val="22"/>
        </w:rPr>
        <w:t>l que se desprende que cuando no se reclaman los actos de autoridad en la vía y plazos establecidos en la Ley, se presume que el particular está conforme con los mismos.</w:t>
      </w:r>
    </w:p>
    <w:p w:rsidR="00531B06" w:rsidRPr="004C44E4" w:rsidRDefault="00531B06">
      <w:pPr>
        <w:spacing w:line="360" w:lineRule="auto"/>
        <w:ind w:right="-93"/>
        <w:jc w:val="both"/>
        <w:rPr>
          <w:rFonts w:ascii="Palatino Linotype" w:eastAsia="Palatino Linotype" w:hAnsi="Palatino Linotype" w:cs="Palatino Linotype"/>
          <w:sz w:val="22"/>
          <w:szCs w:val="22"/>
        </w:rPr>
      </w:pPr>
    </w:p>
    <w:p w:rsidR="00531B06" w:rsidRPr="004C44E4" w:rsidRDefault="003B4598">
      <w:pPr>
        <w:spacing w:line="360" w:lineRule="auto"/>
        <w:ind w:right="-93"/>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t xml:space="preserve">En ese sentido, en el caso de que el Particular no haya manifestado su inconformidad </w:t>
      </w:r>
      <w:r w:rsidRPr="004C44E4">
        <w:rPr>
          <w:rFonts w:ascii="Palatino Linotype" w:eastAsia="Palatino Linotype" w:hAnsi="Palatino Linotype" w:cs="Palatino Linotype"/>
          <w:sz w:val="22"/>
          <w:szCs w:val="22"/>
        </w:rPr>
        <w:t>en contra del acto en su totalidad o en cualquiera de sus partes, se tendrá por consentido al no haber realizado argumento alguno que formulara un agravio en su contra, por lo que, en la especie, se valida la respuesta respecto de los puntos no controverti</w:t>
      </w:r>
      <w:r w:rsidRPr="004C44E4">
        <w:rPr>
          <w:rFonts w:ascii="Palatino Linotype" w:eastAsia="Palatino Linotype" w:hAnsi="Palatino Linotype" w:cs="Palatino Linotype"/>
          <w:sz w:val="22"/>
          <w:szCs w:val="22"/>
        </w:rPr>
        <w:t>dos y se arriba a la conclusión de que estos quedaron firmes.</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Ahora bien, respecto a la falta de respuesta por parte de la Contraloría, cabe señalar, que de conformidad con el Manual General de Organización del Sujeto Obligado no se localizan funciones es</w:t>
      </w:r>
      <w:r w:rsidRPr="004C44E4">
        <w:rPr>
          <w:rFonts w:ascii="Palatino Linotype" w:eastAsia="Palatino Linotype" w:hAnsi="Palatino Linotype" w:cs="Palatino Linotype"/>
          <w:color w:val="000000"/>
          <w:sz w:val="22"/>
          <w:szCs w:val="22"/>
        </w:rPr>
        <w:t>pecíficas respecto a informes relacionados con oficios respecto a lo solicitado, ya que tiene principalmente funciones relacionadas con la fiscalización, revisión y evaluación de aplicación normativa y ejercicio de recursos humanos y financieros; en este s</w:t>
      </w:r>
      <w:r w:rsidRPr="004C44E4">
        <w:rPr>
          <w:rFonts w:ascii="Palatino Linotype" w:eastAsia="Palatino Linotype" w:hAnsi="Palatino Linotype" w:cs="Palatino Linotype"/>
          <w:color w:val="000000"/>
          <w:sz w:val="22"/>
          <w:szCs w:val="22"/>
        </w:rPr>
        <w:t>entido, cabe señalar que sí bien la persona Particular solicita el turno a una área en específico, lo cierto, es que el Sujeto Obligado únicamente se encuentra constreñido a realizar la búsqueda de la información en las áreas que consideré competentes conf</w:t>
      </w:r>
      <w:r w:rsidRPr="004C44E4">
        <w:rPr>
          <w:rFonts w:ascii="Palatino Linotype" w:eastAsia="Palatino Linotype" w:hAnsi="Palatino Linotype" w:cs="Palatino Linotype"/>
          <w:color w:val="000000"/>
          <w:sz w:val="22"/>
          <w:szCs w:val="22"/>
        </w:rPr>
        <w:t>orme a sus funciones y facultades, lo anterior en atención a lo dispuesto en el artículo 162 de la Ley de Transparencia del Estado.</w:t>
      </w: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 xml:space="preserve">Ahora bien, respecto a que la Contraloría podría conocer de los oficios generados con motivo de los Manuales de combustible </w:t>
      </w:r>
      <w:r w:rsidRPr="004C44E4">
        <w:rPr>
          <w:rFonts w:ascii="Palatino Linotype" w:eastAsia="Palatino Linotype" w:hAnsi="Palatino Linotype" w:cs="Palatino Linotype"/>
          <w:color w:val="000000"/>
          <w:sz w:val="22"/>
          <w:szCs w:val="22"/>
        </w:rPr>
        <w:t>de uso de unidades oficiales, es menester mencionar, que dicha información no fue solicitada en un principio, sino que la persona Particular solicitó una serie de requerimientos, que ya fueron atendidos por el Sujeto Obligados a través de los documentos en</w:t>
      </w:r>
      <w:r w:rsidRPr="004C44E4">
        <w:rPr>
          <w:rFonts w:ascii="Palatino Linotype" w:eastAsia="Palatino Linotype" w:hAnsi="Palatino Linotype" w:cs="Palatino Linotype"/>
          <w:color w:val="000000"/>
          <w:sz w:val="22"/>
          <w:szCs w:val="22"/>
        </w:rPr>
        <w:t xml:space="preserve"> los que se refleja lo solicitado, así por ejemplo, se entregó las Bitácoras de </w:t>
      </w:r>
      <w:r w:rsidRPr="004C44E4">
        <w:rPr>
          <w:rFonts w:ascii="Palatino Linotype" w:eastAsia="Palatino Linotype" w:hAnsi="Palatino Linotype" w:cs="Palatino Linotype"/>
          <w:color w:val="000000"/>
          <w:sz w:val="22"/>
          <w:szCs w:val="22"/>
        </w:rPr>
        <w:lastRenderedPageBreak/>
        <w:t>combustible, conforme al manual en mención y además se tuvo por conforme con dicha respuesta, por tanto, se advierte que se trata de una ampliación a la solicitud inicial, lo c</w:t>
      </w:r>
      <w:r w:rsidRPr="004C44E4">
        <w:rPr>
          <w:rFonts w:ascii="Palatino Linotype" w:eastAsia="Palatino Linotype" w:hAnsi="Palatino Linotype" w:cs="Palatino Linotype"/>
          <w:color w:val="000000"/>
          <w:sz w:val="22"/>
          <w:szCs w:val="22"/>
        </w:rPr>
        <w:t>ual resulta improcedente.</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 xml:space="preserve">Por lo que se configura lo que se conoce como </w:t>
      </w:r>
      <w:r w:rsidRPr="004C44E4">
        <w:rPr>
          <w:rFonts w:ascii="Palatino Linotype" w:eastAsia="Palatino Linotype" w:hAnsi="Palatino Linotype" w:cs="Palatino Linotype"/>
          <w:b/>
          <w:i/>
          <w:color w:val="000000"/>
          <w:sz w:val="22"/>
          <w:szCs w:val="22"/>
        </w:rPr>
        <w:t xml:space="preserve">plus </w:t>
      </w:r>
      <w:proofErr w:type="spellStart"/>
      <w:r w:rsidRPr="004C44E4">
        <w:rPr>
          <w:rFonts w:ascii="Palatino Linotype" w:eastAsia="Palatino Linotype" w:hAnsi="Palatino Linotype" w:cs="Palatino Linotype"/>
          <w:b/>
          <w:i/>
          <w:color w:val="000000"/>
          <w:sz w:val="22"/>
          <w:szCs w:val="22"/>
        </w:rPr>
        <w:t>petitio</w:t>
      </w:r>
      <w:proofErr w:type="spellEnd"/>
      <w:r w:rsidRPr="004C44E4">
        <w:rPr>
          <w:rFonts w:ascii="Palatino Linotype" w:eastAsia="Palatino Linotype" w:hAnsi="Palatino Linotype" w:cs="Palatino Linotype"/>
          <w:i/>
          <w:color w:val="000000"/>
          <w:sz w:val="22"/>
          <w:szCs w:val="22"/>
        </w:rPr>
        <w:t xml:space="preserve">, </w:t>
      </w:r>
      <w:r w:rsidRPr="004C44E4">
        <w:rPr>
          <w:rFonts w:ascii="Palatino Linotype" w:eastAsia="Palatino Linotype" w:hAnsi="Palatino Linotype" w:cs="Palatino Linotype"/>
          <w:color w:val="000000"/>
          <w:sz w:val="22"/>
          <w:szCs w:val="22"/>
        </w:rPr>
        <w:t xml:space="preserve">que consiste en una ampliación a su requerimiento informativo, argumentos que no son susceptibles de ser valorados en términos de la fracción VII del Artículo 191 de la </w:t>
      </w:r>
      <w:r w:rsidRPr="004C44E4">
        <w:rPr>
          <w:rFonts w:ascii="Palatino Linotype" w:eastAsia="Palatino Linotype" w:hAnsi="Palatino Linotype" w:cs="Palatino Linotype"/>
          <w:color w:val="000000"/>
          <w:sz w:val="22"/>
          <w:szCs w:val="22"/>
        </w:rPr>
        <w:t xml:space="preserve">Ley de Transparencia y Acceso a la Información Pública del Estado de México y Municipios, el cual señala la improcedencia cuando la persona Recurrente amplíe su solicitud en el Recurso de Revisión, </w:t>
      </w:r>
      <w:r w:rsidRPr="004C44E4">
        <w:rPr>
          <w:rFonts w:ascii="Palatino Linotype" w:eastAsia="Palatino Linotype" w:hAnsi="Palatino Linotype" w:cs="Palatino Linotype"/>
          <w:b/>
          <w:color w:val="000000"/>
          <w:sz w:val="22"/>
          <w:szCs w:val="22"/>
          <w:u w:val="single"/>
        </w:rPr>
        <w:t xml:space="preserve">únicamente respecto de los nuevos contenidos; </w:t>
      </w:r>
      <w:r w:rsidRPr="004C44E4">
        <w:rPr>
          <w:rFonts w:ascii="Palatino Linotype" w:eastAsia="Palatino Linotype" w:hAnsi="Palatino Linotype" w:cs="Palatino Linotype"/>
          <w:color w:val="000000"/>
          <w:sz w:val="22"/>
          <w:szCs w:val="22"/>
        </w:rPr>
        <w:t>cuestión que</w:t>
      </w:r>
      <w:r w:rsidRPr="004C44E4">
        <w:rPr>
          <w:rFonts w:ascii="Palatino Linotype" w:eastAsia="Palatino Linotype" w:hAnsi="Palatino Linotype" w:cs="Palatino Linotype"/>
          <w:color w:val="000000"/>
          <w:sz w:val="22"/>
          <w:szCs w:val="22"/>
        </w:rPr>
        <w:t xml:space="preserve"> tuvo lugar en el presente caso, pues la Particular formuló nuevos cuestionamientos, en los que solicitó información que no formó parte de su solicitud inicial.</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En este tenor, es posible determinar que para el caso que nos ocupa, la totalidad de los argum</w:t>
      </w:r>
      <w:r w:rsidRPr="004C44E4">
        <w:rPr>
          <w:rFonts w:ascii="Palatino Linotype" w:eastAsia="Palatino Linotype" w:hAnsi="Palatino Linotype" w:cs="Palatino Linotype"/>
          <w:color w:val="000000"/>
          <w:sz w:val="22"/>
          <w:szCs w:val="22"/>
        </w:rPr>
        <w:t>entos formulados como motivos o razonamientos de inconformidad son una ampliación a la solicitud inicial y corresponden a requerimientos de información nuevos, que no se encuentran relacionados con lo solicitado en un primer momento; por lo que se actualiz</w:t>
      </w:r>
      <w:r w:rsidRPr="004C44E4">
        <w:rPr>
          <w:rFonts w:ascii="Palatino Linotype" w:eastAsia="Palatino Linotype" w:hAnsi="Palatino Linotype" w:cs="Palatino Linotype"/>
          <w:color w:val="000000"/>
          <w:sz w:val="22"/>
          <w:szCs w:val="22"/>
        </w:rPr>
        <w:t>a el supuesto de improcedencia previsto en el artículo 191 fracción VII de la Ley de Transparencia y Acceso a la Información Pública del Estado de México y Municipios; que prevé que son improcedentes los Recursos de Revisión en los que se plantean ampliaci</w:t>
      </w:r>
      <w:r w:rsidRPr="004C44E4">
        <w:rPr>
          <w:rFonts w:ascii="Palatino Linotype" w:eastAsia="Palatino Linotype" w:hAnsi="Palatino Linotype" w:cs="Palatino Linotype"/>
          <w:color w:val="000000"/>
          <w:sz w:val="22"/>
          <w:szCs w:val="22"/>
        </w:rPr>
        <w:t>ones a las solicitudes iniciales.</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 xml:space="preserve">Consecuencialmente, se actualiza el supuesto previsto en el artículo 192 fracción IV de la Ley de Transparencia y Acceso a la Información Pública del Estado de México y Municipios; el </w:t>
      </w:r>
      <w:r w:rsidRPr="004C44E4">
        <w:rPr>
          <w:rFonts w:ascii="Palatino Linotype" w:eastAsia="Palatino Linotype" w:hAnsi="Palatino Linotype" w:cs="Palatino Linotype"/>
          <w:color w:val="000000"/>
          <w:sz w:val="22"/>
          <w:szCs w:val="22"/>
        </w:rPr>
        <w:lastRenderedPageBreak/>
        <w:t>cual prevé el sobreseimiento del Recu</w:t>
      </w:r>
      <w:r w:rsidRPr="004C44E4">
        <w:rPr>
          <w:rFonts w:ascii="Palatino Linotype" w:eastAsia="Palatino Linotype" w:hAnsi="Palatino Linotype" w:cs="Palatino Linotype"/>
          <w:color w:val="000000"/>
          <w:sz w:val="22"/>
          <w:szCs w:val="22"/>
        </w:rPr>
        <w:t>rso de Revisión, cuando una vez admitido, aparezca alguna causal de improcedencia; en este caso, corresponde a la ampliación a la solicitud inicial.</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 xml:space="preserve">Por tanto, resulta procedente </w:t>
      </w:r>
      <w:r w:rsidRPr="004C44E4">
        <w:rPr>
          <w:rFonts w:ascii="Palatino Linotype" w:eastAsia="Palatino Linotype" w:hAnsi="Palatino Linotype" w:cs="Palatino Linotype"/>
          <w:b/>
          <w:color w:val="000000"/>
          <w:sz w:val="22"/>
          <w:szCs w:val="22"/>
        </w:rPr>
        <w:t>SOBRESEER</w:t>
      </w:r>
      <w:r w:rsidRPr="004C44E4">
        <w:rPr>
          <w:rFonts w:ascii="Palatino Linotype" w:eastAsia="Palatino Linotype" w:hAnsi="Palatino Linotype" w:cs="Palatino Linotype"/>
          <w:color w:val="000000"/>
          <w:sz w:val="22"/>
          <w:szCs w:val="22"/>
        </w:rPr>
        <w:t xml:space="preserve"> el presente Recurso de Revisión; pues se actualizó una causal de i</w:t>
      </w:r>
      <w:r w:rsidRPr="004C44E4">
        <w:rPr>
          <w:rFonts w:ascii="Palatino Linotype" w:eastAsia="Palatino Linotype" w:hAnsi="Palatino Linotype" w:cs="Palatino Linotype"/>
          <w:color w:val="000000"/>
          <w:sz w:val="22"/>
          <w:szCs w:val="22"/>
        </w:rPr>
        <w:t>mprocedencia; ya que en su formulación, la persona Particular amplió la solicitud inicial y formuló nuevos requerimientos de información que corresponden a nuevos contenidos.</w:t>
      </w:r>
    </w:p>
    <w:p w:rsidR="00531B06" w:rsidRPr="004C44E4" w:rsidRDefault="00531B06">
      <w:pPr>
        <w:spacing w:line="360" w:lineRule="auto"/>
        <w:jc w:val="both"/>
        <w:rPr>
          <w:rFonts w:ascii="Palatino Linotype" w:eastAsia="Palatino Linotype" w:hAnsi="Palatino Linotype" w:cs="Palatino Linotype"/>
          <w:b/>
          <w:color w:val="000000"/>
          <w:sz w:val="22"/>
          <w:szCs w:val="22"/>
          <w:u w:val="single"/>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color w:val="000000"/>
          <w:sz w:val="22"/>
          <w:szCs w:val="22"/>
        </w:rPr>
        <w:t>No se omite mencionar, que se dejan a salvo los derechos de la persona Recurrente, para que, formule una nueva solicitud de información al Sujeto Obligado, en el que requiera la información solicitada en el Recurso de Revisión; ello, siempre y cuando así a</w:t>
      </w:r>
      <w:r w:rsidRPr="004C44E4">
        <w:rPr>
          <w:rFonts w:ascii="Palatino Linotype" w:eastAsia="Palatino Linotype" w:hAnsi="Palatino Linotype" w:cs="Palatino Linotype"/>
          <w:color w:val="000000"/>
          <w:sz w:val="22"/>
          <w:szCs w:val="22"/>
        </w:rPr>
        <w:t>tienda a sus intereses.</w:t>
      </w:r>
    </w:p>
    <w:p w:rsidR="00531B06" w:rsidRPr="004C44E4" w:rsidRDefault="00531B06">
      <w:pPr>
        <w:spacing w:line="360" w:lineRule="auto"/>
        <w:jc w:val="both"/>
        <w:rPr>
          <w:rFonts w:ascii="Palatino Linotype" w:eastAsia="Palatino Linotype" w:hAnsi="Palatino Linotype" w:cs="Palatino Linotype"/>
          <w:b/>
          <w:sz w:val="22"/>
          <w:szCs w:val="22"/>
        </w:rPr>
      </w:pPr>
    </w:p>
    <w:p w:rsidR="00531B06" w:rsidRPr="004C44E4" w:rsidRDefault="00F72E24">
      <w:p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b/>
          <w:sz w:val="22"/>
          <w:szCs w:val="22"/>
        </w:rPr>
        <w:t>TERCERO.  Decisión</w:t>
      </w:r>
    </w:p>
    <w:p w:rsidR="00531B06" w:rsidRPr="004C44E4" w:rsidRDefault="00531B06">
      <w:pPr>
        <w:spacing w:line="360" w:lineRule="auto"/>
        <w:jc w:val="both"/>
        <w:rPr>
          <w:rFonts w:ascii="Palatino Linotype" w:eastAsia="Palatino Linotype" w:hAnsi="Palatino Linotype" w:cs="Palatino Linotype"/>
          <w:b/>
          <w:sz w:val="22"/>
          <w:szCs w:val="22"/>
        </w:rPr>
      </w:pPr>
    </w:p>
    <w:p w:rsidR="00531B06" w:rsidRPr="004C44E4" w:rsidRDefault="003B4598">
      <w:p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t xml:space="preserve">Por lo que, con fundamento en los artículos 186, fracción I, 192 fracción IV y 191 fracción VII de la Ley de Transparencia y Acceso a la Información Pública del Estado de México y Municipios, es procedente </w:t>
      </w:r>
      <w:r w:rsidRPr="004C44E4">
        <w:rPr>
          <w:rFonts w:ascii="Palatino Linotype" w:eastAsia="Palatino Linotype" w:hAnsi="Palatino Linotype" w:cs="Palatino Linotype"/>
          <w:b/>
          <w:sz w:val="22"/>
          <w:szCs w:val="22"/>
        </w:rPr>
        <w:t>SOB</w:t>
      </w:r>
      <w:r w:rsidRPr="004C44E4">
        <w:rPr>
          <w:rFonts w:ascii="Palatino Linotype" w:eastAsia="Palatino Linotype" w:hAnsi="Palatino Linotype" w:cs="Palatino Linotype"/>
          <w:b/>
          <w:sz w:val="22"/>
          <w:szCs w:val="22"/>
        </w:rPr>
        <w:t>RESEER</w:t>
      </w:r>
      <w:r w:rsidRPr="004C44E4">
        <w:rPr>
          <w:rFonts w:ascii="Palatino Linotype" w:eastAsia="Palatino Linotype" w:hAnsi="Palatino Linotype" w:cs="Palatino Linotype"/>
          <w:sz w:val="22"/>
          <w:szCs w:val="22"/>
        </w:rPr>
        <w:t xml:space="preserve"> el Recurso de Revisión </w:t>
      </w:r>
      <w:r w:rsidRPr="004C44E4">
        <w:rPr>
          <w:rFonts w:ascii="Palatino Linotype" w:eastAsia="Palatino Linotype" w:hAnsi="Palatino Linotype" w:cs="Palatino Linotype"/>
          <w:b/>
          <w:color w:val="0D0D0D"/>
          <w:sz w:val="22"/>
          <w:szCs w:val="22"/>
        </w:rPr>
        <w:t>05306/INFOEM/IP/RR/2024</w:t>
      </w:r>
      <w:r w:rsidRPr="004C44E4">
        <w:rPr>
          <w:rFonts w:ascii="Palatino Linotype" w:eastAsia="Palatino Linotype" w:hAnsi="Palatino Linotype" w:cs="Palatino Linotype"/>
          <w:sz w:val="22"/>
          <w:szCs w:val="22"/>
        </w:rPr>
        <w:t>, en atención a que se actualizó una causal de improcedencia; específicamente la ampliación de la solicitud respecto a nuevos contenidos.</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spacing w:line="360" w:lineRule="auto"/>
        <w:jc w:val="both"/>
        <w:rPr>
          <w:rFonts w:ascii="Palatino Linotype" w:eastAsia="Palatino Linotype" w:hAnsi="Palatino Linotype" w:cs="Palatino Linotype"/>
          <w:b/>
          <w:sz w:val="22"/>
          <w:szCs w:val="22"/>
          <w:u w:val="single"/>
        </w:rPr>
      </w:pPr>
      <w:r w:rsidRPr="004C44E4">
        <w:rPr>
          <w:rFonts w:ascii="Palatino Linotype" w:eastAsia="Palatino Linotype" w:hAnsi="Palatino Linotype" w:cs="Palatino Linotype"/>
          <w:b/>
          <w:sz w:val="22"/>
          <w:szCs w:val="22"/>
          <w:u w:val="single"/>
        </w:rPr>
        <w:t>Términos de la Resolución par</w:t>
      </w:r>
      <w:r w:rsidR="00F72E24" w:rsidRPr="004C44E4">
        <w:rPr>
          <w:rFonts w:ascii="Palatino Linotype" w:eastAsia="Palatino Linotype" w:hAnsi="Palatino Linotype" w:cs="Palatino Linotype"/>
          <w:b/>
          <w:sz w:val="22"/>
          <w:szCs w:val="22"/>
          <w:u w:val="single"/>
        </w:rPr>
        <w:t>a conocimiento de la Particular</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spacing w:line="360" w:lineRule="auto"/>
        <w:jc w:val="both"/>
        <w:rPr>
          <w:rFonts w:ascii="Palatino Linotype" w:eastAsia="Palatino Linotype" w:hAnsi="Palatino Linotype" w:cs="Palatino Linotype"/>
          <w:sz w:val="22"/>
          <w:szCs w:val="22"/>
          <w:u w:val="single"/>
        </w:rPr>
      </w:pPr>
      <w:r w:rsidRPr="004C44E4">
        <w:rPr>
          <w:rFonts w:ascii="Palatino Linotype" w:eastAsia="Palatino Linotype" w:hAnsi="Palatino Linotype" w:cs="Palatino Linotype"/>
          <w:sz w:val="22"/>
          <w:szCs w:val="22"/>
          <w:u w:val="single"/>
        </w:rPr>
        <w:t>E</w:t>
      </w:r>
      <w:r w:rsidRPr="004C44E4">
        <w:rPr>
          <w:rFonts w:ascii="Palatino Linotype" w:eastAsia="Palatino Linotype" w:hAnsi="Palatino Linotype" w:cs="Palatino Linotype"/>
          <w:sz w:val="22"/>
          <w:szCs w:val="22"/>
          <w:u w:val="single"/>
        </w:rPr>
        <w:t xml:space="preserve">ste Instituto Garante, determinó dar por concluido el presente expediente, en virtud de que, del análisis a los motivos de inconformidad que planteó, se advirtió que no guardan relación </w:t>
      </w:r>
      <w:r w:rsidRPr="004C44E4">
        <w:rPr>
          <w:rFonts w:ascii="Palatino Linotype" w:eastAsia="Palatino Linotype" w:hAnsi="Palatino Linotype" w:cs="Palatino Linotype"/>
          <w:sz w:val="22"/>
          <w:szCs w:val="22"/>
          <w:u w:val="single"/>
        </w:rPr>
        <w:lastRenderedPageBreak/>
        <w:t>con lo solicitado y se tratan de nuevos cuestionamientos que pretenden</w:t>
      </w:r>
      <w:r w:rsidRPr="004C44E4">
        <w:rPr>
          <w:rFonts w:ascii="Palatino Linotype" w:eastAsia="Palatino Linotype" w:hAnsi="Palatino Linotype" w:cs="Palatino Linotype"/>
          <w:sz w:val="22"/>
          <w:szCs w:val="22"/>
          <w:u w:val="single"/>
        </w:rPr>
        <w:t xml:space="preserve"> acceder a información que no se solicitó en un primer momento.</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Pr="004C44E4" w:rsidRDefault="003B4598">
      <w:pPr>
        <w:spacing w:line="360" w:lineRule="auto"/>
        <w:jc w:val="both"/>
        <w:rPr>
          <w:rFonts w:ascii="Palatino Linotype" w:eastAsia="Palatino Linotype" w:hAnsi="Palatino Linotype" w:cs="Palatino Linotype"/>
          <w:sz w:val="22"/>
          <w:szCs w:val="22"/>
          <w:u w:val="single"/>
        </w:rPr>
      </w:pPr>
      <w:r w:rsidRPr="004C44E4">
        <w:rPr>
          <w:rFonts w:ascii="Palatino Linotype" w:eastAsia="Palatino Linotype" w:hAnsi="Palatino Linotype" w:cs="Palatino Linotype"/>
          <w:sz w:val="22"/>
          <w:szCs w:val="22"/>
          <w:u w:val="single"/>
        </w:rPr>
        <w:t>La labor del INFOEM, es apoyar a la población para acceder a la información pública y garantizar la protección de sus datos personales.</w:t>
      </w:r>
    </w:p>
    <w:p w:rsidR="00531B06" w:rsidRPr="004C44E4" w:rsidRDefault="003B4598">
      <w:pPr>
        <w:spacing w:line="360" w:lineRule="auto"/>
        <w:jc w:val="both"/>
        <w:rPr>
          <w:rFonts w:ascii="Palatino Linotype" w:eastAsia="Palatino Linotype" w:hAnsi="Palatino Linotype" w:cs="Palatino Linotype"/>
          <w:sz w:val="22"/>
          <w:szCs w:val="22"/>
          <w:u w:val="single"/>
        </w:rPr>
      </w:pPr>
      <w:r w:rsidRPr="004C44E4">
        <w:rPr>
          <w:rFonts w:ascii="Palatino Linotype" w:eastAsia="Palatino Linotype" w:hAnsi="Palatino Linotype" w:cs="Palatino Linotype"/>
          <w:sz w:val="22"/>
          <w:szCs w:val="22"/>
          <w:u w:val="single"/>
        </w:rPr>
        <w:t xml:space="preserve">Por lo antes expuesto y fundado. </w:t>
      </w:r>
    </w:p>
    <w:p w:rsidR="00531B06" w:rsidRPr="004C44E4" w:rsidRDefault="00531B06">
      <w:pPr>
        <w:spacing w:line="360" w:lineRule="auto"/>
        <w:jc w:val="center"/>
        <w:rPr>
          <w:rFonts w:ascii="Palatino Linotype" w:eastAsia="Palatino Linotype" w:hAnsi="Palatino Linotype" w:cs="Palatino Linotype"/>
          <w:b/>
          <w:sz w:val="22"/>
          <w:szCs w:val="22"/>
        </w:rPr>
      </w:pPr>
    </w:p>
    <w:p w:rsidR="00531B06" w:rsidRPr="004C44E4" w:rsidRDefault="003B4598">
      <w:pPr>
        <w:spacing w:line="360" w:lineRule="auto"/>
        <w:jc w:val="center"/>
        <w:rPr>
          <w:rFonts w:ascii="Palatino Linotype" w:eastAsia="Palatino Linotype" w:hAnsi="Palatino Linotype" w:cs="Palatino Linotype"/>
          <w:b/>
          <w:sz w:val="22"/>
          <w:szCs w:val="22"/>
        </w:rPr>
      </w:pPr>
      <w:r w:rsidRPr="004C44E4">
        <w:rPr>
          <w:rFonts w:ascii="Palatino Linotype" w:eastAsia="Palatino Linotype" w:hAnsi="Palatino Linotype" w:cs="Palatino Linotype"/>
          <w:b/>
          <w:sz w:val="22"/>
          <w:szCs w:val="22"/>
        </w:rPr>
        <w:t>R E S U E L V E</w:t>
      </w:r>
    </w:p>
    <w:p w:rsidR="00531B06" w:rsidRPr="004C44E4" w:rsidRDefault="00531B06">
      <w:pPr>
        <w:spacing w:line="360" w:lineRule="auto"/>
        <w:jc w:val="center"/>
        <w:rPr>
          <w:rFonts w:ascii="Palatino Linotype" w:eastAsia="Palatino Linotype" w:hAnsi="Palatino Linotype" w:cs="Palatino Linotype"/>
          <w:b/>
          <w:sz w:val="22"/>
          <w:szCs w:val="22"/>
        </w:rPr>
      </w:pPr>
    </w:p>
    <w:p w:rsidR="00531B06" w:rsidRPr="004C44E4" w:rsidRDefault="003B4598">
      <w:pPr>
        <w:spacing w:line="360" w:lineRule="auto"/>
        <w:ind w:right="113"/>
        <w:jc w:val="both"/>
        <w:rPr>
          <w:rFonts w:ascii="Palatino Linotype" w:eastAsia="Palatino Linotype" w:hAnsi="Palatino Linotype" w:cs="Palatino Linotype"/>
          <w:b/>
          <w:sz w:val="22"/>
          <w:szCs w:val="22"/>
        </w:rPr>
      </w:pPr>
      <w:r w:rsidRPr="004C44E4">
        <w:rPr>
          <w:rFonts w:ascii="Palatino Linotype" w:eastAsia="Palatino Linotype" w:hAnsi="Palatino Linotype" w:cs="Palatino Linotype"/>
          <w:b/>
          <w:sz w:val="22"/>
          <w:szCs w:val="22"/>
        </w:rPr>
        <w:t>PRIMERO. Se SOBRESEE por improcedente</w:t>
      </w:r>
      <w:r w:rsidRPr="004C44E4">
        <w:rPr>
          <w:rFonts w:ascii="Palatino Linotype" w:eastAsia="Palatino Linotype" w:hAnsi="Palatino Linotype" w:cs="Palatino Linotype"/>
          <w:sz w:val="22"/>
          <w:szCs w:val="22"/>
        </w:rPr>
        <w:t xml:space="preserve"> el Recurso de Revisión con número </w:t>
      </w:r>
      <w:r w:rsidRPr="004C44E4">
        <w:rPr>
          <w:rFonts w:ascii="Palatino Linotype" w:eastAsia="Palatino Linotype" w:hAnsi="Palatino Linotype" w:cs="Palatino Linotype"/>
          <w:b/>
          <w:color w:val="0D0D0D"/>
          <w:sz w:val="22"/>
          <w:szCs w:val="22"/>
        </w:rPr>
        <w:t xml:space="preserve">05306/INFOEM/IP/RR/2024 </w:t>
      </w:r>
      <w:r w:rsidRPr="004C44E4">
        <w:rPr>
          <w:rFonts w:ascii="Palatino Linotype" w:eastAsia="Palatino Linotype" w:hAnsi="Palatino Linotype" w:cs="Palatino Linotype"/>
          <w:sz w:val="22"/>
          <w:szCs w:val="22"/>
        </w:rPr>
        <w:t>, por actualizarse la causal de improcedencia establecida en la fracción VII, del artículo 191, de la Ley de Transparencia y Acceso a la Información Pública del</w:t>
      </w:r>
      <w:r w:rsidRPr="004C44E4">
        <w:rPr>
          <w:rFonts w:ascii="Palatino Linotype" w:eastAsia="Palatino Linotype" w:hAnsi="Palatino Linotype" w:cs="Palatino Linotype"/>
          <w:sz w:val="22"/>
          <w:szCs w:val="22"/>
        </w:rPr>
        <w:t xml:space="preserve"> Estado de México y Municipios, en términos de los Considerandos </w:t>
      </w:r>
      <w:r w:rsidRPr="004C44E4">
        <w:rPr>
          <w:rFonts w:ascii="Palatino Linotype" w:eastAsia="Palatino Linotype" w:hAnsi="Palatino Linotype" w:cs="Palatino Linotype"/>
          <w:b/>
          <w:sz w:val="22"/>
          <w:szCs w:val="22"/>
        </w:rPr>
        <w:t>SEGUNDO</w:t>
      </w:r>
      <w:r w:rsidRPr="004C44E4">
        <w:rPr>
          <w:rFonts w:ascii="Palatino Linotype" w:eastAsia="Palatino Linotype" w:hAnsi="Palatino Linotype" w:cs="Palatino Linotype"/>
          <w:sz w:val="22"/>
          <w:szCs w:val="22"/>
        </w:rPr>
        <w:t xml:space="preserve"> </w:t>
      </w:r>
      <w:r w:rsidRPr="004C44E4">
        <w:rPr>
          <w:rFonts w:ascii="Palatino Linotype" w:eastAsia="Palatino Linotype" w:hAnsi="Palatino Linotype" w:cs="Palatino Linotype"/>
          <w:b/>
          <w:sz w:val="22"/>
          <w:szCs w:val="22"/>
        </w:rPr>
        <w:t>y TERCERO</w:t>
      </w:r>
      <w:r w:rsidRPr="004C44E4">
        <w:rPr>
          <w:rFonts w:ascii="Palatino Linotype" w:eastAsia="Palatino Linotype" w:hAnsi="Palatino Linotype" w:cs="Palatino Linotype"/>
          <w:sz w:val="22"/>
          <w:szCs w:val="22"/>
        </w:rPr>
        <w:t xml:space="preserve"> de la presente Resolución.</w:t>
      </w:r>
    </w:p>
    <w:p w:rsidR="00531B06" w:rsidRPr="004C44E4" w:rsidRDefault="00531B06">
      <w:pPr>
        <w:spacing w:line="360" w:lineRule="auto"/>
        <w:ind w:right="113"/>
        <w:jc w:val="both"/>
        <w:rPr>
          <w:rFonts w:ascii="Palatino Linotype" w:eastAsia="Palatino Linotype" w:hAnsi="Palatino Linotype" w:cs="Palatino Linotype"/>
          <w:sz w:val="22"/>
          <w:szCs w:val="22"/>
        </w:rPr>
      </w:pPr>
    </w:p>
    <w:p w:rsidR="00531B06" w:rsidRPr="004C44E4" w:rsidRDefault="003B4598">
      <w:pPr>
        <w:spacing w:line="360" w:lineRule="auto"/>
        <w:jc w:val="both"/>
        <w:rPr>
          <w:rFonts w:ascii="Palatino Linotype" w:eastAsia="Palatino Linotype" w:hAnsi="Palatino Linotype" w:cs="Palatino Linotype"/>
          <w:color w:val="000000"/>
          <w:sz w:val="22"/>
          <w:szCs w:val="22"/>
        </w:rPr>
      </w:pPr>
      <w:r w:rsidRPr="004C44E4">
        <w:rPr>
          <w:rFonts w:ascii="Palatino Linotype" w:eastAsia="Palatino Linotype" w:hAnsi="Palatino Linotype" w:cs="Palatino Linotype"/>
          <w:b/>
          <w:color w:val="000000"/>
          <w:sz w:val="22"/>
          <w:szCs w:val="22"/>
        </w:rPr>
        <w:t>SEGUNDO.</w:t>
      </w:r>
      <w:r w:rsidRPr="004C44E4">
        <w:rPr>
          <w:rFonts w:ascii="Palatino Linotype" w:eastAsia="Palatino Linotype" w:hAnsi="Palatino Linotype" w:cs="Palatino Linotype"/>
          <w:color w:val="000000"/>
          <w:sz w:val="22"/>
          <w:szCs w:val="22"/>
        </w:rPr>
        <w:t xml:space="preserve"> </w:t>
      </w:r>
      <w:r w:rsidRPr="004C44E4">
        <w:rPr>
          <w:rFonts w:ascii="Palatino Linotype" w:eastAsia="Palatino Linotype" w:hAnsi="Palatino Linotype" w:cs="Palatino Linotype"/>
          <w:b/>
          <w:color w:val="000000"/>
          <w:sz w:val="22"/>
          <w:szCs w:val="22"/>
        </w:rPr>
        <w:t xml:space="preserve">NOTIFÍQUESE POR SAIMEX </w:t>
      </w:r>
      <w:r w:rsidRPr="004C44E4">
        <w:rPr>
          <w:rFonts w:ascii="Palatino Linotype" w:eastAsia="Palatino Linotype" w:hAnsi="Palatino Linotype" w:cs="Palatino Linotype"/>
          <w:color w:val="000000"/>
          <w:sz w:val="22"/>
          <w:szCs w:val="22"/>
        </w:rPr>
        <w:t>la presente Resolución</w:t>
      </w:r>
      <w:r w:rsidRPr="004C44E4">
        <w:rPr>
          <w:rFonts w:ascii="Palatino Linotype" w:eastAsia="Palatino Linotype" w:hAnsi="Palatino Linotype" w:cs="Palatino Linotype"/>
          <w:b/>
          <w:color w:val="000000"/>
          <w:sz w:val="22"/>
          <w:szCs w:val="22"/>
        </w:rPr>
        <w:t xml:space="preserve"> </w:t>
      </w:r>
      <w:r w:rsidRPr="004C44E4">
        <w:rPr>
          <w:rFonts w:ascii="Palatino Linotype" w:eastAsia="Palatino Linotype" w:hAnsi="Palatino Linotype" w:cs="Palatino Linotype"/>
          <w:color w:val="000000"/>
          <w:sz w:val="22"/>
          <w:szCs w:val="22"/>
        </w:rPr>
        <w:t xml:space="preserve">al Titular de la Unidad del Sujeto Obligado. </w:t>
      </w:r>
    </w:p>
    <w:p w:rsidR="00531B06" w:rsidRPr="004C44E4" w:rsidRDefault="00531B06">
      <w:pPr>
        <w:spacing w:line="360" w:lineRule="auto"/>
        <w:jc w:val="both"/>
        <w:rPr>
          <w:rFonts w:ascii="Palatino Linotype" w:eastAsia="Palatino Linotype" w:hAnsi="Palatino Linotype" w:cs="Palatino Linotype"/>
          <w:color w:val="000000"/>
          <w:sz w:val="22"/>
          <w:szCs w:val="22"/>
        </w:rPr>
      </w:pPr>
    </w:p>
    <w:p w:rsidR="00531B06" w:rsidRPr="004C44E4" w:rsidRDefault="003B4598">
      <w:p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b/>
          <w:color w:val="000000"/>
          <w:sz w:val="22"/>
          <w:szCs w:val="22"/>
        </w:rPr>
        <w:t>TERCERO.</w:t>
      </w:r>
      <w:r w:rsidRPr="004C44E4">
        <w:rPr>
          <w:rFonts w:ascii="Palatino Linotype" w:eastAsia="Palatino Linotype" w:hAnsi="Palatino Linotype" w:cs="Palatino Linotype"/>
          <w:color w:val="000000"/>
          <w:sz w:val="22"/>
          <w:szCs w:val="22"/>
        </w:rPr>
        <w:t xml:space="preserve"> </w:t>
      </w:r>
      <w:r w:rsidRPr="004C44E4">
        <w:rPr>
          <w:rFonts w:ascii="Palatino Linotype" w:eastAsia="Palatino Linotype" w:hAnsi="Palatino Linotype" w:cs="Palatino Linotype"/>
          <w:b/>
          <w:sz w:val="22"/>
          <w:szCs w:val="22"/>
        </w:rPr>
        <w:t xml:space="preserve">NOTIFÍQUESE POR SAIMEX </w:t>
      </w:r>
      <w:r w:rsidRPr="004C44E4">
        <w:rPr>
          <w:rFonts w:ascii="Palatino Linotype" w:eastAsia="Palatino Linotype" w:hAnsi="Palatino Linotype" w:cs="Palatino Linotype"/>
          <w:sz w:val="22"/>
          <w:szCs w:val="22"/>
        </w:rPr>
        <w:t>a la person</w:t>
      </w:r>
      <w:r w:rsidRPr="004C44E4">
        <w:rPr>
          <w:rFonts w:ascii="Palatino Linotype" w:eastAsia="Palatino Linotype" w:hAnsi="Palatino Linotype" w:cs="Palatino Linotype"/>
          <w:sz w:val="22"/>
          <w:szCs w:val="22"/>
        </w:rPr>
        <w:t>a Recurrente la presente Resolución, asimismo, se hace de su conocimiento que de conformidad con lo establecido en el artículo 196 de la Ley de Transparencia y Acceso a la Información Pública del Estado de México y Municipios, podrá promover el Juicio de A</w:t>
      </w:r>
      <w:r w:rsidRPr="004C44E4">
        <w:rPr>
          <w:rFonts w:ascii="Palatino Linotype" w:eastAsia="Palatino Linotype" w:hAnsi="Palatino Linotype" w:cs="Palatino Linotype"/>
          <w:sz w:val="22"/>
          <w:szCs w:val="22"/>
        </w:rPr>
        <w:t>mparo en los términos de las leyes aplicables.</w:t>
      </w:r>
    </w:p>
    <w:p w:rsidR="00531B06" w:rsidRPr="004C44E4" w:rsidRDefault="00531B06">
      <w:pPr>
        <w:spacing w:line="360" w:lineRule="auto"/>
        <w:jc w:val="both"/>
        <w:rPr>
          <w:rFonts w:ascii="Palatino Linotype" w:eastAsia="Palatino Linotype" w:hAnsi="Palatino Linotype" w:cs="Palatino Linotype"/>
          <w:sz w:val="22"/>
          <w:szCs w:val="22"/>
        </w:rPr>
      </w:pPr>
    </w:p>
    <w:p w:rsidR="00531B06" w:rsidRDefault="003B4598">
      <w:pPr>
        <w:spacing w:line="360" w:lineRule="auto"/>
        <w:jc w:val="both"/>
        <w:rPr>
          <w:rFonts w:ascii="Palatino Linotype" w:eastAsia="Palatino Linotype" w:hAnsi="Palatino Linotype" w:cs="Palatino Linotype"/>
          <w:sz w:val="22"/>
          <w:szCs w:val="22"/>
        </w:rPr>
      </w:pPr>
      <w:r w:rsidRPr="004C44E4">
        <w:rPr>
          <w:rFonts w:ascii="Palatino Linotype" w:eastAsia="Palatino Linotype" w:hAnsi="Palatino Linotype" w:cs="Palatino Linotype"/>
          <w:sz w:val="22"/>
          <w:szCs w:val="22"/>
        </w:rPr>
        <w:t xml:space="preserve">ASÍ LO RESUELVE, POR </w:t>
      </w:r>
      <w:r w:rsidRPr="004C44E4">
        <w:rPr>
          <w:rFonts w:ascii="Palatino Linotype" w:eastAsia="Palatino Linotype" w:hAnsi="Palatino Linotype" w:cs="Palatino Linotype"/>
          <w:b/>
          <w:sz w:val="22"/>
          <w:szCs w:val="22"/>
        </w:rPr>
        <w:t>UNANIMIDAD</w:t>
      </w:r>
      <w:r w:rsidRPr="004C44E4">
        <w:rPr>
          <w:rFonts w:ascii="Palatino Linotype" w:eastAsia="Palatino Linotype" w:hAnsi="Palatino Linotype" w:cs="Palatino Linotype"/>
          <w:sz w:val="22"/>
          <w:szCs w:val="22"/>
        </w:rPr>
        <w:t xml:space="preserve"> DE VOTOS EL PLENO DEL INSTITUTO DE TRANSPARENCIA, ACCESO A LA INFORMACIÓN PÚBLICA Y PROTECCIÓN DE </w:t>
      </w:r>
      <w:r w:rsidRPr="004C44E4">
        <w:rPr>
          <w:rFonts w:ascii="Palatino Linotype" w:eastAsia="Palatino Linotype" w:hAnsi="Palatino Linotype" w:cs="Palatino Linotype"/>
          <w:sz w:val="22"/>
          <w:szCs w:val="22"/>
        </w:rPr>
        <w:lastRenderedPageBreak/>
        <w:t>DATOS PERSONALES DEL ESTADO DE MÉXICO Y MUNICIPIOS, CONFORMADO POR LOS COMISIONADOS JOSÉ MARTÍNEZ VILCHIS, MARÍA DEL ROSARIO MEJÍA AYALA, SHARON CRISTINA MOR</w:t>
      </w:r>
      <w:r w:rsidRPr="004C44E4">
        <w:rPr>
          <w:rFonts w:ascii="Palatino Linotype" w:eastAsia="Palatino Linotype" w:hAnsi="Palatino Linotype" w:cs="Palatino Linotype"/>
          <w:sz w:val="22"/>
          <w:szCs w:val="22"/>
        </w:rPr>
        <w:t>ALES MARTÍNEZ, LUIS GUSTAVO PARRA NORIEGA CON VOTO PARTICULAR Y GUADALUPE RAMÍREZ PEÑA, EN LA TRIGÉSIMA SEXTA SESIÓN ORDINARIA, CELEBRADA EL DIECISÉIS DE OCTUBRE DE DOS MIL VEINTICUATRO, ANTE EL SECRETARIO TÉCNICO DEL PLENO, ALEXIS TAPIA RAMÍREZ.</w:t>
      </w:r>
      <w:bookmarkStart w:id="1" w:name="_GoBack"/>
      <w:bookmarkEnd w:id="1"/>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sz w:val="22"/>
          <w:szCs w:val="22"/>
        </w:rPr>
      </w:pPr>
    </w:p>
    <w:p w:rsidR="00531B06" w:rsidRDefault="00531B06">
      <w:pPr>
        <w:spacing w:line="360" w:lineRule="auto"/>
        <w:jc w:val="both"/>
        <w:rPr>
          <w:rFonts w:ascii="Palatino Linotype" w:eastAsia="Palatino Linotype" w:hAnsi="Palatino Linotype" w:cs="Palatino Linotype"/>
          <w:color w:val="000000"/>
          <w:sz w:val="22"/>
          <w:szCs w:val="22"/>
        </w:rPr>
      </w:pPr>
    </w:p>
    <w:sectPr w:rsidR="00531B06">
      <w:headerReference w:type="default" r:id="rId9"/>
      <w:footerReference w:type="default" r:id="rId10"/>
      <w:headerReference w:type="first" r:id="rId11"/>
      <w:footerReference w:type="first" r:id="rId12"/>
      <w:pgSz w:w="12240" w:h="15840"/>
      <w:pgMar w:top="851" w:right="1610"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598" w:rsidRDefault="003B4598">
      <w:r>
        <w:separator/>
      </w:r>
    </w:p>
  </w:endnote>
  <w:endnote w:type="continuationSeparator" w:id="0">
    <w:p w:rsidR="003B4598" w:rsidRDefault="003B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06" w:rsidRDefault="00531B06">
    <w:pPr>
      <w:pBdr>
        <w:top w:val="nil"/>
        <w:left w:val="nil"/>
        <w:bottom w:val="nil"/>
        <w:right w:val="nil"/>
        <w:between w:val="nil"/>
      </w:pBdr>
      <w:tabs>
        <w:tab w:val="center" w:pos="4419"/>
        <w:tab w:val="right" w:pos="8838"/>
      </w:tabs>
      <w:jc w:val="right"/>
      <w:rPr>
        <w:color w:val="000000"/>
        <w:sz w:val="26"/>
        <w:szCs w:val="26"/>
      </w:rPr>
    </w:pPr>
  </w:p>
  <w:p w:rsidR="00531B06" w:rsidRDefault="003B459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F72E24">
      <w:rPr>
        <w:b/>
        <w:color w:val="000000"/>
        <w:sz w:val="24"/>
        <w:szCs w:val="24"/>
      </w:rPr>
      <w:fldChar w:fldCharType="separate"/>
    </w:r>
    <w:r w:rsidR="004C44E4">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F72E24">
      <w:rPr>
        <w:b/>
        <w:color w:val="000000"/>
        <w:sz w:val="24"/>
        <w:szCs w:val="24"/>
      </w:rPr>
      <w:fldChar w:fldCharType="separate"/>
    </w:r>
    <w:r w:rsidR="004C44E4">
      <w:rPr>
        <w:b/>
        <w:noProof/>
        <w:color w:val="000000"/>
        <w:sz w:val="24"/>
        <w:szCs w:val="24"/>
      </w:rPr>
      <w:t>21</w:t>
    </w:r>
    <w:r>
      <w:rPr>
        <w:b/>
        <w:color w:val="000000"/>
        <w:sz w:val="24"/>
        <w:szCs w:val="24"/>
      </w:rPr>
      <w:fldChar w:fldCharType="end"/>
    </w:r>
  </w:p>
  <w:p w:rsidR="00531B06" w:rsidRDefault="00531B0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06" w:rsidRDefault="00531B06">
    <w:pPr>
      <w:pBdr>
        <w:top w:val="nil"/>
        <w:left w:val="nil"/>
        <w:bottom w:val="nil"/>
        <w:right w:val="nil"/>
        <w:between w:val="nil"/>
      </w:pBdr>
      <w:tabs>
        <w:tab w:val="center" w:pos="4419"/>
        <w:tab w:val="right" w:pos="8838"/>
      </w:tabs>
      <w:jc w:val="right"/>
      <w:rPr>
        <w:color w:val="000000"/>
      </w:rPr>
    </w:pPr>
  </w:p>
  <w:p w:rsidR="00531B06" w:rsidRDefault="003B459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F72E24">
      <w:rPr>
        <w:b/>
        <w:color w:val="000000"/>
        <w:sz w:val="24"/>
        <w:szCs w:val="24"/>
      </w:rPr>
      <w:fldChar w:fldCharType="separate"/>
    </w:r>
    <w:r w:rsidR="004C44E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F72E24">
      <w:rPr>
        <w:b/>
        <w:color w:val="000000"/>
        <w:sz w:val="24"/>
        <w:szCs w:val="24"/>
      </w:rPr>
      <w:fldChar w:fldCharType="separate"/>
    </w:r>
    <w:r w:rsidR="004C44E4">
      <w:rPr>
        <w:b/>
        <w:noProof/>
        <w:color w:val="000000"/>
        <w:sz w:val="24"/>
        <w:szCs w:val="24"/>
      </w:rPr>
      <w:t>21</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598" w:rsidRDefault="003B4598">
      <w:r>
        <w:separator/>
      </w:r>
    </w:p>
  </w:footnote>
  <w:footnote w:type="continuationSeparator" w:id="0">
    <w:p w:rsidR="003B4598" w:rsidRDefault="003B4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06" w:rsidRDefault="00531B0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2"/>
        <w:szCs w:val="22"/>
      </w:rPr>
    </w:pPr>
  </w:p>
  <w:tbl>
    <w:tblPr>
      <w:tblStyle w:val="a0"/>
      <w:tblW w:w="9782" w:type="dxa"/>
      <w:tblInd w:w="0" w:type="dxa"/>
      <w:tblLayout w:type="fixed"/>
      <w:tblLook w:val="0400" w:firstRow="0" w:lastRow="0" w:firstColumn="0" w:lastColumn="0" w:noHBand="0" w:noVBand="1"/>
    </w:tblPr>
    <w:tblGrid>
      <w:gridCol w:w="2835"/>
      <w:gridCol w:w="6947"/>
    </w:tblGrid>
    <w:tr w:rsidR="00531B06">
      <w:trPr>
        <w:trHeight w:val="1412"/>
      </w:trPr>
      <w:tc>
        <w:tcPr>
          <w:tcW w:w="2835" w:type="dxa"/>
          <w:shd w:val="clear" w:color="auto" w:fill="auto"/>
        </w:tcPr>
        <w:p w:rsidR="00531B06" w:rsidRDefault="00531B06">
          <w:pPr>
            <w:tabs>
              <w:tab w:val="right" w:pos="4273"/>
            </w:tabs>
            <w:rPr>
              <w:rFonts w:ascii="Garamond" w:eastAsia="Garamond" w:hAnsi="Garamond" w:cs="Garamond"/>
              <w:sz w:val="16"/>
              <w:szCs w:val="16"/>
            </w:rPr>
          </w:pPr>
        </w:p>
      </w:tc>
      <w:tc>
        <w:tcPr>
          <w:tcW w:w="6947" w:type="dxa"/>
          <w:shd w:val="clear" w:color="auto" w:fill="auto"/>
        </w:tcPr>
        <w:p w:rsidR="00531B06" w:rsidRDefault="00531B06">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1"/>
            <w:tblW w:w="5973" w:type="dxa"/>
            <w:tblInd w:w="24" w:type="dxa"/>
            <w:tblBorders>
              <w:top w:val="nil"/>
              <w:left w:val="nil"/>
              <w:bottom w:val="nil"/>
              <w:right w:val="nil"/>
              <w:insideH w:val="nil"/>
              <w:insideV w:val="nil"/>
            </w:tblBorders>
            <w:tblLayout w:type="fixed"/>
            <w:tblLook w:val="0400" w:firstRow="0" w:lastRow="0" w:firstColumn="0" w:lastColumn="0" w:noHBand="0" w:noVBand="1"/>
          </w:tblPr>
          <w:tblGrid>
            <w:gridCol w:w="2693"/>
            <w:gridCol w:w="3280"/>
          </w:tblGrid>
          <w:tr w:rsidR="00531B06">
            <w:trPr>
              <w:trHeight w:val="153"/>
            </w:trPr>
            <w:tc>
              <w:tcPr>
                <w:tcW w:w="2693" w:type="dxa"/>
              </w:tcPr>
              <w:p w:rsidR="00531B06" w:rsidRDefault="003B4598">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80" w:type="dxa"/>
              </w:tcPr>
              <w:p w:rsidR="00531B06" w:rsidRDefault="003B4598">
                <w:pPr>
                  <w:tabs>
                    <w:tab w:val="right" w:pos="8838"/>
                  </w:tabs>
                  <w:ind w:lef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05306/INFOEM/IP/RR/2024</w:t>
                </w:r>
              </w:p>
            </w:tc>
          </w:tr>
          <w:tr w:rsidR="00531B06">
            <w:trPr>
              <w:trHeight w:val="153"/>
            </w:trPr>
            <w:tc>
              <w:tcPr>
                <w:tcW w:w="2693" w:type="dxa"/>
              </w:tcPr>
              <w:p w:rsidR="00531B06" w:rsidRDefault="003B4598">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80" w:type="dxa"/>
              </w:tcPr>
              <w:p w:rsidR="00531B06" w:rsidRDefault="003B4598">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Comisión del Agua del Estado de México</w:t>
                </w:r>
              </w:p>
            </w:tc>
          </w:tr>
          <w:tr w:rsidR="00531B06">
            <w:trPr>
              <w:trHeight w:val="147"/>
            </w:trPr>
            <w:tc>
              <w:tcPr>
                <w:tcW w:w="2693" w:type="dxa"/>
              </w:tcPr>
              <w:p w:rsidR="00531B06" w:rsidRDefault="003B4598">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280" w:type="dxa"/>
              </w:tcPr>
              <w:p w:rsidR="00531B06" w:rsidRDefault="003B4598">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531B06" w:rsidRDefault="00531B06">
                <w:pPr>
                  <w:tabs>
                    <w:tab w:val="right" w:pos="8838"/>
                  </w:tabs>
                  <w:ind w:left="-108"/>
                  <w:jc w:val="both"/>
                  <w:rPr>
                    <w:rFonts w:ascii="Palatino Linotype" w:eastAsia="Palatino Linotype" w:hAnsi="Palatino Linotype" w:cs="Palatino Linotype"/>
                    <w:b/>
                    <w:sz w:val="22"/>
                    <w:szCs w:val="22"/>
                  </w:rPr>
                </w:pPr>
              </w:p>
            </w:tc>
          </w:tr>
        </w:tbl>
        <w:p w:rsidR="00531B06" w:rsidRDefault="00531B06">
          <w:pPr>
            <w:tabs>
              <w:tab w:val="right" w:pos="8838"/>
            </w:tabs>
            <w:ind w:left="-28"/>
            <w:jc w:val="both"/>
            <w:rPr>
              <w:rFonts w:ascii="Arial" w:eastAsia="Arial" w:hAnsi="Arial" w:cs="Arial"/>
              <w:b/>
              <w:sz w:val="22"/>
              <w:szCs w:val="22"/>
            </w:rPr>
          </w:pPr>
        </w:p>
      </w:tc>
    </w:tr>
  </w:tbl>
  <w:p w:rsidR="00531B06" w:rsidRDefault="003B4598">
    <w:pPr>
      <w:pBdr>
        <w:top w:val="nil"/>
        <w:left w:val="nil"/>
        <w:bottom w:val="nil"/>
        <w:right w:val="nil"/>
        <w:between w:val="nil"/>
      </w:pBdr>
      <w:tabs>
        <w:tab w:val="center" w:pos="4419"/>
        <w:tab w:val="right" w:pos="8838"/>
      </w:tabs>
      <w:rPr>
        <w:color w:val="000000"/>
        <w:sz w:val="14"/>
        <w:szCs w:val="14"/>
      </w:rPr>
    </w:pPr>
    <w:r>
      <w:rPr>
        <w:rFonts w:ascii="Garamond" w:eastAsia="Garamond" w:hAnsi="Garamond" w:cs="Garamond"/>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78.85pt;margin-top:-125.1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06" w:rsidRDefault="003B4598">
    <w:r>
      <w:rPr>
        <w:rFonts w:ascii="Palatino Linotype" w:eastAsia="Palatino Linotype" w:hAnsi="Palatino Linotype" w:cs="Palatino Linotype"/>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79.2pt;margin-top:-118.8pt;width:663.5pt;height:12in;z-index:-251659264;mso-position-horizontal:absolute;mso-position-horizontal-relative:margin;mso-position-vertical:absolute;mso-position-vertical-relative:margin">
          <v:imagedata r:id="rId1" o:title="image2"/>
          <w10:wrap anchorx="margin" anchory="margin"/>
        </v:shape>
      </w:pict>
    </w:r>
  </w:p>
  <w:tbl>
    <w:tblPr>
      <w:tblStyle w:val="a2"/>
      <w:tblpPr w:leftFromText="141" w:rightFromText="141" w:vertAnchor="page" w:horzAnchor="margin" w:tblpY="556"/>
      <w:tblW w:w="92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72"/>
      <w:gridCol w:w="2693"/>
      <w:gridCol w:w="3591"/>
    </w:tblGrid>
    <w:tr w:rsidR="00531B06">
      <w:trPr>
        <w:trHeight w:val="466"/>
      </w:trPr>
      <w:tc>
        <w:tcPr>
          <w:tcW w:w="2972" w:type="dxa"/>
          <w:vAlign w:val="bottom"/>
        </w:tcPr>
        <w:p w:rsidR="00531B06" w:rsidRDefault="00531B06">
          <w:pPr>
            <w:tabs>
              <w:tab w:val="right" w:pos="8838"/>
            </w:tabs>
            <w:ind w:right="-105"/>
            <w:rPr>
              <w:rFonts w:ascii="Palatino Linotype" w:eastAsia="Palatino Linotype" w:hAnsi="Palatino Linotype" w:cs="Palatino Linotype"/>
              <w:b/>
              <w:sz w:val="22"/>
              <w:szCs w:val="22"/>
            </w:rPr>
          </w:pPr>
        </w:p>
      </w:tc>
      <w:tc>
        <w:tcPr>
          <w:tcW w:w="2693" w:type="dxa"/>
          <w:vAlign w:val="bottom"/>
        </w:tcPr>
        <w:p w:rsidR="00531B06" w:rsidRDefault="003B4598">
          <w:pPr>
            <w:tabs>
              <w:tab w:val="left" w:pos="1735"/>
              <w:tab w:val="right" w:pos="8838"/>
            </w:tabs>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91" w:type="dxa"/>
          <w:vAlign w:val="bottom"/>
        </w:tcPr>
        <w:p w:rsidR="00531B06" w:rsidRDefault="003B4598">
          <w:pPr>
            <w:tabs>
              <w:tab w:val="left" w:pos="3435"/>
              <w:tab w:val="right" w:pos="8838"/>
            </w:tabs>
            <w:ind w:left="-28" w:right="3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05306/INFOEM/IP/RR/2024</w:t>
          </w:r>
        </w:p>
      </w:tc>
    </w:tr>
    <w:tr w:rsidR="00531B06">
      <w:trPr>
        <w:trHeight w:val="119"/>
      </w:trPr>
      <w:tc>
        <w:tcPr>
          <w:tcW w:w="2972" w:type="dxa"/>
        </w:tcPr>
        <w:p w:rsidR="00531B06" w:rsidRDefault="00531B06">
          <w:pPr>
            <w:tabs>
              <w:tab w:val="right" w:pos="8838"/>
            </w:tabs>
            <w:ind w:right="-105"/>
            <w:rPr>
              <w:rFonts w:ascii="Palatino Linotype" w:eastAsia="Palatino Linotype" w:hAnsi="Palatino Linotype" w:cs="Palatino Linotype"/>
              <w:b/>
              <w:sz w:val="22"/>
              <w:szCs w:val="22"/>
            </w:rPr>
          </w:pPr>
        </w:p>
      </w:tc>
      <w:tc>
        <w:tcPr>
          <w:tcW w:w="2693" w:type="dxa"/>
        </w:tcPr>
        <w:p w:rsidR="00531B06" w:rsidRDefault="003B4598">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3591" w:type="dxa"/>
        </w:tcPr>
        <w:p w:rsidR="00531B06" w:rsidRDefault="00531B06">
          <w:pPr>
            <w:tabs>
              <w:tab w:val="right" w:pos="8838"/>
            </w:tabs>
            <w:ind w:right="171"/>
            <w:jc w:val="both"/>
            <w:rPr>
              <w:rFonts w:ascii="Palatino Linotype" w:eastAsia="Palatino Linotype" w:hAnsi="Palatino Linotype" w:cs="Palatino Linotype"/>
              <w:sz w:val="22"/>
              <w:szCs w:val="22"/>
            </w:rPr>
          </w:pPr>
        </w:p>
      </w:tc>
    </w:tr>
    <w:tr w:rsidR="00531B06">
      <w:trPr>
        <w:trHeight w:val="234"/>
      </w:trPr>
      <w:tc>
        <w:tcPr>
          <w:tcW w:w="2972" w:type="dxa"/>
        </w:tcPr>
        <w:p w:rsidR="00531B06" w:rsidRDefault="00531B06">
          <w:pPr>
            <w:tabs>
              <w:tab w:val="right" w:pos="8838"/>
            </w:tabs>
            <w:ind w:right="26"/>
            <w:rPr>
              <w:rFonts w:ascii="Palatino Linotype" w:eastAsia="Palatino Linotype" w:hAnsi="Palatino Linotype" w:cs="Palatino Linotype"/>
              <w:b/>
              <w:sz w:val="22"/>
              <w:szCs w:val="22"/>
            </w:rPr>
          </w:pPr>
        </w:p>
      </w:tc>
      <w:tc>
        <w:tcPr>
          <w:tcW w:w="2693" w:type="dxa"/>
        </w:tcPr>
        <w:p w:rsidR="00531B06" w:rsidRDefault="003B4598">
          <w:pPr>
            <w:tabs>
              <w:tab w:val="right" w:pos="8838"/>
            </w:tabs>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91" w:type="dxa"/>
        </w:tcPr>
        <w:p w:rsidR="00531B06" w:rsidRDefault="003B4598">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Comisión del Agua del Estado de México</w:t>
          </w:r>
        </w:p>
      </w:tc>
    </w:tr>
    <w:tr w:rsidR="00531B06">
      <w:trPr>
        <w:trHeight w:val="234"/>
      </w:trPr>
      <w:tc>
        <w:tcPr>
          <w:tcW w:w="2972" w:type="dxa"/>
        </w:tcPr>
        <w:p w:rsidR="00531B06" w:rsidRDefault="00531B06">
          <w:pPr>
            <w:tabs>
              <w:tab w:val="right" w:pos="8838"/>
            </w:tabs>
            <w:ind w:right="-105"/>
            <w:rPr>
              <w:rFonts w:ascii="Palatino Linotype" w:eastAsia="Palatino Linotype" w:hAnsi="Palatino Linotype" w:cs="Palatino Linotype"/>
              <w:b/>
              <w:sz w:val="22"/>
              <w:szCs w:val="22"/>
            </w:rPr>
          </w:pPr>
        </w:p>
      </w:tc>
      <w:tc>
        <w:tcPr>
          <w:tcW w:w="2693" w:type="dxa"/>
        </w:tcPr>
        <w:p w:rsidR="00531B06" w:rsidRDefault="003B4598">
          <w:pPr>
            <w:tabs>
              <w:tab w:val="right" w:pos="8838"/>
            </w:tabs>
            <w:ind w:righ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91" w:type="dxa"/>
        </w:tcPr>
        <w:p w:rsidR="00531B06" w:rsidRDefault="003B4598">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531B06" w:rsidRDefault="00531B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D30D3"/>
    <w:multiLevelType w:val="multilevel"/>
    <w:tmpl w:val="95C2D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680E07"/>
    <w:multiLevelType w:val="multilevel"/>
    <w:tmpl w:val="BB622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607B49"/>
    <w:multiLevelType w:val="multilevel"/>
    <w:tmpl w:val="07665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B37B1E"/>
    <w:multiLevelType w:val="multilevel"/>
    <w:tmpl w:val="E2E4DBBA"/>
    <w:lvl w:ilvl="0">
      <w:start w:val="1"/>
      <w:numFmt w:val="upperRoman"/>
      <w:pStyle w:val="Listaconvietas2"/>
      <w:lvlText w:val="%1."/>
      <w:lvlJc w:val="righ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1905FF"/>
    <w:multiLevelType w:val="multilevel"/>
    <w:tmpl w:val="75E69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546232"/>
    <w:multiLevelType w:val="multilevel"/>
    <w:tmpl w:val="CB62F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06"/>
    <w:rsid w:val="003B4598"/>
    <w:rsid w:val="004C44E4"/>
    <w:rsid w:val="00531B06"/>
    <w:rsid w:val="00F72E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4088BDE-F698-49B3-92E4-02AA096C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201"/>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qFormat/>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044C31"/>
    <w:rPr>
      <w:color w:val="605E5C"/>
      <w:shd w:val="clear" w:color="auto" w:fill="E1DFDD"/>
    </w:rPr>
  </w:style>
  <w:style w:type="table" w:customStyle="1" w:styleId="Tablaconcuadrcula1">
    <w:name w:val="Tabla con cuadrícula1"/>
    <w:basedOn w:val="Tablanormal"/>
    <w:next w:val="Tablaconcuadrcula"/>
    <w:uiPriority w:val="39"/>
    <w:rsid w:val="00C6425F"/>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223E5"/>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841C2"/>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22A09"/>
    <w:rPr>
      <w:color w:val="605E5C"/>
      <w:shd w:val="clear" w:color="auto" w:fill="E1DFDD"/>
    </w:rPr>
  </w:style>
  <w:style w:type="character" w:customStyle="1" w:styleId="Mencinsinresolver3">
    <w:name w:val="Mención sin resolver3"/>
    <w:basedOn w:val="Fuentedeprrafopredeter"/>
    <w:uiPriority w:val="99"/>
    <w:semiHidden/>
    <w:unhideWhenUsed/>
    <w:rsid w:val="00633135"/>
    <w:rPr>
      <w:color w:val="605E5C"/>
      <w:shd w:val="clear" w:color="auto" w:fill="E1DFDD"/>
    </w:rPr>
  </w:style>
  <w:style w:type="paragraph" w:styleId="NormalWeb">
    <w:name w:val="Normal (Web)"/>
    <w:basedOn w:val="Normal"/>
    <w:uiPriority w:val="99"/>
    <w:semiHidden/>
    <w:unhideWhenUsed/>
    <w:rsid w:val="00B65C0F"/>
    <w:pPr>
      <w:spacing w:before="100" w:beforeAutospacing="1" w:after="100" w:afterAutospacing="1"/>
    </w:pPr>
    <w:rPr>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2">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zGYWhdGvttplXS/trWS+ppUWGw==">CgMxLjAyCWguMzBqMHpsbDgAciExZzRGY2tXbUtMSEMwMEtoaXlCMEVRR3ZOTkNZMXl3RXk=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B34425-E8C4-4BDF-82FF-A8A54CCB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4680</Words>
  <Characters>25746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USUARIO</cp:lastModifiedBy>
  <cp:revision>3</cp:revision>
  <dcterms:created xsi:type="dcterms:W3CDTF">2024-10-18T00:10:00Z</dcterms:created>
  <dcterms:modified xsi:type="dcterms:W3CDTF">2024-10-18T00:11:00Z</dcterms:modified>
</cp:coreProperties>
</file>