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0C0FA" w14:textId="670C2383" w:rsidR="00DB3DC5" w:rsidRPr="009C6925" w:rsidRDefault="00DB3DC5" w:rsidP="0008269D">
      <w:pPr>
        <w:tabs>
          <w:tab w:val="left" w:pos="8931"/>
        </w:tabs>
        <w:spacing w:after="0" w:line="360" w:lineRule="auto"/>
        <w:contextualSpacing/>
        <w:rPr>
          <w:rFonts w:eastAsia="Calibri" w:cs="Tahoma"/>
          <w:color w:val="auto"/>
          <w:lang w:val="es-ES"/>
        </w:rPr>
      </w:pPr>
      <w:r w:rsidRPr="009C6925">
        <w:rPr>
          <w:rFonts w:cs="Tahoma"/>
          <w:bCs/>
          <w:color w:val="auto"/>
        </w:rPr>
        <w:t xml:space="preserve">Resolución del Pleno del Instituto de Transparencia, Acceso a la Información Pública y Protección de Datos Personales del Estado de México y Municipios, con domicilio en Metepec, </w:t>
      </w:r>
      <w:r w:rsidRPr="009C6925">
        <w:rPr>
          <w:rFonts w:eastAsia="Calibri" w:cs="Tahoma"/>
          <w:color w:val="auto"/>
          <w:lang w:val="es-ES"/>
        </w:rPr>
        <w:t xml:space="preserve">Estado de México, de fecha </w:t>
      </w:r>
      <w:r w:rsidR="00620A21" w:rsidRPr="009C6925">
        <w:rPr>
          <w:rFonts w:eastAsia="Calibri" w:cs="Tahoma"/>
          <w:color w:val="auto"/>
          <w:lang w:val="es-ES"/>
        </w:rPr>
        <w:t>dieciséis de octubre de dos mil veinticuatro.</w:t>
      </w:r>
    </w:p>
    <w:p w14:paraId="2A681408" w14:textId="77777777" w:rsidR="00DB3DC5" w:rsidRPr="009C6925" w:rsidRDefault="00DB3DC5" w:rsidP="0008269D">
      <w:pPr>
        <w:spacing w:after="0" w:line="360" w:lineRule="auto"/>
        <w:contextualSpacing/>
        <w:rPr>
          <w:rFonts w:eastAsia="Calibri" w:cs="Tahoma"/>
          <w:b/>
          <w:bCs/>
          <w:color w:val="FF0000"/>
          <w:lang w:val="es-ES"/>
        </w:rPr>
      </w:pPr>
    </w:p>
    <w:p w14:paraId="75D54F3E" w14:textId="6CFCA17C" w:rsidR="00DB3DC5" w:rsidRPr="00731595" w:rsidRDefault="00DB3DC5" w:rsidP="00731595">
      <w:pPr>
        <w:tabs>
          <w:tab w:val="left" w:pos="8931"/>
        </w:tabs>
        <w:spacing w:after="0" w:line="360" w:lineRule="auto"/>
        <w:contextualSpacing/>
        <w:rPr>
          <w:rFonts w:eastAsia="Calibri" w:cs="Tahoma"/>
          <w:color w:val="auto"/>
          <w:lang w:val="es-ES"/>
        </w:rPr>
      </w:pPr>
      <w:r w:rsidRPr="00731595">
        <w:rPr>
          <w:rFonts w:eastAsia="Calibri" w:cs="Tahoma"/>
          <w:color w:val="auto"/>
          <w:lang w:val="es-ES"/>
        </w:rPr>
        <w:t xml:space="preserve">VISTO </w:t>
      </w:r>
      <w:r w:rsidRPr="009C6925">
        <w:rPr>
          <w:rFonts w:eastAsia="Calibri" w:cs="Tahoma"/>
          <w:color w:val="auto"/>
          <w:lang w:val="es-ES"/>
        </w:rPr>
        <w:t>el expediente electrónico conformado con motivo de</w:t>
      </w:r>
      <w:r w:rsidR="00620A21" w:rsidRPr="009C6925">
        <w:rPr>
          <w:rFonts w:eastAsia="Calibri" w:cs="Tahoma"/>
          <w:color w:val="auto"/>
          <w:lang w:val="es-ES"/>
        </w:rPr>
        <w:t>l</w:t>
      </w:r>
      <w:r w:rsidRPr="009C6925">
        <w:rPr>
          <w:rFonts w:eastAsia="Calibri" w:cs="Tahoma"/>
          <w:color w:val="auto"/>
          <w:lang w:val="es-ES"/>
        </w:rPr>
        <w:t xml:space="preserve"> Recurso de Revisión </w:t>
      </w:r>
      <w:r w:rsidR="00620A21" w:rsidRPr="009C6925">
        <w:rPr>
          <w:rFonts w:eastAsia="Calibri" w:cs="Tahoma"/>
          <w:color w:val="auto"/>
          <w:lang w:val="es-ES"/>
        </w:rPr>
        <w:t>03296/INFOEM/IP/RR/2024</w:t>
      </w:r>
      <w:r w:rsidRPr="00731595">
        <w:rPr>
          <w:rFonts w:eastAsia="Calibri" w:cs="Tahoma"/>
          <w:color w:val="auto"/>
          <w:lang w:val="es-ES"/>
        </w:rPr>
        <w:t>, interpuesto por</w:t>
      </w:r>
      <w:r w:rsidR="00620A21" w:rsidRPr="00731595">
        <w:rPr>
          <w:rFonts w:eastAsia="Calibri" w:cs="Tahoma"/>
          <w:color w:val="auto"/>
          <w:lang w:val="es-ES"/>
        </w:rPr>
        <w:t xml:space="preserve"> </w:t>
      </w:r>
      <w:r w:rsidR="00731595" w:rsidRPr="00731595">
        <w:rPr>
          <w:rFonts w:eastAsia="Calibri" w:cs="Tahoma"/>
          <w:color w:val="auto"/>
          <w:highlight w:val="black"/>
          <w:lang w:val="es-ES"/>
        </w:rPr>
        <w:t>XXXXXXXXXXXXX</w:t>
      </w:r>
      <w:r w:rsidR="00731595" w:rsidRPr="00731595">
        <w:rPr>
          <w:rFonts w:eastAsia="Calibri" w:cs="Tahoma"/>
          <w:color w:val="auto"/>
          <w:lang w:val="es-ES"/>
        </w:rPr>
        <w:t xml:space="preserve"> </w:t>
      </w:r>
      <w:r w:rsidR="00620A21" w:rsidRPr="00731595">
        <w:rPr>
          <w:rFonts w:eastAsia="Calibri" w:cs="Tahoma"/>
          <w:color w:val="auto"/>
          <w:lang w:val="es-ES"/>
        </w:rPr>
        <w:t xml:space="preserve">en lo sucesivo la </w:t>
      </w:r>
      <w:r w:rsidR="00DE133F" w:rsidRPr="00731595">
        <w:rPr>
          <w:rFonts w:eastAsia="Calibri" w:cs="Tahoma"/>
          <w:color w:val="auto"/>
          <w:lang w:val="es-ES"/>
        </w:rPr>
        <w:t>persona</w:t>
      </w:r>
      <w:r w:rsidRPr="00731595">
        <w:rPr>
          <w:rFonts w:eastAsia="Calibri" w:cs="Tahoma"/>
          <w:color w:val="auto"/>
          <w:lang w:val="es-ES"/>
        </w:rPr>
        <w:t xml:space="preserve"> Recurrente o Particular, en contra de la respuesta del Sujeto Obligado, </w:t>
      </w:r>
      <w:r w:rsidR="0068620E" w:rsidRPr="00731595">
        <w:rPr>
          <w:rFonts w:eastAsia="Calibri" w:cs="Tahoma"/>
          <w:color w:val="auto"/>
          <w:lang w:val="es-ES"/>
        </w:rPr>
        <w:t>Ayuntamiento de</w:t>
      </w:r>
      <w:r w:rsidR="00620A21" w:rsidRPr="00731595">
        <w:rPr>
          <w:rFonts w:eastAsia="Calibri" w:cs="Tahoma"/>
          <w:color w:val="auto"/>
          <w:lang w:val="es-ES"/>
        </w:rPr>
        <w:t xml:space="preserve"> Zumpango</w:t>
      </w:r>
      <w:r w:rsidRPr="00731595">
        <w:rPr>
          <w:rFonts w:eastAsia="Calibri" w:cs="Tahoma"/>
          <w:color w:val="auto"/>
          <w:lang w:val="es-ES"/>
        </w:rPr>
        <w:t xml:space="preserve">, a la solicitud de acceso a la información pública </w:t>
      </w:r>
      <w:r w:rsidR="00620A21" w:rsidRPr="00731595">
        <w:rPr>
          <w:rFonts w:eastAsia="Calibri" w:cs="Tahoma"/>
          <w:color w:val="auto"/>
          <w:lang w:val="es-ES"/>
        </w:rPr>
        <w:t>00082/ZUMPANGO/IP/2024</w:t>
      </w:r>
      <w:r w:rsidRPr="00731595">
        <w:rPr>
          <w:rFonts w:eastAsia="Calibri" w:cs="Tahoma"/>
          <w:color w:val="auto"/>
          <w:lang w:val="es-ES"/>
        </w:rPr>
        <w:t>, se emite la presente Resolución, con base en los Antecedentes y Considerandos que se exponen a continuación:</w:t>
      </w:r>
    </w:p>
    <w:p w14:paraId="134E03A6" w14:textId="77777777" w:rsidR="00DB3DC5" w:rsidRPr="009C6925" w:rsidRDefault="00DB3DC5" w:rsidP="0008269D">
      <w:pPr>
        <w:spacing w:after="0" w:line="360" w:lineRule="auto"/>
        <w:contextualSpacing/>
        <w:rPr>
          <w:rFonts w:eastAsia="Calibri" w:cs="Tahoma"/>
          <w:b/>
          <w:bCs/>
          <w:color w:val="auto"/>
          <w:lang w:val="es-ES"/>
        </w:rPr>
      </w:pPr>
    </w:p>
    <w:p w14:paraId="32EEB02D" w14:textId="3B401582" w:rsidR="00DB3DC5" w:rsidRPr="009C6925" w:rsidRDefault="00C47A4A" w:rsidP="0008269D">
      <w:pPr>
        <w:spacing w:after="0" w:line="360" w:lineRule="auto"/>
        <w:contextualSpacing/>
        <w:jc w:val="center"/>
        <w:rPr>
          <w:rFonts w:eastAsia="Calibri" w:cs="Tahoma"/>
          <w:b/>
          <w:bCs/>
          <w:color w:val="auto"/>
          <w:lang w:val="es-ES"/>
        </w:rPr>
      </w:pPr>
      <w:r w:rsidRPr="009C6925">
        <w:rPr>
          <w:rFonts w:eastAsia="Calibri" w:cs="Tahoma"/>
          <w:b/>
          <w:bCs/>
          <w:color w:val="auto"/>
          <w:lang w:val="es-ES"/>
        </w:rPr>
        <w:t>A N T E C E D E N T E S</w:t>
      </w:r>
    </w:p>
    <w:p w14:paraId="09E98305" w14:textId="77777777" w:rsidR="00DB3DC5" w:rsidRPr="009C6925" w:rsidRDefault="00DB3DC5" w:rsidP="0008269D">
      <w:pPr>
        <w:spacing w:after="0" w:line="360" w:lineRule="auto"/>
        <w:contextualSpacing/>
        <w:jc w:val="center"/>
        <w:rPr>
          <w:rFonts w:eastAsia="Calibri" w:cs="Tahoma"/>
          <w:b/>
          <w:bCs/>
          <w:color w:val="FF0000"/>
          <w:lang w:val="es-ES"/>
        </w:rPr>
      </w:pPr>
    </w:p>
    <w:p w14:paraId="5E541408" w14:textId="2CD15B7A" w:rsidR="00DB3DC5" w:rsidRPr="009C6925" w:rsidRDefault="00DB3DC5" w:rsidP="0008269D">
      <w:pPr>
        <w:spacing w:after="0" w:line="360" w:lineRule="auto"/>
        <w:contextualSpacing/>
        <w:rPr>
          <w:rFonts w:eastAsia="Calibri" w:cs="Tahoma"/>
          <w:b/>
          <w:bCs/>
          <w:color w:val="auto"/>
          <w:lang w:val="es-ES"/>
        </w:rPr>
      </w:pPr>
      <w:r w:rsidRPr="009C6925">
        <w:rPr>
          <w:rFonts w:eastAsia="Calibri" w:cs="Tahoma"/>
          <w:b/>
          <w:bCs/>
          <w:color w:val="auto"/>
          <w:lang w:val="es-ES"/>
        </w:rPr>
        <w:t>I. Presentación de la solicitud</w:t>
      </w:r>
      <w:r w:rsidR="00C2456C" w:rsidRPr="009C6925">
        <w:rPr>
          <w:rFonts w:eastAsia="Calibri" w:cs="Tahoma"/>
          <w:b/>
          <w:bCs/>
          <w:color w:val="auto"/>
          <w:lang w:val="es-ES"/>
        </w:rPr>
        <w:t xml:space="preserve"> </w:t>
      </w:r>
      <w:r w:rsidR="00C47A4A" w:rsidRPr="009C6925">
        <w:rPr>
          <w:rFonts w:eastAsia="Calibri" w:cs="Tahoma"/>
          <w:b/>
          <w:bCs/>
          <w:color w:val="auto"/>
          <w:lang w:val="es-ES"/>
        </w:rPr>
        <w:t>de información</w:t>
      </w:r>
    </w:p>
    <w:p w14:paraId="5A91601B" w14:textId="77777777" w:rsidR="00DB3DC5" w:rsidRPr="009C6925" w:rsidRDefault="00DB3DC5" w:rsidP="0008269D">
      <w:pPr>
        <w:spacing w:after="0" w:line="360" w:lineRule="auto"/>
        <w:contextualSpacing/>
        <w:rPr>
          <w:rFonts w:eastAsia="Calibri" w:cs="Tahoma"/>
          <w:b/>
          <w:bCs/>
          <w:color w:val="auto"/>
          <w:lang w:val="es-ES"/>
        </w:rPr>
      </w:pPr>
    </w:p>
    <w:p w14:paraId="1620C68D" w14:textId="206C9B2D" w:rsidR="00DB3DC5" w:rsidRPr="009C6925" w:rsidRDefault="004822CF" w:rsidP="0008269D">
      <w:pPr>
        <w:spacing w:after="0" w:line="360" w:lineRule="auto"/>
        <w:contextualSpacing/>
        <w:rPr>
          <w:rFonts w:cs="Tahoma"/>
          <w:color w:val="auto"/>
        </w:rPr>
      </w:pPr>
      <w:r w:rsidRPr="009C6925">
        <w:rPr>
          <w:rFonts w:eastAsia="Calibri" w:cs="Tahoma"/>
          <w:color w:val="auto"/>
          <w:lang w:val="es-ES"/>
        </w:rPr>
        <w:t>E</w:t>
      </w:r>
      <w:r w:rsidR="0068620E" w:rsidRPr="009C6925">
        <w:rPr>
          <w:rFonts w:eastAsia="Calibri" w:cs="Tahoma"/>
          <w:color w:val="auto"/>
          <w:lang w:val="es-ES"/>
        </w:rPr>
        <w:t xml:space="preserve">l </w:t>
      </w:r>
      <w:r w:rsidR="00C47A4A" w:rsidRPr="009C6925">
        <w:rPr>
          <w:rFonts w:eastAsia="Calibri" w:cs="Tahoma"/>
          <w:color w:val="auto"/>
          <w:lang w:val="es-ES"/>
        </w:rPr>
        <w:t xml:space="preserve">dieciocho de abril de dos mil veinticuatro, </w:t>
      </w:r>
      <w:r w:rsidR="00DB3DC5" w:rsidRPr="009C6925">
        <w:rPr>
          <w:rFonts w:eastAsia="Calibri" w:cs="Tahoma"/>
          <w:color w:val="auto"/>
          <w:lang w:val="es-ES"/>
        </w:rPr>
        <w:t xml:space="preserve">el Particular presentó </w:t>
      </w:r>
      <w:r w:rsidR="00C47A4A" w:rsidRPr="009C6925">
        <w:rPr>
          <w:rFonts w:eastAsia="Calibri" w:cs="Tahoma"/>
          <w:color w:val="auto"/>
          <w:lang w:val="es-ES"/>
        </w:rPr>
        <w:t xml:space="preserve">su solicitud de acceso a la </w:t>
      </w:r>
      <w:r w:rsidR="00DB3DC5" w:rsidRPr="009C6925">
        <w:rPr>
          <w:rFonts w:eastAsia="Calibri" w:cs="Tahoma"/>
          <w:color w:val="auto"/>
          <w:lang w:val="es-ES"/>
        </w:rPr>
        <w:t xml:space="preserve">información, a través del Sistema de Acceso a la Información Mexiquense (SAIMEX), ante </w:t>
      </w:r>
      <w:r w:rsidRPr="009C6925">
        <w:rPr>
          <w:rFonts w:eastAsia="Calibri" w:cs="Tahoma"/>
          <w:color w:val="auto"/>
          <w:lang w:val="es-ES"/>
        </w:rPr>
        <w:t>el</w:t>
      </w:r>
      <w:r w:rsidR="0068620E" w:rsidRPr="009C6925">
        <w:rPr>
          <w:rFonts w:eastAsia="Calibri" w:cs="Tahoma"/>
          <w:color w:val="auto"/>
        </w:rPr>
        <w:t xml:space="preserve"> Ayuntamiento</w:t>
      </w:r>
      <w:r w:rsidR="00C47A4A" w:rsidRPr="009C6925">
        <w:rPr>
          <w:rFonts w:eastAsia="Calibri" w:cs="Tahoma"/>
          <w:color w:val="auto"/>
        </w:rPr>
        <w:t xml:space="preserve"> Zumpango</w:t>
      </w:r>
      <w:r w:rsidR="00DB3DC5" w:rsidRPr="009C6925">
        <w:rPr>
          <w:rFonts w:eastAsia="Calibri" w:cs="Times New Roman"/>
          <w:color w:val="auto"/>
        </w:rPr>
        <w:t>,</w:t>
      </w:r>
      <w:r w:rsidR="00DB3DC5" w:rsidRPr="009C6925">
        <w:rPr>
          <w:rFonts w:eastAsia="Calibri" w:cs="Times New Roman"/>
          <w:b/>
          <w:color w:val="auto"/>
        </w:rPr>
        <w:t xml:space="preserve"> </w:t>
      </w:r>
      <w:r w:rsidR="00DB3DC5" w:rsidRPr="009C6925">
        <w:rPr>
          <w:rFonts w:cs="Tahoma"/>
          <w:color w:val="auto"/>
        </w:rPr>
        <w:t>en los siguientes términos:</w:t>
      </w:r>
    </w:p>
    <w:p w14:paraId="0E52264E" w14:textId="77777777" w:rsidR="00C2456C" w:rsidRPr="009C6925" w:rsidRDefault="00C2456C" w:rsidP="0008269D">
      <w:pPr>
        <w:spacing w:after="0" w:line="360" w:lineRule="auto"/>
        <w:contextualSpacing/>
        <w:rPr>
          <w:rFonts w:cs="Tahoma"/>
          <w:color w:val="auto"/>
        </w:rPr>
      </w:pPr>
    </w:p>
    <w:p w14:paraId="79605636" w14:textId="77777777" w:rsidR="00C2456C" w:rsidRPr="009C6925" w:rsidRDefault="00C2456C" w:rsidP="00C2456C">
      <w:pPr>
        <w:autoSpaceDE w:val="0"/>
        <w:autoSpaceDN w:val="0"/>
        <w:adjustRightInd w:val="0"/>
        <w:spacing w:after="0" w:line="360" w:lineRule="auto"/>
        <w:ind w:left="708"/>
        <w:rPr>
          <w:b/>
          <w:i/>
          <w:iCs/>
          <w:color w:val="auto"/>
          <w:sz w:val="20"/>
          <w:szCs w:val="20"/>
        </w:rPr>
      </w:pPr>
      <w:r w:rsidRPr="009C6925">
        <w:rPr>
          <w:b/>
          <w:i/>
          <w:iCs/>
          <w:color w:val="auto"/>
          <w:sz w:val="20"/>
          <w:szCs w:val="20"/>
        </w:rPr>
        <w:t>“DESCRIPCIÓN CLARA Y PRECISA DE LA INFORMACIÓN SOLICITADA.</w:t>
      </w:r>
    </w:p>
    <w:p w14:paraId="1B646B4D" w14:textId="04B41F60" w:rsidR="00C2456C" w:rsidRPr="009C6925" w:rsidRDefault="00C2456C" w:rsidP="00C2456C">
      <w:pPr>
        <w:autoSpaceDE w:val="0"/>
        <w:autoSpaceDN w:val="0"/>
        <w:adjustRightInd w:val="0"/>
        <w:spacing w:after="0" w:line="360" w:lineRule="auto"/>
        <w:ind w:left="708"/>
        <w:rPr>
          <w:i/>
          <w:iCs/>
          <w:color w:val="auto"/>
          <w:sz w:val="20"/>
          <w:szCs w:val="20"/>
        </w:rPr>
      </w:pPr>
      <w:r w:rsidRPr="009C6925">
        <w:rPr>
          <w:i/>
          <w:iCs/>
          <w:color w:val="auto"/>
          <w:sz w:val="20"/>
          <w:szCs w:val="20"/>
        </w:rPr>
        <w:t>Contratos de publicidad para difundir obras municipales, o bien, instrucciones giradas al respecto en caso de que la propaganda haya sido pintada o instalada por personal que preste servicios al ayuntamiento, del periodo octubre de 2023 a la fecha” Sic)</w:t>
      </w:r>
    </w:p>
    <w:p w14:paraId="0D3089F9" w14:textId="77777777" w:rsidR="00C2456C" w:rsidRPr="009C6925" w:rsidRDefault="00C2456C" w:rsidP="00C2456C">
      <w:pPr>
        <w:autoSpaceDE w:val="0"/>
        <w:autoSpaceDN w:val="0"/>
        <w:adjustRightInd w:val="0"/>
        <w:spacing w:after="0" w:line="360" w:lineRule="auto"/>
        <w:ind w:left="708"/>
        <w:rPr>
          <w:i/>
          <w:iCs/>
          <w:color w:val="auto"/>
          <w:sz w:val="20"/>
          <w:szCs w:val="20"/>
        </w:rPr>
      </w:pPr>
    </w:p>
    <w:p w14:paraId="767533E6" w14:textId="77777777" w:rsidR="00C2456C" w:rsidRPr="009C6925" w:rsidRDefault="00C2456C" w:rsidP="00C2456C">
      <w:pPr>
        <w:autoSpaceDE w:val="0"/>
        <w:autoSpaceDN w:val="0"/>
        <w:adjustRightInd w:val="0"/>
        <w:spacing w:after="0" w:line="360" w:lineRule="auto"/>
        <w:ind w:left="708"/>
        <w:rPr>
          <w:b/>
          <w:i/>
          <w:iCs/>
          <w:color w:val="auto"/>
          <w:sz w:val="20"/>
          <w:szCs w:val="20"/>
        </w:rPr>
      </w:pPr>
      <w:r w:rsidRPr="009C6925">
        <w:rPr>
          <w:b/>
          <w:i/>
          <w:iCs/>
          <w:color w:val="auto"/>
          <w:sz w:val="20"/>
          <w:szCs w:val="20"/>
        </w:rPr>
        <w:t>“MODALIDAD DE ENTREGA</w:t>
      </w:r>
    </w:p>
    <w:p w14:paraId="009439D5" w14:textId="0954F0F9" w:rsidR="00C2456C" w:rsidRPr="009C6925" w:rsidRDefault="00C2456C" w:rsidP="00C2456C">
      <w:pPr>
        <w:autoSpaceDE w:val="0"/>
        <w:autoSpaceDN w:val="0"/>
        <w:adjustRightInd w:val="0"/>
        <w:spacing w:after="0" w:line="360" w:lineRule="auto"/>
        <w:ind w:left="708"/>
        <w:rPr>
          <w:i/>
          <w:iCs/>
          <w:color w:val="auto"/>
          <w:sz w:val="20"/>
          <w:szCs w:val="20"/>
        </w:rPr>
      </w:pPr>
      <w:r w:rsidRPr="009C6925">
        <w:rPr>
          <w:i/>
          <w:iCs/>
          <w:color w:val="auto"/>
          <w:sz w:val="20"/>
          <w:szCs w:val="20"/>
        </w:rPr>
        <w:t>A través del SAIMEX”</w:t>
      </w:r>
    </w:p>
    <w:p w14:paraId="0C8E1533" w14:textId="77777777" w:rsidR="00D04077" w:rsidRPr="009C6925" w:rsidRDefault="00D04077" w:rsidP="0008269D">
      <w:pPr>
        <w:spacing w:after="0" w:line="360" w:lineRule="auto"/>
        <w:contextualSpacing/>
        <w:rPr>
          <w:rFonts w:cs="Tahoma"/>
          <w:color w:val="FF0000"/>
        </w:rPr>
      </w:pPr>
    </w:p>
    <w:p w14:paraId="675E2DC0" w14:textId="71D039E0" w:rsidR="00DB3DC5" w:rsidRPr="009C6925" w:rsidRDefault="00C2456C" w:rsidP="0008269D">
      <w:pPr>
        <w:spacing w:after="0" w:line="360" w:lineRule="auto"/>
        <w:contextualSpacing/>
        <w:rPr>
          <w:rFonts w:eastAsia="Calibri" w:cs="Tahoma"/>
          <w:b/>
          <w:bCs/>
          <w:color w:val="FF0000"/>
        </w:rPr>
      </w:pPr>
      <w:r w:rsidRPr="009C6925">
        <w:rPr>
          <w:rFonts w:eastAsia="Calibri" w:cs="Tahoma"/>
          <w:b/>
          <w:bCs/>
          <w:color w:val="FF0000"/>
        </w:rPr>
        <w:lastRenderedPageBreak/>
        <w:t xml:space="preserve"> </w:t>
      </w:r>
      <w:r w:rsidR="00B62E13" w:rsidRPr="009C6925">
        <w:rPr>
          <w:rFonts w:eastAsia="Calibri" w:cs="Tahoma"/>
          <w:b/>
          <w:bCs/>
          <w:color w:val="auto"/>
        </w:rPr>
        <w:t>I</w:t>
      </w:r>
      <w:r w:rsidR="00DB3DC5" w:rsidRPr="009C6925">
        <w:rPr>
          <w:rFonts w:eastAsia="Calibri" w:cs="Tahoma"/>
          <w:b/>
          <w:bCs/>
          <w:color w:val="auto"/>
        </w:rPr>
        <w:t xml:space="preserve">I. </w:t>
      </w:r>
      <w:r w:rsidR="00DB3DC5" w:rsidRPr="009C6925">
        <w:rPr>
          <w:rFonts w:eastAsia="Calibri" w:cs="Tahoma"/>
          <w:b/>
          <w:color w:val="auto"/>
        </w:rPr>
        <w:t>Respuesta</w:t>
      </w:r>
      <w:r w:rsidRPr="009C6925">
        <w:rPr>
          <w:rFonts w:eastAsia="Calibri" w:cs="Tahoma"/>
          <w:b/>
          <w:bCs/>
          <w:color w:val="auto"/>
        </w:rPr>
        <w:t xml:space="preserve"> del Sujeto Obligado</w:t>
      </w:r>
    </w:p>
    <w:p w14:paraId="6BDD54F7" w14:textId="77777777" w:rsidR="00345BB5" w:rsidRPr="009C6925" w:rsidRDefault="00345BB5" w:rsidP="0008269D">
      <w:pPr>
        <w:spacing w:after="0" w:line="360" w:lineRule="auto"/>
        <w:contextualSpacing/>
        <w:rPr>
          <w:rFonts w:eastAsia="Calibri" w:cs="Tahoma"/>
          <w:b/>
          <w:bCs/>
          <w:color w:val="FF0000"/>
        </w:rPr>
      </w:pPr>
    </w:p>
    <w:p w14:paraId="44065A16" w14:textId="7A96B1BA" w:rsidR="00330BEF" w:rsidRPr="009C6925" w:rsidRDefault="00230F5E" w:rsidP="00C2456C">
      <w:pPr>
        <w:autoSpaceDE w:val="0"/>
        <w:autoSpaceDN w:val="0"/>
        <w:adjustRightInd w:val="0"/>
        <w:spacing w:after="0" w:line="360" w:lineRule="auto"/>
        <w:rPr>
          <w:rFonts w:cs="Tahoma"/>
          <w:b/>
          <w:color w:val="auto"/>
          <w:lang w:val="es-ES_tradnl"/>
        </w:rPr>
      </w:pPr>
      <w:r w:rsidRPr="009C6925">
        <w:rPr>
          <w:rFonts w:cs="Tahoma"/>
          <w:bCs/>
          <w:color w:val="auto"/>
          <w:lang w:val="es-ES_tradnl"/>
        </w:rPr>
        <w:t>El</w:t>
      </w:r>
      <w:r w:rsidR="00B62E13" w:rsidRPr="009C6925">
        <w:rPr>
          <w:rFonts w:cs="Tahoma"/>
          <w:bCs/>
          <w:color w:val="auto"/>
          <w:lang w:val="es-ES_tradnl"/>
        </w:rPr>
        <w:t xml:space="preserve"> </w:t>
      </w:r>
      <w:r w:rsidR="00C2456C" w:rsidRPr="009C6925">
        <w:rPr>
          <w:rFonts w:cs="Tahoma"/>
          <w:bCs/>
          <w:color w:val="auto"/>
          <w:lang w:val="es-ES_tradnl"/>
        </w:rPr>
        <w:t xml:space="preserve">quince de mayo de dos mil veinticuatro, </w:t>
      </w:r>
      <w:r w:rsidRPr="009C6925">
        <w:rPr>
          <w:rFonts w:cs="Tahoma"/>
          <w:bCs/>
          <w:color w:val="auto"/>
          <w:lang w:val="es-ES_tradnl"/>
        </w:rPr>
        <w:t>el</w:t>
      </w:r>
      <w:r w:rsidR="00B62E13" w:rsidRPr="009C6925">
        <w:rPr>
          <w:rFonts w:eastAsia="Calibri" w:cs="Tahoma"/>
          <w:color w:val="auto"/>
        </w:rPr>
        <w:t xml:space="preserve"> Ayuntamiento de </w:t>
      </w:r>
      <w:r w:rsidR="00C2456C" w:rsidRPr="009C6925">
        <w:rPr>
          <w:rFonts w:eastAsia="Calibri" w:cs="Tahoma"/>
          <w:color w:val="auto"/>
        </w:rPr>
        <w:t xml:space="preserve">Zumpango, </w:t>
      </w:r>
      <w:r w:rsidR="00C2456C" w:rsidRPr="009C6925">
        <w:rPr>
          <w:rFonts w:cs="Tahoma"/>
          <w:bCs/>
          <w:color w:val="auto"/>
          <w:lang w:val="es-ES_tradnl"/>
        </w:rPr>
        <w:t>notificó la respuesta a la solicitud</w:t>
      </w:r>
      <w:r w:rsidR="00345BB5" w:rsidRPr="009C6925">
        <w:rPr>
          <w:rFonts w:cs="Tahoma"/>
          <w:bCs/>
          <w:color w:val="auto"/>
          <w:lang w:val="es-ES_tradnl"/>
        </w:rPr>
        <w:t xml:space="preserve">, a través del Sistema de Acceso a la Información Mexiquense (SAIMEX), </w:t>
      </w:r>
      <w:r w:rsidR="00C2456C" w:rsidRPr="009C6925">
        <w:rPr>
          <w:rFonts w:cs="Tahoma"/>
          <w:bCs/>
          <w:color w:val="auto"/>
          <w:lang w:val="es-ES_tradnl"/>
        </w:rPr>
        <w:t>en los siguientes términos</w:t>
      </w:r>
      <w:r w:rsidR="00391DFB" w:rsidRPr="009C6925">
        <w:rPr>
          <w:rFonts w:cs="Tahoma"/>
          <w:bCs/>
          <w:color w:val="auto"/>
          <w:lang w:val="es-ES_tradnl"/>
        </w:rPr>
        <w:t>:</w:t>
      </w:r>
    </w:p>
    <w:p w14:paraId="2FB2FA1B" w14:textId="77777777" w:rsidR="00B62E13" w:rsidRPr="009C6925" w:rsidRDefault="00B62E13" w:rsidP="0008269D">
      <w:pPr>
        <w:autoSpaceDE w:val="0"/>
        <w:autoSpaceDN w:val="0"/>
        <w:adjustRightInd w:val="0"/>
        <w:spacing w:after="0" w:line="360" w:lineRule="auto"/>
        <w:rPr>
          <w:rFonts w:cs="Tahoma"/>
          <w:bCs/>
          <w:color w:val="FF0000"/>
          <w:lang w:val="es-ES_tradnl"/>
        </w:rPr>
      </w:pPr>
    </w:p>
    <w:p w14:paraId="6809EE90" w14:textId="28435000" w:rsidR="00391DFB" w:rsidRPr="009C6925" w:rsidRDefault="00B62E13" w:rsidP="00391DFB">
      <w:pPr>
        <w:autoSpaceDE w:val="0"/>
        <w:autoSpaceDN w:val="0"/>
        <w:adjustRightInd w:val="0"/>
        <w:spacing w:after="0" w:line="360" w:lineRule="auto"/>
        <w:ind w:left="708"/>
        <w:contextualSpacing/>
        <w:rPr>
          <w:i/>
          <w:iCs/>
          <w:color w:val="auto"/>
          <w:sz w:val="20"/>
          <w:szCs w:val="20"/>
        </w:rPr>
      </w:pPr>
      <w:r w:rsidRPr="009C6925">
        <w:rPr>
          <w:i/>
          <w:iCs/>
          <w:color w:val="auto"/>
          <w:sz w:val="20"/>
          <w:szCs w:val="20"/>
        </w:rPr>
        <w:t>“…</w:t>
      </w:r>
      <w:r w:rsidR="00391DFB" w:rsidRPr="009C6925">
        <w:rPr>
          <w:i/>
          <w:iCs/>
          <w:color w:val="auto"/>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872AE3" w14:textId="77777777" w:rsidR="00391DFB" w:rsidRPr="009C6925" w:rsidRDefault="00391DFB" w:rsidP="00391DFB">
      <w:pPr>
        <w:autoSpaceDE w:val="0"/>
        <w:autoSpaceDN w:val="0"/>
        <w:adjustRightInd w:val="0"/>
        <w:spacing w:after="0" w:line="360" w:lineRule="auto"/>
        <w:ind w:left="708"/>
        <w:contextualSpacing/>
        <w:rPr>
          <w:i/>
          <w:iCs/>
          <w:color w:val="auto"/>
          <w:sz w:val="20"/>
          <w:szCs w:val="20"/>
        </w:rPr>
      </w:pPr>
    </w:p>
    <w:p w14:paraId="13DF2C2B" w14:textId="4DBB2040" w:rsidR="00B62E13" w:rsidRPr="009C6925" w:rsidRDefault="00391DFB" w:rsidP="00391DFB">
      <w:pPr>
        <w:autoSpaceDE w:val="0"/>
        <w:autoSpaceDN w:val="0"/>
        <w:adjustRightInd w:val="0"/>
        <w:spacing w:after="0" w:line="360" w:lineRule="auto"/>
        <w:ind w:left="708"/>
        <w:contextualSpacing/>
        <w:rPr>
          <w:i/>
          <w:iCs/>
          <w:color w:val="auto"/>
          <w:sz w:val="20"/>
          <w:szCs w:val="20"/>
        </w:rPr>
      </w:pPr>
      <w:r w:rsidRPr="009C6925">
        <w:rPr>
          <w:i/>
          <w:iCs/>
          <w:color w:val="auto"/>
          <w:sz w:val="20"/>
          <w:szCs w:val="20"/>
        </w:rPr>
        <w:t>Se encuentra disponible en las oficinas de recursos humanos para consulta, en un horario de 09:00 a 17:00 horas de lunes a viernes…</w:t>
      </w:r>
      <w:r w:rsidR="00B62E13" w:rsidRPr="009C6925">
        <w:rPr>
          <w:i/>
          <w:iCs/>
          <w:color w:val="auto"/>
          <w:sz w:val="20"/>
          <w:szCs w:val="20"/>
        </w:rPr>
        <w:t>”</w:t>
      </w:r>
    </w:p>
    <w:p w14:paraId="1ADBE8C9" w14:textId="77777777" w:rsidR="00330BEF" w:rsidRPr="009C6925" w:rsidRDefault="00330BEF" w:rsidP="00391DFB">
      <w:pPr>
        <w:autoSpaceDE w:val="0"/>
        <w:autoSpaceDN w:val="0"/>
        <w:adjustRightInd w:val="0"/>
        <w:spacing w:after="0" w:line="360" w:lineRule="auto"/>
        <w:contextualSpacing/>
        <w:rPr>
          <w:rFonts w:cs="Tahoma"/>
          <w:i/>
          <w:iCs/>
          <w:color w:val="FF0000"/>
          <w:sz w:val="20"/>
          <w:szCs w:val="20"/>
        </w:rPr>
      </w:pPr>
    </w:p>
    <w:p w14:paraId="6867D521" w14:textId="27B99E2A" w:rsidR="00DB3DC5" w:rsidRPr="009C6925" w:rsidRDefault="00DB3DC5" w:rsidP="0008269D">
      <w:pPr>
        <w:autoSpaceDE w:val="0"/>
        <w:autoSpaceDN w:val="0"/>
        <w:adjustRightInd w:val="0"/>
        <w:spacing w:after="0" w:line="360" w:lineRule="auto"/>
        <w:contextualSpacing/>
        <w:rPr>
          <w:rFonts w:eastAsia="Calibri" w:cs="Tahoma"/>
          <w:b/>
          <w:color w:val="auto"/>
        </w:rPr>
      </w:pPr>
      <w:r w:rsidRPr="009C6925">
        <w:rPr>
          <w:rFonts w:eastAsia="Calibri" w:cs="Tahoma"/>
          <w:b/>
          <w:color w:val="auto"/>
        </w:rPr>
        <w:t>I</w:t>
      </w:r>
      <w:r w:rsidR="00391DFB" w:rsidRPr="009C6925">
        <w:rPr>
          <w:rFonts w:eastAsia="Calibri" w:cs="Tahoma"/>
          <w:b/>
          <w:color w:val="auto"/>
        </w:rPr>
        <w:t>II</w:t>
      </w:r>
      <w:r w:rsidRPr="009C6925">
        <w:rPr>
          <w:rFonts w:eastAsia="Calibri" w:cs="Tahoma"/>
          <w:b/>
          <w:color w:val="auto"/>
        </w:rPr>
        <w:t>. Interposición d</w:t>
      </w:r>
      <w:r w:rsidR="00391DFB" w:rsidRPr="009C6925">
        <w:rPr>
          <w:rFonts w:eastAsia="Calibri" w:cs="Tahoma"/>
          <w:b/>
          <w:color w:val="auto"/>
        </w:rPr>
        <w:t>el Recurso de Revisión</w:t>
      </w:r>
    </w:p>
    <w:p w14:paraId="72683D89" w14:textId="77777777" w:rsidR="00DB3DC5" w:rsidRPr="009C6925" w:rsidRDefault="00DB3DC5" w:rsidP="0008269D">
      <w:pPr>
        <w:spacing w:after="0" w:line="360" w:lineRule="auto"/>
        <w:contextualSpacing/>
        <w:rPr>
          <w:rFonts w:eastAsia="Times New Roman" w:cs="Tahoma"/>
          <w:bCs/>
          <w:color w:val="FF0000"/>
          <w:lang w:eastAsia="es-ES"/>
        </w:rPr>
      </w:pPr>
    </w:p>
    <w:p w14:paraId="240D95DA" w14:textId="7E724073" w:rsidR="00DB3DC5" w:rsidRPr="009C6925" w:rsidRDefault="0098062F" w:rsidP="0008269D">
      <w:pPr>
        <w:widowControl w:val="0"/>
        <w:spacing w:after="0" w:line="360" w:lineRule="auto"/>
        <w:contextualSpacing/>
        <w:rPr>
          <w:rFonts w:eastAsia="Times New Roman" w:cs="Tahoma"/>
          <w:bCs/>
          <w:color w:val="auto"/>
          <w:lang w:val="es-ES" w:eastAsia="es-ES"/>
        </w:rPr>
      </w:pPr>
      <w:r w:rsidRPr="009C6925">
        <w:rPr>
          <w:rFonts w:eastAsia="Calibri" w:cs="Times New Roman"/>
          <w:bCs/>
          <w:color w:val="auto"/>
        </w:rPr>
        <w:t xml:space="preserve">El </w:t>
      </w:r>
      <w:r w:rsidR="00391DFB" w:rsidRPr="009C6925">
        <w:rPr>
          <w:rFonts w:eastAsia="Calibri" w:cs="Times New Roman"/>
          <w:bCs/>
          <w:color w:val="auto"/>
        </w:rPr>
        <w:t>veinti</w:t>
      </w:r>
      <w:r w:rsidR="003D368F" w:rsidRPr="009C6925">
        <w:rPr>
          <w:rFonts w:eastAsia="Calibri" w:cs="Times New Roman"/>
          <w:bCs/>
          <w:color w:val="auto"/>
        </w:rPr>
        <w:t>siete</w:t>
      </w:r>
      <w:r w:rsidR="00391DFB" w:rsidRPr="009C6925">
        <w:rPr>
          <w:rFonts w:eastAsia="Calibri" w:cs="Times New Roman"/>
          <w:bCs/>
          <w:color w:val="auto"/>
        </w:rPr>
        <w:t xml:space="preserve"> de mayo de dos mil veinticuatro, </w:t>
      </w:r>
      <w:r w:rsidR="00DB3DC5" w:rsidRPr="009C6925">
        <w:rPr>
          <w:rFonts w:eastAsia="Calibri" w:cs="Times New Roman"/>
          <w:bCs/>
          <w:color w:val="auto"/>
          <w:lang w:val="es-ES"/>
        </w:rPr>
        <w:t xml:space="preserve">se recibió en este Instituto, a través del Sistema de Acceso a la Información Mexiquense (SAIMEX), </w:t>
      </w:r>
      <w:r w:rsidR="00391DFB" w:rsidRPr="009C6925">
        <w:rPr>
          <w:rFonts w:eastAsia="Calibri" w:cs="Times New Roman"/>
          <w:bCs/>
          <w:color w:val="auto"/>
          <w:lang w:val="es-ES"/>
        </w:rPr>
        <w:t>el</w:t>
      </w:r>
      <w:r w:rsidR="006A0867" w:rsidRPr="009C6925">
        <w:rPr>
          <w:rFonts w:eastAsia="Calibri" w:cs="Times New Roman"/>
          <w:bCs/>
          <w:color w:val="auto"/>
          <w:lang w:val="es-ES"/>
        </w:rPr>
        <w:t xml:space="preserve"> </w:t>
      </w:r>
      <w:r w:rsidR="00DB3DC5" w:rsidRPr="009C6925">
        <w:rPr>
          <w:rFonts w:eastAsia="Calibri" w:cs="Times New Roman"/>
          <w:bCs/>
          <w:color w:val="auto"/>
          <w:lang w:val="es-ES"/>
        </w:rPr>
        <w:t>Recurso de Revisión interpuesto por la p</w:t>
      </w:r>
      <w:r w:rsidRPr="009C6925">
        <w:rPr>
          <w:rFonts w:eastAsia="Calibri" w:cs="Times New Roman"/>
          <w:bCs/>
          <w:color w:val="auto"/>
          <w:lang w:val="es-ES"/>
        </w:rPr>
        <w:t>ersona</w:t>
      </w:r>
      <w:r w:rsidR="00DB3DC5" w:rsidRPr="009C6925">
        <w:rPr>
          <w:rFonts w:eastAsia="Calibri" w:cs="Times New Roman"/>
          <w:bCs/>
          <w:color w:val="auto"/>
          <w:lang w:val="es-ES"/>
        </w:rPr>
        <w:t xml:space="preserve"> Recurrente, en contra de la respuesta del Sujeto Obligado</w:t>
      </w:r>
      <w:r w:rsidR="00DB3DC5" w:rsidRPr="009C6925">
        <w:rPr>
          <w:rFonts w:eastAsia="Calibri" w:cs="Times New Roman"/>
          <w:color w:val="auto"/>
        </w:rPr>
        <w:t>,</w:t>
      </w:r>
      <w:r w:rsidRPr="009C6925">
        <w:rPr>
          <w:rFonts w:eastAsia="Calibri" w:cs="Times New Roman"/>
          <w:color w:val="auto"/>
        </w:rPr>
        <w:t xml:space="preserve"> </w:t>
      </w:r>
      <w:r w:rsidR="00DB3DC5" w:rsidRPr="009C6925">
        <w:rPr>
          <w:rFonts w:eastAsia="Times New Roman" w:cs="Tahoma"/>
          <w:bCs/>
          <w:color w:val="auto"/>
          <w:lang w:val="es-ES" w:eastAsia="es-ES"/>
        </w:rPr>
        <w:t>en los términos</w:t>
      </w:r>
      <w:r w:rsidR="000D1C9F" w:rsidRPr="009C6925">
        <w:rPr>
          <w:rFonts w:eastAsia="Times New Roman" w:cs="Tahoma"/>
          <w:bCs/>
          <w:color w:val="auto"/>
          <w:lang w:val="es-ES" w:eastAsia="es-ES"/>
        </w:rPr>
        <w:t xml:space="preserve"> siguientes</w:t>
      </w:r>
      <w:r w:rsidR="00DB3DC5" w:rsidRPr="009C6925">
        <w:rPr>
          <w:rFonts w:eastAsia="Times New Roman" w:cs="Tahoma"/>
          <w:bCs/>
          <w:color w:val="auto"/>
          <w:lang w:val="es-ES" w:eastAsia="es-ES"/>
        </w:rPr>
        <w:t>:</w:t>
      </w:r>
    </w:p>
    <w:p w14:paraId="428389B6" w14:textId="77777777" w:rsidR="00391DFB" w:rsidRPr="009C6925" w:rsidRDefault="00391DFB" w:rsidP="0008269D">
      <w:pPr>
        <w:widowControl w:val="0"/>
        <w:spacing w:after="0" w:line="360" w:lineRule="auto"/>
        <w:contextualSpacing/>
        <w:rPr>
          <w:rFonts w:eastAsia="Calibri" w:cs="Times New Roman"/>
          <w:bCs/>
          <w:color w:val="auto"/>
        </w:rPr>
      </w:pPr>
    </w:p>
    <w:p w14:paraId="0E422949" w14:textId="20DB7DDE" w:rsidR="006A0867" w:rsidRPr="009C6925" w:rsidRDefault="00391DFB" w:rsidP="00391DFB">
      <w:pPr>
        <w:tabs>
          <w:tab w:val="left" w:pos="4667"/>
        </w:tabs>
        <w:spacing w:after="0" w:line="360" w:lineRule="auto"/>
        <w:ind w:left="567" w:right="567"/>
        <w:rPr>
          <w:rFonts w:cs="Tahoma"/>
          <w:b/>
          <w:bCs/>
          <w:i/>
          <w:color w:val="auto"/>
          <w:sz w:val="20"/>
          <w:szCs w:val="20"/>
        </w:rPr>
      </w:pPr>
      <w:r w:rsidRPr="009C6925">
        <w:rPr>
          <w:rFonts w:cs="Tahoma"/>
          <w:b/>
          <w:bCs/>
          <w:i/>
          <w:color w:val="auto"/>
          <w:sz w:val="20"/>
          <w:szCs w:val="20"/>
        </w:rPr>
        <w:t xml:space="preserve"> </w:t>
      </w:r>
      <w:r w:rsidR="006A0867" w:rsidRPr="009C6925">
        <w:rPr>
          <w:rFonts w:cs="Tahoma"/>
          <w:b/>
          <w:bCs/>
          <w:i/>
          <w:color w:val="auto"/>
          <w:sz w:val="20"/>
          <w:szCs w:val="20"/>
        </w:rPr>
        <w:t>“ACTO IMPUGNADO</w:t>
      </w:r>
    </w:p>
    <w:p w14:paraId="199F28DE" w14:textId="151B3A6C" w:rsidR="006A0867" w:rsidRPr="009C6925" w:rsidRDefault="00391DFB" w:rsidP="0008269D">
      <w:pPr>
        <w:tabs>
          <w:tab w:val="left" w:pos="4667"/>
        </w:tabs>
        <w:spacing w:after="0" w:line="360" w:lineRule="auto"/>
        <w:ind w:left="567" w:right="567"/>
        <w:rPr>
          <w:i/>
          <w:iCs/>
          <w:color w:val="auto"/>
          <w:sz w:val="20"/>
          <w:szCs w:val="20"/>
        </w:rPr>
      </w:pPr>
      <w:r w:rsidRPr="009C6925">
        <w:rPr>
          <w:i/>
          <w:iCs/>
          <w:color w:val="auto"/>
          <w:sz w:val="20"/>
          <w:szCs w:val="20"/>
        </w:rPr>
        <w:t>La autoridad no quiere respetar el medio de entrega de la información</w:t>
      </w:r>
      <w:r w:rsidR="006A0867" w:rsidRPr="009C6925">
        <w:rPr>
          <w:i/>
          <w:iCs/>
          <w:color w:val="auto"/>
          <w:sz w:val="20"/>
          <w:szCs w:val="20"/>
        </w:rPr>
        <w:t>” (Sic.)</w:t>
      </w:r>
    </w:p>
    <w:p w14:paraId="349885DE" w14:textId="77777777" w:rsidR="006A0867" w:rsidRPr="009C6925" w:rsidRDefault="006A0867" w:rsidP="0008269D">
      <w:pPr>
        <w:tabs>
          <w:tab w:val="left" w:pos="4667"/>
        </w:tabs>
        <w:spacing w:after="0" w:line="360" w:lineRule="auto"/>
        <w:ind w:left="567" w:right="567"/>
        <w:rPr>
          <w:rFonts w:cs="Tahoma"/>
          <w:bCs/>
          <w:i/>
          <w:color w:val="FF0000"/>
          <w:sz w:val="20"/>
          <w:szCs w:val="20"/>
        </w:rPr>
      </w:pPr>
    </w:p>
    <w:p w14:paraId="09EF88BF" w14:textId="77777777" w:rsidR="006A0867" w:rsidRPr="009C6925" w:rsidRDefault="006A0867" w:rsidP="0008269D">
      <w:pPr>
        <w:tabs>
          <w:tab w:val="left" w:pos="4667"/>
        </w:tabs>
        <w:spacing w:after="0" w:line="360" w:lineRule="auto"/>
        <w:ind w:left="567" w:right="567"/>
        <w:rPr>
          <w:rFonts w:cs="Tahoma"/>
          <w:b/>
          <w:bCs/>
          <w:i/>
          <w:color w:val="auto"/>
          <w:sz w:val="20"/>
          <w:szCs w:val="20"/>
        </w:rPr>
      </w:pPr>
      <w:r w:rsidRPr="009C6925">
        <w:rPr>
          <w:rFonts w:cs="Tahoma"/>
          <w:b/>
          <w:bCs/>
          <w:i/>
          <w:color w:val="auto"/>
          <w:sz w:val="20"/>
          <w:szCs w:val="20"/>
        </w:rPr>
        <w:t>“RAZONES O MOTIVOS DE LA INCONFORMIDAD</w:t>
      </w:r>
    </w:p>
    <w:p w14:paraId="35F9576D" w14:textId="3A5E28BB" w:rsidR="006A0867" w:rsidRPr="009C6925" w:rsidRDefault="00391DFB" w:rsidP="0008269D">
      <w:pPr>
        <w:tabs>
          <w:tab w:val="left" w:pos="4667"/>
        </w:tabs>
        <w:spacing w:after="0" w:line="360" w:lineRule="auto"/>
        <w:ind w:left="567" w:right="567"/>
        <w:rPr>
          <w:rFonts w:cs="Tahoma"/>
          <w:i/>
          <w:color w:val="auto"/>
          <w:sz w:val="20"/>
          <w:szCs w:val="20"/>
        </w:rPr>
      </w:pPr>
      <w:r w:rsidRPr="009C6925">
        <w:rPr>
          <w:rFonts w:cs="Tahoma"/>
          <w:i/>
          <w:color w:val="auto"/>
          <w:sz w:val="20"/>
          <w:szCs w:val="20"/>
        </w:rPr>
        <w:t>Para acceder a la información me están solicitando acudir a oficinas, pero se solicitó entrega vía SAIMEX</w:t>
      </w:r>
      <w:r w:rsidR="006A0867" w:rsidRPr="009C6925">
        <w:rPr>
          <w:rFonts w:cs="Tahoma"/>
          <w:i/>
          <w:color w:val="auto"/>
          <w:sz w:val="20"/>
          <w:szCs w:val="20"/>
        </w:rPr>
        <w:t>” (Sic.)</w:t>
      </w:r>
    </w:p>
    <w:p w14:paraId="2379895D" w14:textId="77777777" w:rsidR="00330BEF" w:rsidRPr="009C6925" w:rsidRDefault="00330BEF" w:rsidP="0008269D">
      <w:pPr>
        <w:spacing w:after="0" w:line="360" w:lineRule="auto"/>
        <w:contextualSpacing/>
        <w:rPr>
          <w:rFonts w:eastAsia="Times New Roman" w:cs="Tahoma"/>
          <w:bCs/>
          <w:color w:val="FF0000"/>
          <w:sz w:val="20"/>
          <w:szCs w:val="20"/>
          <w:lang w:val="es-ES" w:eastAsia="es-ES"/>
        </w:rPr>
      </w:pPr>
    </w:p>
    <w:p w14:paraId="2D3CE335" w14:textId="170D513A" w:rsidR="00DB3DC5" w:rsidRPr="009C6925" w:rsidRDefault="00391DFB" w:rsidP="0008269D">
      <w:pPr>
        <w:spacing w:after="0" w:line="360" w:lineRule="auto"/>
        <w:contextualSpacing/>
        <w:rPr>
          <w:rFonts w:eastAsia="Batang" w:cs="Tahoma"/>
          <w:b/>
          <w:bCs/>
          <w:color w:val="FF0000"/>
        </w:rPr>
      </w:pPr>
      <w:r w:rsidRPr="009C6925">
        <w:rPr>
          <w:rFonts w:eastAsia="Calibri" w:cs="Tahoma"/>
          <w:b/>
          <w:color w:val="auto"/>
        </w:rPr>
        <w:t>I</w:t>
      </w:r>
      <w:r w:rsidR="00DB3DC5" w:rsidRPr="009C6925">
        <w:rPr>
          <w:rFonts w:eastAsia="Calibri" w:cs="Tahoma"/>
          <w:b/>
          <w:color w:val="auto"/>
        </w:rPr>
        <w:t xml:space="preserve">V. </w:t>
      </w:r>
      <w:r w:rsidR="00DB3DC5" w:rsidRPr="009C6925">
        <w:rPr>
          <w:rFonts w:eastAsia="Batang" w:cs="Tahoma"/>
          <w:b/>
          <w:bCs/>
          <w:color w:val="auto"/>
        </w:rPr>
        <w:t>Trámite del Recurso de Revisión</w:t>
      </w:r>
      <w:r w:rsidR="00DB3DC5" w:rsidRPr="009C6925">
        <w:rPr>
          <w:rFonts w:eastAsia="Calibri" w:cs="Tahoma"/>
          <w:b/>
          <w:color w:val="auto"/>
        </w:rPr>
        <w:t xml:space="preserve"> </w:t>
      </w:r>
      <w:r w:rsidRPr="009C6925">
        <w:rPr>
          <w:rFonts w:eastAsia="Batang" w:cs="Tahoma"/>
          <w:b/>
          <w:bCs/>
          <w:color w:val="auto"/>
        </w:rPr>
        <w:t>ante este Instituto</w:t>
      </w:r>
    </w:p>
    <w:p w14:paraId="13E537D5" w14:textId="77777777" w:rsidR="00DB3DC5" w:rsidRPr="009C6925" w:rsidRDefault="00DB3DC5" w:rsidP="0008269D">
      <w:pPr>
        <w:spacing w:after="0" w:line="360" w:lineRule="auto"/>
        <w:contextualSpacing/>
        <w:rPr>
          <w:rFonts w:eastAsia="Batang" w:cs="Tahoma"/>
          <w:b/>
          <w:bCs/>
          <w:color w:val="auto"/>
        </w:rPr>
      </w:pPr>
    </w:p>
    <w:p w14:paraId="5B9B961B" w14:textId="6CE5AB8D" w:rsidR="00DB3DC5" w:rsidRPr="009C6925" w:rsidRDefault="00DB3DC5" w:rsidP="0008269D">
      <w:pPr>
        <w:spacing w:after="0" w:line="360" w:lineRule="auto"/>
        <w:contextualSpacing/>
        <w:rPr>
          <w:rFonts w:eastAsia="Batang" w:cs="Tahoma"/>
          <w:bCs/>
          <w:color w:val="auto"/>
          <w:lang w:val="es-ES_tradnl"/>
        </w:rPr>
      </w:pPr>
      <w:r w:rsidRPr="009C6925">
        <w:rPr>
          <w:rFonts w:eastAsia="Batang" w:cs="Tahoma"/>
          <w:b/>
          <w:bCs/>
          <w:color w:val="auto"/>
        </w:rPr>
        <w:t>a) Turno del Medio de Impugnación.</w:t>
      </w:r>
      <w:r w:rsidR="00245BC3" w:rsidRPr="009C6925">
        <w:rPr>
          <w:rFonts w:eastAsia="Batang" w:cs="Tahoma"/>
          <w:bCs/>
          <w:color w:val="auto"/>
        </w:rPr>
        <w:t xml:space="preserve"> </w:t>
      </w:r>
      <w:r w:rsidR="00245BC3" w:rsidRPr="009C6925">
        <w:rPr>
          <w:rFonts w:eastAsia="Calibri" w:cs="Times New Roman"/>
          <w:bCs/>
          <w:color w:val="auto"/>
        </w:rPr>
        <w:t>El</w:t>
      </w:r>
      <w:r w:rsidR="00D520FD" w:rsidRPr="009C6925">
        <w:rPr>
          <w:rFonts w:eastAsia="Calibri" w:cs="Times New Roman"/>
          <w:bCs/>
          <w:color w:val="auto"/>
        </w:rPr>
        <w:t xml:space="preserve"> </w:t>
      </w:r>
      <w:r w:rsidR="003D368F" w:rsidRPr="009C6925">
        <w:rPr>
          <w:rFonts w:eastAsia="Calibri" w:cs="Times New Roman"/>
          <w:bCs/>
          <w:color w:val="auto"/>
        </w:rPr>
        <w:t>veintisiete de mayo de dos mil veinticuatro</w:t>
      </w:r>
      <w:r w:rsidRPr="009C6925">
        <w:rPr>
          <w:rFonts w:eastAsia="Batang" w:cs="Tahoma"/>
          <w:bCs/>
          <w:color w:val="auto"/>
        </w:rPr>
        <w:t xml:space="preserve">, el </w:t>
      </w:r>
      <w:r w:rsidRPr="009C6925">
        <w:rPr>
          <w:rFonts w:eastAsia="Calibri" w:cs="Tahoma"/>
          <w:color w:val="auto"/>
          <w:lang w:val="es-ES"/>
        </w:rPr>
        <w:t>Sistema de Acceso a la Información Mexiquense (SAIMEX),</w:t>
      </w:r>
      <w:r w:rsidRPr="009C6925">
        <w:rPr>
          <w:rFonts w:eastAsia="Batang" w:cs="Tahoma"/>
          <w:bCs/>
          <w:color w:val="auto"/>
        </w:rPr>
        <w:t xml:space="preserve"> </w:t>
      </w:r>
      <w:r w:rsidR="003D368F" w:rsidRPr="009C6925">
        <w:rPr>
          <w:rFonts w:eastAsia="Batang" w:cs="Tahoma"/>
          <w:bCs/>
          <w:color w:val="auto"/>
          <w:lang w:val="es-ES_tradnl"/>
        </w:rPr>
        <w:t xml:space="preserve">asignó el número de expediente </w:t>
      </w:r>
      <w:r w:rsidR="003D368F" w:rsidRPr="009C6925">
        <w:rPr>
          <w:rFonts w:eastAsia="Calibri" w:cs="Tahoma"/>
          <w:b/>
          <w:color w:val="auto"/>
        </w:rPr>
        <w:t>03296/INFOEM/IP/RR/2024</w:t>
      </w:r>
      <w:r w:rsidRPr="009C6925">
        <w:rPr>
          <w:rFonts w:eastAsia="Batang" w:cs="Tahoma"/>
          <w:bCs/>
          <w:color w:val="auto"/>
        </w:rPr>
        <w:t xml:space="preserve">, al Medio de Impugnación que nos ocupa, con base en el sistema aprobado por el Pleno de este Órgano Garante y lo turnó al </w:t>
      </w:r>
      <w:r w:rsidRPr="009C6925">
        <w:rPr>
          <w:rFonts w:eastAsia="Batang" w:cs="Tahoma"/>
          <w:b/>
          <w:color w:val="auto"/>
        </w:rPr>
        <w:t>Comisionado Ponente Luis Gustavo Parra Noriega</w:t>
      </w:r>
      <w:r w:rsidRPr="009C6925">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9C6925" w:rsidRDefault="00DB3DC5" w:rsidP="0008269D">
      <w:pPr>
        <w:spacing w:after="0" w:line="360" w:lineRule="auto"/>
        <w:contextualSpacing/>
        <w:rPr>
          <w:rFonts w:eastAsia="Batang" w:cs="Tahoma"/>
          <w:bCs/>
          <w:color w:val="FF0000"/>
        </w:rPr>
      </w:pPr>
    </w:p>
    <w:p w14:paraId="2B3B5A4B" w14:textId="329113EA" w:rsidR="00DB3DC5" w:rsidRPr="009C6925" w:rsidRDefault="00DB3DC5" w:rsidP="0008269D">
      <w:pPr>
        <w:spacing w:after="0" w:line="360" w:lineRule="auto"/>
        <w:contextualSpacing/>
        <w:rPr>
          <w:rFonts w:eastAsia="Times New Roman" w:cs="Tahoma"/>
          <w:bCs/>
          <w:color w:val="auto"/>
          <w:lang w:val="es-ES_tradnl" w:eastAsia="es-ES"/>
        </w:rPr>
      </w:pPr>
      <w:r w:rsidRPr="009C6925">
        <w:rPr>
          <w:rFonts w:eastAsia="Times New Roman" w:cs="Tahoma"/>
          <w:b/>
          <w:bCs/>
          <w:color w:val="auto"/>
          <w:lang w:eastAsia="es-ES"/>
        </w:rPr>
        <w:t>b) Admisión de</w:t>
      </w:r>
      <w:r w:rsidR="003D368F" w:rsidRPr="009C6925">
        <w:rPr>
          <w:rFonts w:eastAsia="Times New Roman" w:cs="Tahoma"/>
          <w:b/>
          <w:bCs/>
          <w:color w:val="auto"/>
          <w:lang w:eastAsia="es-ES"/>
        </w:rPr>
        <w:t>l</w:t>
      </w:r>
      <w:r w:rsidRPr="009C6925">
        <w:rPr>
          <w:rFonts w:eastAsia="Times New Roman" w:cs="Tahoma"/>
          <w:b/>
          <w:bCs/>
          <w:color w:val="auto"/>
          <w:lang w:eastAsia="es-ES"/>
        </w:rPr>
        <w:t xml:space="preserve"> Recurso de Revisión</w:t>
      </w:r>
      <w:r w:rsidRPr="009C6925">
        <w:rPr>
          <w:rFonts w:eastAsia="Times New Roman" w:cs="Tahoma"/>
          <w:b/>
          <w:bCs/>
          <w:color w:val="auto"/>
          <w:lang w:val="es-ES_tradnl" w:eastAsia="es-ES"/>
        </w:rPr>
        <w:t>.</w:t>
      </w:r>
      <w:r w:rsidR="00245BC3" w:rsidRPr="009C6925">
        <w:rPr>
          <w:rFonts w:eastAsia="Times New Roman" w:cs="Tahoma"/>
          <w:bCs/>
          <w:color w:val="auto"/>
          <w:lang w:val="es-ES_tradnl" w:eastAsia="es-ES"/>
        </w:rPr>
        <w:t xml:space="preserve"> El</w:t>
      </w:r>
      <w:r w:rsidR="00D520FD" w:rsidRPr="009C6925">
        <w:rPr>
          <w:rFonts w:eastAsia="Times New Roman" w:cs="Tahoma"/>
          <w:bCs/>
          <w:color w:val="auto"/>
          <w:lang w:val="es-ES_tradnl" w:eastAsia="es-ES"/>
        </w:rPr>
        <w:t xml:space="preserve"> </w:t>
      </w:r>
      <w:r w:rsidR="003D368F" w:rsidRPr="009C6925">
        <w:rPr>
          <w:rFonts w:eastAsia="Times New Roman" w:cs="Tahoma"/>
          <w:bCs/>
          <w:color w:val="auto"/>
          <w:lang w:val="es-ES_tradnl" w:eastAsia="es-ES"/>
        </w:rPr>
        <w:t>treinta de mayo de dos mil veinticuatro, se acordó la admisión del</w:t>
      </w:r>
      <w:r w:rsidRPr="009C6925">
        <w:rPr>
          <w:rFonts w:eastAsia="Times New Roman" w:cs="Tahoma"/>
          <w:bCs/>
          <w:color w:val="auto"/>
          <w:lang w:val="es-ES_tradnl" w:eastAsia="es-ES"/>
        </w:rPr>
        <w:t xml:space="preserve"> Recurso de Revisión interpuesto por la Recurrente en contra del Sujeto Obligado, en términos del artículo 185, fracciones I y II de la Ley de Transparencia y Acceso a la Información Pública del Estado de México y Municipios, </w:t>
      </w:r>
      <w:r w:rsidR="003D368F" w:rsidRPr="009C6925">
        <w:rPr>
          <w:rFonts w:eastAsia="Times New Roman" w:cs="Tahoma"/>
          <w:bCs/>
          <w:color w:val="auto"/>
          <w:lang w:val="es-ES_tradnl" w:eastAsia="es-ES"/>
        </w:rPr>
        <w:t>el</w:t>
      </w:r>
      <w:r w:rsidRPr="009C6925">
        <w:rPr>
          <w:rFonts w:eastAsia="Times New Roman" w:cs="Tahoma"/>
          <w:bCs/>
          <w:color w:val="auto"/>
          <w:lang w:val="es-ES_tradnl" w:eastAsia="es-ES"/>
        </w:rPr>
        <w:t xml:space="preserve"> cual fue debidamente notificado a las partes </w:t>
      </w:r>
      <w:r w:rsidR="003D368F" w:rsidRPr="009C6925">
        <w:rPr>
          <w:rFonts w:eastAsia="Times New Roman" w:cs="Tahoma"/>
          <w:bCs/>
          <w:color w:val="auto"/>
          <w:lang w:val="es-ES_tradnl" w:eastAsia="es-ES"/>
        </w:rPr>
        <w:t xml:space="preserve">el treinta y uno </w:t>
      </w:r>
      <w:r w:rsidRPr="009C6925">
        <w:rPr>
          <w:rFonts w:eastAsia="Times New Roman" w:cs="Tahoma"/>
          <w:bCs/>
          <w:color w:val="auto"/>
          <w:lang w:val="es-ES_tradnl" w:eastAsia="es-ES"/>
        </w:rPr>
        <w:t xml:space="preserve">del mismo mes y año,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9C6925" w:rsidRDefault="00DB3DC5" w:rsidP="0008269D">
      <w:pPr>
        <w:spacing w:after="0" w:line="360" w:lineRule="auto"/>
        <w:contextualSpacing/>
        <w:rPr>
          <w:rFonts w:cs="Tahoma"/>
          <w:color w:val="FF0000"/>
        </w:rPr>
      </w:pPr>
    </w:p>
    <w:p w14:paraId="70F7F226" w14:textId="77777777" w:rsidR="006633B9" w:rsidRPr="009C6925" w:rsidRDefault="006778B9" w:rsidP="0008269D">
      <w:pPr>
        <w:spacing w:after="0" w:line="360" w:lineRule="auto"/>
        <w:rPr>
          <w:rFonts w:cs="Tahoma"/>
          <w:color w:val="auto"/>
          <w:lang w:val="es-ES_tradnl"/>
        </w:rPr>
      </w:pPr>
      <w:r w:rsidRPr="009C6925">
        <w:rPr>
          <w:rFonts w:cs="Tahoma"/>
          <w:b/>
          <w:color w:val="auto"/>
        </w:rPr>
        <w:t xml:space="preserve">c) </w:t>
      </w:r>
      <w:r w:rsidRPr="009C6925">
        <w:rPr>
          <w:rFonts w:cs="Tahoma"/>
          <w:b/>
          <w:bCs/>
          <w:iCs/>
          <w:color w:val="auto"/>
          <w:lang w:val="es-ES"/>
        </w:rPr>
        <w:t>Informe Justificado o manifestaciones.</w:t>
      </w:r>
      <w:r w:rsidRPr="009C6925">
        <w:rPr>
          <w:rFonts w:cs="Tahoma"/>
          <w:bCs/>
          <w:iCs/>
          <w:color w:val="auto"/>
          <w:lang w:val="es-ES"/>
        </w:rPr>
        <w:t xml:space="preserve"> </w:t>
      </w:r>
      <w:r w:rsidR="006633B9" w:rsidRPr="009C6925">
        <w:rPr>
          <w:rFonts w:cs="Tahoma"/>
          <w:color w:val="auto"/>
          <w:lang w:val="es-ES_tradnl"/>
        </w:rPr>
        <w:t>Las partes fueron omisas en emitir manifestaciones o alegatos.</w:t>
      </w:r>
    </w:p>
    <w:p w14:paraId="3869A25B" w14:textId="77777777" w:rsidR="00E01CE0" w:rsidRPr="009C6925" w:rsidRDefault="00E01CE0" w:rsidP="0008269D">
      <w:pPr>
        <w:spacing w:after="0" w:line="360" w:lineRule="auto"/>
        <w:rPr>
          <w:rFonts w:eastAsia="Calibri" w:cs="Tahoma"/>
          <w:color w:val="FF0000"/>
          <w:lang w:eastAsia="en-US"/>
        </w:rPr>
      </w:pPr>
    </w:p>
    <w:p w14:paraId="3B45A567" w14:textId="69CCB921" w:rsidR="00E01CE0" w:rsidRPr="009C6925" w:rsidRDefault="008A62DD" w:rsidP="0008269D">
      <w:pPr>
        <w:spacing w:after="0" w:line="360" w:lineRule="auto"/>
        <w:rPr>
          <w:rFonts w:eastAsia="Times New Roman" w:cs="Tahoma"/>
          <w:bCs/>
          <w:color w:val="auto"/>
          <w:lang w:val="es-ES" w:eastAsia="es-ES"/>
        </w:rPr>
      </w:pPr>
      <w:r w:rsidRPr="009C6925">
        <w:rPr>
          <w:rFonts w:eastAsia="Calibri" w:cs="Tahoma"/>
          <w:b/>
          <w:bCs/>
          <w:color w:val="auto"/>
          <w:lang w:eastAsia="en-US"/>
        </w:rPr>
        <w:t>d</w:t>
      </w:r>
      <w:r w:rsidR="00E01CE0" w:rsidRPr="009C6925">
        <w:rPr>
          <w:rFonts w:eastAsia="Calibri" w:cs="Tahoma"/>
          <w:b/>
          <w:bCs/>
          <w:color w:val="auto"/>
        </w:rPr>
        <w:t xml:space="preserve">) </w:t>
      </w:r>
      <w:r w:rsidR="00E01CE0" w:rsidRPr="009C6925">
        <w:rPr>
          <w:rFonts w:eastAsia="Times New Roman" w:cs="Tahoma"/>
          <w:b/>
          <w:bCs/>
          <w:color w:val="auto"/>
          <w:lang w:val="es-ES" w:eastAsia="es-ES"/>
        </w:rPr>
        <w:t xml:space="preserve">Ampliación de plazo para resolver. </w:t>
      </w:r>
      <w:r w:rsidR="00E01CE0" w:rsidRPr="009C6925">
        <w:rPr>
          <w:rFonts w:eastAsia="Times New Roman" w:cs="Tahoma"/>
          <w:bCs/>
          <w:color w:val="auto"/>
          <w:lang w:val="es-ES" w:eastAsia="es-ES"/>
        </w:rPr>
        <w:t xml:space="preserve">El </w:t>
      </w:r>
      <w:r w:rsidRPr="009C6925">
        <w:rPr>
          <w:rFonts w:eastAsia="Times New Roman" w:cs="Tahoma"/>
          <w:bCs/>
          <w:color w:val="auto"/>
          <w:lang w:val="es-ES" w:eastAsia="es-ES"/>
        </w:rPr>
        <w:t xml:space="preserve">veinte de agosto de dos mil veinticuatro, </w:t>
      </w:r>
      <w:r w:rsidR="00E01CE0" w:rsidRPr="009C6925">
        <w:rPr>
          <w:rFonts w:eastAsia="Times New Roman" w:cs="Tahoma"/>
          <w:bCs/>
          <w:color w:val="auto"/>
          <w:lang w:val="es-ES" w:eastAsia="es-ES"/>
        </w:rPr>
        <w:t xml:space="preserve">el Comisionado Ponente, con fundamento en lo dispuesto por el artículo 181, párrafo tercero, de la Ley de Transparencia y Acceso a la Información Pública del Estado de México y Municipios, acordó ampliar por un </w:t>
      </w:r>
      <w:r w:rsidR="00E01CE0" w:rsidRPr="009C6925">
        <w:rPr>
          <w:rFonts w:eastAsia="Times New Roman" w:cs="Tahoma"/>
          <w:b/>
          <w:bCs/>
          <w:color w:val="auto"/>
          <w:lang w:val="es-ES" w:eastAsia="es-ES"/>
        </w:rPr>
        <w:t>periodo razonable</w:t>
      </w:r>
      <w:r w:rsidR="00E01CE0" w:rsidRPr="009C6925">
        <w:rPr>
          <w:rFonts w:eastAsia="Times New Roman" w:cs="Tahoma"/>
          <w:bCs/>
          <w:color w:val="auto"/>
          <w:lang w:val="es-ES" w:eastAsia="es-ES"/>
        </w:rPr>
        <w:t>, el plazo para resolver el Recurso de Revisión que nos ocupa; acto que fue notificado a las partes, mediante el Sistema de Acceso a la Información Mexiquense (SAIMEX).</w:t>
      </w:r>
    </w:p>
    <w:p w14:paraId="79E744F8" w14:textId="77777777" w:rsidR="00E01CE0" w:rsidRPr="009C6925" w:rsidRDefault="00E01CE0" w:rsidP="0008269D">
      <w:pPr>
        <w:spacing w:after="0" w:line="360" w:lineRule="auto"/>
        <w:rPr>
          <w:rFonts w:eastAsia="Calibri" w:cs="Tahoma"/>
          <w:b/>
          <w:bCs/>
          <w:color w:val="auto"/>
          <w:lang w:eastAsia="en-US"/>
        </w:rPr>
      </w:pPr>
    </w:p>
    <w:p w14:paraId="384DD528" w14:textId="77777777" w:rsidR="00E01CE0" w:rsidRPr="009C6925" w:rsidRDefault="00E01CE0" w:rsidP="0008269D">
      <w:pPr>
        <w:spacing w:after="0" w:line="360" w:lineRule="auto"/>
        <w:rPr>
          <w:rFonts w:eastAsia="Calibri" w:cs="Tahoma"/>
          <w:color w:val="auto"/>
        </w:rPr>
      </w:pPr>
      <w:r w:rsidRPr="009C6925">
        <w:rPr>
          <w:rFonts w:eastAsia="Calibri" w:cs="Tahoma"/>
          <w:color w:val="auto"/>
        </w:rPr>
        <w:lastRenderedPageBreak/>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1CF72B23" w14:textId="77777777" w:rsidR="00E01CE0" w:rsidRPr="009C6925" w:rsidRDefault="00E01CE0" w:rsidP="0008269D">
      <w:pPr>
        <w:spacing w:after="0" w:line="360" w:lineRule="auto"/>
        <w:rPr>
          <w:rFonts w:eastAsia="Calibri" w:cs="Tahoma"/>
          <w:color w:val="auto"/>
        </w:rPr>
      </w:pPr>
    </w:p>
    <w:p w14:paraId="513E9BC1" w14:textId="77777777" w:rsidR="00E01CE0" w:rsidRPr="009C6925" w:rsidRDefault="00E01CE0" w:rsidP="0008269D">
      <w:pPr>
        <w:spacing w:after="0" w:line="360" w:lineRule="auto"/>
        <w:rPr>
          <w:rFonts w:eastAsia="Calibri" w:cs="Tahoma"/>
          <w:color w:val="auto"/>
        </w:rPr>
      </w:pPr>
      <w:r w:rsidRPr="009C6925">
        <w:rPr>
          <w:rFonts w:eastAsia="Calibri" w:cs="Tahoma"/>
          <w:color w:val="auto"/>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9EA243C" w14:textId="77777777" w:rsidR="00E01CE0" w:rsidRPr="009C6925" w:rsidRDefault="00E01CE0" w:rsidP="0008269D">
      <w:pPr>
        <w:spacing w:after="0" w:line="360" w:lineRule="auto"/>
        <w:rPr>
          <w:rFonts w:eastAsia="Calibri" w:cs="Tahoma"/>
          <w:color w:val="auto"/>
        </w:rPr>
      </w:pPr>
    </w:p>
    <w:p w14:paraId="567D0BEE" w14:textId="77777777" w:rsidR="00E01CE0" w:rsidRPr="009C6925" w:rsidRDefault="00E01CE0" w:rsidP="0008269D">
      <w:pPr>
        <w:spacing w:after="0" w:line="360" w:lineRule="auto"/>
        <w:rPr>
          <w:rFonts w:eastAsia="Calibri" w:cs="Tahoma"/>
          <w:color w:val="auto"/>
        </w:rPr>
      </w:pPr>
      <w:r w:rsidRPr="009C6925">
        <w:rPr>
          <w:rFonts w:eastAsia="Calibri" w:cs="Tahoma"/>
          <w:color w:val="auto"/>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63F8626" w14:textId="77777777" w:rsidR="00E01CE0" w:rsidRPr="009C6925" w:rsidRDefault="00E01CE0" w:rsidP="0008269D">
      <w:pPr>
        <w:spacing w:after="0" w:line="360" w:lineRule="auto"/>
        <w:rPr>
          <w:rFonts w:eastAsia="Calibri" w:cs="Tahoma"/>
          <w:color w:val="auto"/>
        </w:rPr>
      </w:pPr>
      <w:r w:rsidRPr="009C6925">
        <w:rPr>
          <w:rFonts w:eastAsia="Calibri" w:cs="Tahoma"/>
          <w:color w:val="auto"/>
        </w:rPr>
        <w:t xml:space="preserve"> </w:t>
      </w:r>
    </w:p>
    <w:p w14:paraId="1E0A2DBC"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 xml:space="preserve">Por ello, excepcionalmente, si un asunto es resuelto con posterioridad a los plazos señalados por la norma debe analizarse la razonabilidad del tiempo necesario para su resolución, atentos a los siguientes criterios:  </w:t>
      </w:r>
    </w:p>
    <w:p w14:paraId="0789352E"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 xml:space="preserve"> </w:t>
      </w:r>
    </w:p>
    <w:p w14:paraId="35C9DBCF" w14:textId="77777777" w:rsidR="00E01CE0" w:rsidRPr="009C6925" w:rsidRDefault="00E01CE0" w:rsidP="00725F8E">
      <w:pPr>
        <w:numPr>
          <w:ilvl w:val="0"/>
          <w:numId w:val="1"/>
        </w:numPr>
        <w:spacing w:after="0" w:line="360" w:lineRule="auto"/>
        <w:contextualSpacing/>
        <w:rPr>
          <w:color w:val="auto"/>
          <w:szCs w:val="24"/>
          <w:lang w:eastAsia="es-ES"/>
        </w:rPr>
      </w:pPr>
      <w:r w:rsidRPr="009C6925">
        <w:rPr>
          <w:b/>
          <w:bCs/>
          <w:color w:val="auto"/>
          <w:szCs w:val="24"/>
          <w:lang w:eastAsia="es-ES"/>
        </w:rPr>
        <w:t>Complejidad del asunto:</w:t>
      </w:r>
      <w:r w:rsidRPr="009C6925">
        <w:rPr>
          <w:color w:val="auto"/>
          <w:szCs w:val="24"/>
          <w:lang w:eastAsia="es-ES"/>
        </w:rPr>
        <w:t xml:space="preserve"> La complejidad de la prueba, la pluralidad de sujetos procesales, el tiempo transcurrido, las características y contexto del recurso.</w:t>
      </w:r>
    </w:p>
    <w:p w14:paraId="6F167F98" w14:textId="77777777" w:rsidR="008A62DD" w:rsidRPr="009C6925" w:rsidRDefault="008A62DD" w:rsidP="008A62DD">
      <w:pPr>
        <w:spacing w:after="0" w:line="360" w:lineRule="auto"/>
        <w:ind w:left="720"/>
        <w:contextualSpacing/>
        <w:rPr>
          <w:color w:val="auto"/>
          <w:szCs w:val="24"/>
          <w:lang w:eastAsia="es-ES"/>
        </w:rPr>
      </w:pPr>
    </w:p>
    <w:p w14:paraId="1C027396" w14:textId="77777777" w:rsidR="00E01CE0" w:rsidRPr="009C6925" w:rsidRDefault="00E01CE0" w:rsidP="00725F8E">
      <w:pPr>
        <w:numPr>
          <w:ilvl w:val="0"/>
          <w:numId w:val="1"/>
        </w:numPr>
        <w:spacing w:after="0" w:line="360" w:lineRule="auto"/>
        <w:contextualSpacing/>
        <w:rPr>
          <w:color w:val="auto"/>
          <w:szCs w:val="24"/>
          <w:lang w:eastAsia="es-ES"/>
        </w:rPr>
      </w:pPr>
      <w:r w:rsidRPr="009C6925">
        <w:rPr>
          <w:b/>
          <w:bCs/>
          <w:color w:val="auto"/>
          <w:szCs w:val="24"/>
          <w:lang w:eastAsia="es-ES"/>
        </w:rPr>
        <w:t>Actividad Procesal del interesado:</w:t>
      </w:r>
      <w:r w:rsidRPr="009C6925">
        <w:rPr>
          <w:color w:val="auto"/>
          <w:szCs w:val="24"/>
          <w:lang w:eastAsia="es-ES"/>
        </w:rPr>
        <w:t xml:space="preserve"> Acciones u omisiones del interesado.</w:t>
      </w:r>
    </w:p>
    <w:p w14:paraId="5BAB87A3" w14:textId="77777777" w:rsidR="008A62DD" w:rsidRPr="009C6925" w:rsidRDefault="008A62DD" w:rsidP="008A62DD">
      <w:pPr>
        <w:pStyle w:val="Prrafodelista"/>
        <w:rPr>
          <w:color w:val="auto"/>
          <w:szCs w:val="24"/>
          <w:lang w:eastAsia="es-ES"/>
        </w:rPr>
      </w:pPr>
    </w:p>
    <w:p w14:paraId="4D29E7B9" w14:textId="77777777" w:rsidR="008A62DD" w:rsidRPr="009C6925" w:rsidRDefault="008A62DD" w:rsidP="008A62DD">
      <w:pPr>
        <w:spacing w:after="0" w:line="360" w:lineRule="auto"/>
        <w:ind w:left="720"/>
        <w:contextualSpacing/>
        <w:rPr>
          <w:color w:val="auto"/>
          <w:szCs w:val="24"/>
          <w:lang w:eastAsia="es-ES"/>
        </w:rPr>
      </w:pPr>
    </w:p>
    <w:p w14:paraId="2518FDBD" w14:textId="77777777" w:rsidR="00E01CE0" w:rsidRPr="009C6925" w:rsidRDefault="00E01CE0" w:rsidP="00725F8E">
      <w:pPr>
        <w:numPr>
          <w:ilvl w:val="0"/>
          <w:numId w:val="1"/>
        </w:numPr>
        <w:spacing w:after="0" w:line="360" w:lineRule="auto"/>
        <w:contextualSpacing/>
        <w:rPr>
          <w:color w:val="auto"/>
          <w:szCs w:val="24"/>
          <w:lang w:eastAsia="es-ES"/>
        </w:rPr>
      </w:pPr>
      <w:r w:rsidRPr="009C6925">
        <w:rPr>
          <w:b/>
          <w:bCs/>
          <w:color w:val="auto"/>
          <w:szCs w:val="24"/>
          <w:lang w:eastAsia="es-ES"/>
        </w:rPr>
        <w:t>Conducta de la Autoridad:</w:t>
      </w:r>
      <w:r w:rsidRPr="009C6925">
        <w:rPr>
          <w:color w:val="auto"/>
          <w:szCs w:val="24"/>
          <w:lang w:eastAsia="es-ES"/>
        </w:rPr>
        <w:t xml:space="preserve"> Las Acciones u omisiones realizadas en el procedimiento. Así como si la autoridad actuó con la debida diligencia.</w:t>
      </w:r>
    </w:p>
    <w:p w14:paraId="5E7F537A" w14:textId="77777777" w:rsidR="008A62DD" w:rsidRPr="009C6925" w:rsidRDefault="008A62DD" w:rsidP="008A62DD">
      <w:pPr>
        <w:spacing w:after="0" w:line="360" w:lineRule="auto"/>
        <w:ind w:left="720"/>
        <w:contextualSpacing/>
        <w:rPr>
          <w:color w:val="auto"/>
          <w:szCs w:val="24"/>
          <w:lang w:eastAsia="es-ES"/>
        </w:rPr>
      </w:pPr>
    </w:p>
    <w:p w14:paraId="4ACAF0A2" w14:textId="77777777" w:rsidR="00E01CE0" w:rsidRPr="009C6925" w:rsidRDefault="00E01CE0" w:rsidP="00725F8E">
      <w:pPr>
        <w:numPr>
          <w:ilvl w:val="0"/>
          <w:numId w:val="1"/>
        </w:numPr>
        <w:spacing w:after="0" w:line="360" w:lineRule="auto"/>
        <w:contextualSpacing/>
        <w:rPr>
          <w:color w:val="auto"/>
          <w:szCs w:val="24"/>
          <w:lang w:eastAsia="es-ES"/>
        </w:rPr>
      </w:pPr>
      <w:r w:rsidRPr="009C6925">
        <w:rPr>
          <w:b/>
          <w:bCs/>
          <w:color w:val="auto"/>
          <w:szCs w:val="24"/>
          <w:lang w:eastAsia="es-ES"/>
        </w:rPr>
        <w:t xml:space="preserve">La afectación generada en la situación jurídica de la persona involucrada en el proceso: </w:t>
      </w:r>
      <w:r w:rsidRPr="009C6925">
        <w:rPr>
          <w:color w:val="auto"/>
          <w:szCs w:val="24"/>
          <w:lang w:eastAsia="es-ES"/>
        </w:rPr>
        <w:t>Violación a sus derechos humanos.</w:t>
      </w:r>
    </w:p>
    <w:p w14:paraId="667E60CC" w14:textId="77777777" w:rsidR="00E01CE0" w:rsidRPr="009C6925" w:rsidRDefault="00E01CE0" w:rsidP="0008269D">
      <w:pPr>
        <w:spacing w:after="0" w:line="360" w:lineRule="auto"/>
        <w:rPr>
          <w:rFonts w:eastAsia="Calibri" w:cs="Tahoma"/>
          <w:bCs/>
          <w:color w:val="auto"/>
          <w:lang w:eastAsia="en-US"/>
        </w:rPr>
      </w:pPr>
    </w:p>
    <w:p w14:paraId="19546C2C"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6C68357"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 xml:space="preserve"> </w:t>
      </w:r>
    </w:p>
    <w:p w14:paraId="18A972A8"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 xml:space="preserve">Argumento que encuentra sustento en la jurisprudencia P./J. 32/92 emitida por el Pleno de la Suprema Corte de Justicia de la Nación de rubro </w:t>
      </w:r>
      <w:r w:rsidRPr="009C6925">
        <w:rPr>
          <w:rFonts w:eastAsia="Calibri" w:cs="Tahoma"/>
          <w:b/>
          <w:color w:val="auto"/>
        </w:rPr>
        <w:t>“TÉRMINOS PROCESALES. PARA DETERMINAR SI UN FUNCIONARIO JUDICIAL ACTUÓ INDEBIDAMENTE POR NO RESPETARLOS SE DEBE ATENDER AL PRESUPUESTO QUE CONSIDERÓ EL LEGISLADOR AL FIJARLOS Y LAS CARACTERÍSTICAS DEL CASO.”</w:t>
      </w:r>
      <w:r w:rsidRPr="009C6925">
        <w:rPr>
          <w:rFonts w:eastAsia="Calibri" w:cs="Tahoma"/>
          <w:bCs/>
          <w:color w:val="auto"/>
        </w:rPr>
        <w:t>, visible en la Gaceta del Seminario Judicial de la Federación con el registro digital 205635.</w:t>
      </w:r>
    </w:p>
    <w:p w14:paraId="37A04689"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 xml:space="preserve"> </w:t>
      </w:r>
    </w:p>
    <w:p w14:paraId="1ABED5C1"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w:t>
      </w:r>
      <w:r w:rsidRPr="009C6925">
        <w:rPr>
          <w:rFonts w:eastAsia="Calibri" w:cs="Tahoma"/>
          <w:bCs/>
          <w:color w:val="auto"/>
        </w:rPr>
        <w:lastRenderedPageBreak/>
        <w:t>pruebas aportadas y desahogadas por las partes; lo que impide la tramitación de los recursos dentro de los términos legales previamente establecidos por la Ley, por tratarse de causas de fuerza mayor.</w:t>
      </w:r>
    </w:p>
    <w:p w14:paraId="261B1ABE" w14:textId="77777777" w:rsidR="00E01CE0" w:rsidRPr="009C6925" w:rsidRDefault="00E01CE0" w:rsidP="0008269D">
      <w:pPr>
        <w:spacing w:after="0" w:line="360" w:lineRule="auto"/>
        <w:rPr>
          <w:rFonts w:eastAsia="Calibri" w:cs="Tahoma"/>
          <w:bCs/>
          <w:color w:val="auto"/>
        </w:rPr>
      </w:pPr>
    </w:p>
    <w:p w14:paraId="78DDA564"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Al respecto, también son de considerar los criterios sostenidos por el Cuarto Tribunal Colegiado en Materia Administrativa del Primer Circuito, cuyos rubros y datos de identificación son los siguientes:</w:t>
      </w:r>
    </w:p>
    <w:p w14:paraId="6A1EDA46"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 xml:space="preserve"> </w:t>
      </w:r>
    </w:p>
    <w:p w14:paraId="3CA88D77" w14:textId="77777777" w:rsidR="00E01CE0" w:rsidRPr="009C6925" w:rsidRDefault="00E01CE0" w:rsidP="0008269D">
      <w:pPr>
        <w:spacing w:after="0" w:line="360" w:lineRule="auto"/>
        <w:rPr>
          <w:rFonts w:eastAsia="Calibri" w:cs="Tahoma"/>
          <w:bCs/>
          <w:color w:val="auto"/>
        </w:rPr>
      </w:pPr>
      <w:r w:rsidRPr="009C6925">
        <w:rPr>
          <w:rFonts w:eastAsia="Calibri" w:cs="Tahoma"/>
          <w:b/>
          <w:color w:val="auto"/>
        </w:rPr>
        <w:t>“PLAZO RAZONABLE PARA RESOLVER. DIMENSIÓN Y EFECTOS DE ESTE CONCEPTO CUANDO SE ADUCE EXCESIVA CARGA DE TRABAJO.”</w:t>
      </w:r>
      <w:r w:rsidRPr="009C6925">
        <w:rPr>
          <w:rFonts w:eastAsia="Calibri" w:cs="Tahoma"/>
          <w:bCs/>
          <w:color w:val="auto"/>
        </w:rPr>
        <w:t xml:space="preserve"> consultable en el Seminario Judicial de la Federación y su gaceta, con el registro digital 2002351.</w:t>
      </w:r>
    </w:p>
    <w:p w14:paraId="2947E67F" w14:textId="77777777" w:rsidR="00E01CE0" w:rsidRPr="009C6925" w:rsidRDefault="00E01CE0" w:rsidP="0008269D">
      <w:pPr>
        <w:spacing w:after="0" w:line="360" w:lineRule="auto"/>
        <w:rPr>
          <w:rFonts w:eastAsia="Calibri" w:cs="Tahoma"/>
          <w:bCs/>
          <w:color w:val="auto"/>
        </w:rPr>
      </w:pPr>
      <w:r w:rsidRPr="009C6925">
        <w:rPr>
          <w:rFonts w:eastAsia="Calibri" w:cs="Tahoma"/>
          <w:bCs/>
          <w:color w:val="auto"/>
        </w:rPr>
        <w:t xml:space="preserve"> </w:t>
      </w:r>
    </w:p>
    <w:p w14:paraId="46626EED" w14:textId="77777777" w:rsidR="00E01CE0" w:rsidRPr="009C6925" w:rsidRDefault="00E01CE0" w:rsidP="0008269D">
      <w:pPr>
        <w:spacing w:after="0" w:line="360" w:lineRule="auto"/>
        <w:rPr>
          <w:rFonts w:eastAsia="Calibri" w:cs="Tahoma"/>
          <w:bCs/>
          <w:color w:val="auto"/>
        </w:rPr>
      </w:pPr>
      <w:r w:rsidRPr="009C6925">
        <w:rPr>
          <w:rFonts w:eastAsia="Calibri" w:cs="Tahoma"/>
          <w:b/>
          <w:color w:val="auto"/>
        </w:rPr>
        <w:t>“PLAZO RAZONABLE PARA RESOLVER. CONCEPTO Y ELEMENTOS QUE LO INTEGRAN A LA LUZ DEL DERECHO INTERNACIONAL DE LOS DERECHOS HUMANOS.”</w:t>
      </w:r>
      <w:r w:rsidRPr="009C6925">
        <w:rPr>
          <w:rFonts w:eastAsia="Calibri" w:cs="Tahoma"/>
          <w:bCs/>
          <w:color w:val="auto"/>
        </w:rPr>
        <w:t>, visible en el Seminario Judicial de la Federación y su gaceta, con el registro digital 2002350.</w:t>
      </w:r>
    </w:p>
    <w:p w14:paraId="49465D4D" w14:textId="77777777" w:rsidR="00E01CE0" w:rsidRPr="009C6925" w:rsidRDefault="00E01CE0" w:rsidP="0008269D">
      <w:pPr>
        <w:spacing w:after="0" w:line="360" w:lineRule="auto"/>
        <w:rPr>
          <w:rFonts w:eastAsia="Calibri" w:cs="Tahoma"/>
          <w:bCs/>
          <w:color w:val="auto"/>
        </w:rPr>
      </w:pPr>
    </w:p>
    <w:p w14:paraId="32A33C59" w14:textId="3B4EE312" w:rsidR="00E01CE0" w:rsidRPr="009C6925" w:rsidRDefault="00E01CE0" w:rsidP="0008269D">
      <w:pPr>
        <w:spacing w:after="0" w:line="360" w:lineRule="auto"/>
        <w:rPr>
          <w:rFonts w:eastAsia="Calibri" w:cs="Tahoma"/>
          <w:bCs/>
          <w:color w:val="auto"/>
        </w:rPr>
      </w:pPr>
      <w:r w:rsidRPr="009C6925">
        <w:rPr>
          <w:rFonts w:eastAsia="Calibri" w:cs="Tahoma"/>
          <w:bCs/>
          <w:color w:val="auto"/>
        </w:rPr>
        <w:t>Por ello, este organismo garante comprometido con la tutela de los derechos humanos confiados, señala que este exceso del plazo legal para resolver el presente asunto, resulta de carácter excepcional.</w:t>
      </w:r>
    </w:p>
    <w:p w14:paraId="7D768802" w14:textId="77777777" w:rsidR="00503FAE" w:rsidRPr="009C6925" w:rsidRDefault="00503FAE" w:rsidP="0008269D">
      <w:pPr>
        <w:spacing w:after="0" w:line="360" w:lineRule="auto"/>
        <w:rPr>
          <w:rFonts w:eastAsia="Calibri" w:cs="Tahoma"/>
          <w:bCs/>
          <w:color w:val="auto"/>
        </w:rPr>
      </w:pPr>
    </w:p>
    <w:p w14:paraId="4BC14B43" w14:textId="40C4D1B2" w:rsidR="00503FAE" w:rsidRPr="009C6925" w:rsidRDefault="008A62DD" w:rsidP="0008269D">
      <w:pPr>
        <w:spacing w:after="0" w:line="360" w:lineRule="auto"/>
        <w:rPr>
          <w:rFonts w:eastAsia="Calibri" w:cs="Tahoma"/>
          <w:color w:val="auto"/>
        </w:rPr>
      </w:pPr>
      <w:r w:rsidRPr="009C6925">
        <w:rPr>
          <w:rFonts w:cs="Tahoma"/>
          <w:b/>
          <w:color w:val="auto"/>
        </w:rPr>
        <w:t>e</w:t>
      </w:r>
      <w:r w:rsidR="00503FAE" w:rsidRPr="009C6925">
        <w:rPr>
          <w:rFonts w:cs="Tahoma"/>
          <w:b/>
          <w:color w:val="auto"/>
        </w:rPr>
        <w:t>) Requerimiento de información adicional.</w:t>
      </w:r>
      <w:r w:rsidR="00503FAE" w:rsidRPr="009C6925">
        <w:rPr>
          <w:rFonts w:cs="Tahoma"/>
          <w:color w:val="auto"/>
        </w:rPr>
        <w:t xml:space="preserve"> El</w:t>
      </w:r>
      <w:r w:rsidRPr="009C6925">
        <w:rPr>
          <w:rFonts w:cs="Tahoma"/>
          <w:color w:val="auto"/>
        </w:rPr>
        <w:t xml:space="preserve"> dos de octubre de dos mil veinticuatro</w:t>
      </w:r>
      <w:r w:rsidR="00503FAE" w:rsidRPr="009C6925">
        <w:rPr>
          <w:rFonts w:cs="Tahoma"/>
          <w:color w:val="auto"/>
        </w:rPr>
        <w:t xml:space="preserve">, se emitió un requerimiento de información adicional suscrito por el Comisionado Ponente el cual es dirigido a la Titular de la Unidad de Transparencia del Sujeto Obligado, lo anterior de conformidad con </w:t>
      </w:r>
      <w:r w:rsidR="00503FAE" w:rsidRPr="009C6925">
        <w:rPr>
          <w:rFonts w:cs="Tahoma"/>
          <w:color w:val="auto"/>
          <w:lang w:val="es-ES_tradnl"/>
        </w:rPr>
        <w:t>los artículos 14, fracciones I, II, V y XVI, del Reglamento Interior del Instituto de Transparencia, Acceso a la Información Pública y Protección de Datos Personales del Estado de México y Municipios, mismo que fue notificado al</w:t>
      </w:r>
      <w:r w:rsidR="00503FAE" w:rsidRPr="009C6925">
        <w:rPr>
          <w:rFonts w:eastAsia="Calibri" w:cs="Tahoma"/>
          <w:color w:val="auto"/>
        </w:rPr>
        <w:t xml:space="preserve"> Ayuntamiento de</w:t>
      </w:r>
      <w:r w:rsidRPr="009C6925">
        <w:rPr>
          <w:rFonts w:eastAsia="Calibri" w:cs="Tahoma"/>
          <w:color w:val="auto"/>
        </w:rPr>
        <w:t xml:space="preserve"> </w:t>
      </w:r>
      <w:r w:rsidRPr="009C6925">
        <w:rPr>
          <w:rFonts w:eastAsia="Calibri" w:cs="Tahoma"/>
          <w:color w:val="auto"/>
        </w:rPr>
        <w:lastRenderedPageBreak/>
        <w:t>Zumpango</w:t>
      </w:r>
      <w:r w:rsidR="00503FAE" w:rsidRPr="009C6925">
        <w:rPr>
          <w:rFonts w:eastAsia="Calibri" w:cs="Tahoma"/>
          <w:color w:val="auto"/>
        </w:rPr>
        <w:t xml:space="preserve">, el </w:t>
      </w:r>
      <w:r w:rsidRPr="009C6925">
        <w:rPr>
          <w:rFonts w:eastAsia="Calibri" w:cs="Tahoma"/>
          <w:color w:val="auto"/>
        </w:rPr>
        <w:t>tres de dichos mes y año</w:t>
      </w:r>
      <w:r w:rsidR="00503FAE" w:rsidRPr="009C6925">
        <w:rPr>
          <w:rFonts w:cs="Tahoma"/>
          <w:color w:val="auto"/>
          <w:lang w:val="es-ES_tradnl"/>
        </w:rPr>
        <w:t>, a través de correo electrónico y el Sistema de Acceso a la Información Mexiquense (SAIMEX), por medio del cual se le solicitó lo siguiente:</w:t>
      </w:r>
    </w:p>
    <w:p w14:paraId="517115FE" w14:textId="77777777" w:rsidR="00503FAE" w:rsidRPr="009C6925" w:rsidRDefault="00503FAE" w:rsidP="0008269D">
      <w:pPr>
        <w:spacing w:after="0" w:line="360" w:lineRule="auto"/>
        <w:rPr>
          <w:color w:val="FF0000"/>
          <w:lang w:eastAsia="es-ES"/>
        </w:rPr>
      </w:pPr>
    </w:p>
    <w:p w14:paraId="238B553D" w14:textId="24219927" w:rsidR="00503FAE" w:rsidRPr="009C6925" w:rsidRDefault="00503FAE" w:rsidP="008A62DD">
      <w:pPr>
        <w:spacing w:after="0" w:line="360" w:lineRule="auto"/>
        <w:ind w:left="567" w:right="567"/>
        <w:rPr>
          <w:i/>
          <w:iCs/>
          <w:color w:val="auto"/>
          <w:sz w:val="20"/>
          <w:szCs w:val="20"/>
          <w:lang w:val="es-ES"/>
        </w:rPr>
      </w:pPr>
      <w:r w:rsidRPr="009C6925">
        <w:rPr>
          <w:i/>
          <w:iCs/>
          <w:color w:val="auto"/>
          <w:sz w:val="20"/>
          <w:szCs w:val="20"/>
          <w:lang w:val="es-ES"/>
        </w:rPr>
        <w:t>"…El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w:t>
      </w:r>
    </w:p>
    <w:p w14:paraId="24A345AE" w14:textId="77777777" w:rsidR="008A62DD" w:rsidRPr="009C6925" w:rsidRDefault="008A62DD" w:rsidP="0008269D">
      <w:pPr>
        <w:spacing w:after="0" w:line="360" w:lineRule="auto"/>
        <w:ind w:left="567" w:right="567"/>
        <w:rPr>
          <w:i/>
          <w:iCs/>
          <w:color w:val="auto"/>
          <w:sz w:val="20"/>
          <w:szCs w:val="20"/>
          <w:lang w:val="es-ES"/>
        </w:rPr>
      </w:pPr>
    </w:p>
    <w:p w14:paraId="50EAE5C1" w14:textId="3B2627D2" w:rsidR="008A62DD" w:rsidRPr="009C6925" w:rsidRDefault="008A62DD" w:rsidP="00725F8E">
      <w:pPr>
        <w:pStyle w:val="Prrafodelista"/>
        <w:numPr>
          <w:ilvl w:val="0"/>
          <w:numId w:val="2"/>
        </w:numPr>
        <w:spacing w:after="0" w:line="360" w:lineRule="auto"/>
        <w:ind w:right="567"/>
        <w:rPr>
          <w:i/>
          <w:iCs/>
          <w:color w:val="auto"/>
          <w:sz w:val="20"/>
          <w:szCs w:val="20"/>
          <w:lang w:val="es-ES"/>
        </w:rPr>
      </w:pPr>
      <w:r w:rsidRPr="009C6925">
        <w:rPr>
          <w:i/>
          <w:iCs/>
          <w:color w:val="auto"/>
          <w:sz w:val="20"/>
          <w:szCs w:val="20"/>
          <w:lang w:val="es-ES"/>
        </w:rPr>
        <w:t>El número de contratos de publicidad para difundir obras municipales, celebrados del primero de octubre de dos mil veintitrés al dieciocho de abril de dos mil veinticuatro.</w:t>
      </w:r>
    </w:p>
    <w:p w14:paraId="7E7079E6" w14:textId="32F4F848" w:rsidR="008A62DD" w:rsidRPr="009C6925" w:rsidRDefault="008A62DD" w:rsidP="00725F8E">
      <w:pPr>
        <w:pStyle w:val="Prrafodelista"/>
        <w:numPr>
          <w:ilvl w:val="0"/>
          <w:numId w:val="2"/>
        </w:numPr>
        <w:spacing w:after="0" w:line="360" w:lineRule="auto"/>
        <w:ind w:right="567"/>
        <w:rPr>
          <w:i/>
          <w:iCs/>
          <w:color w:val="auto"/>
          <w:sz w:val="20"/>
          <w:szCs w:val="20"/>
          <w:lang w:val="es-ES"/>
        </w:rPr>
      </w:pPr>
      <w:r w:rsidRPr="009C6925">
        <w:rPr>
          <w:i/>
          <w:iCs/>
          <w:color w:val="auto"/>
          <w:sz w:val="20"/>
          <w:szCs w:val="20"/>
          <w:lang w:val="es-ES"/>
        </w:rPr>
        <w:t xml:space="preserve">Si, el personal del ayuntamiento realizó algún tipo de propaganda, durante el periodo solicitado, en caso afirmativo, precise si se emitió oficio o algún documento para realizar dichas actividades. El total aproximado de número de hojas que comprende la información solicitada y su peso en caso de contar con ella en medios magnéticos. </w:t>
      </w:r>
    </w:p>
    <w:p w14:paraId="1E31BABD" w14:textId="7345E007" w:rsidR="008A62DD" w:rsidRPr="009C6925" w:rsidRDefault="008A62DD" w:rsidP="00725F8E">
      <w:pPr>
        <w:pStyle w:val="Prrafodelista"/>
        <w:numPr>
          <w:ilvl w:val="0"/>
          <w:numId w:val="2"/>
        </w:numPr>
        <w:spacing w:after="0" w:line="360" w:lineRule="auto"/>
        <w:ind w:right="567"/>
        <w:rPr>
          <w:i/>
          <w:iCs/>
          <w:color w:val="auto"/>
          <w:sz w:val="20"/>
          <w:szCs w:val="20"/>
          <w:lang w:val="es-ES"/>
        </w:rPr>
      </w:pPr>
      <w:r w:rsidRPr="009C6925">
        <w:rPr>
          <w:i/>
          <w:iCs/>
          <w:color w:val="auto"/>
          <w:sz w:val="20"/>
          <w:szCs w:val="20"/>
          <w:lang w:val="es-ES"/>
        </w:rPr>
        <w:t xml:space="preserve">Si, presentó la incidencia ante la Dirección General Informática de este Instituto o al correo nelson.correa@infoem.org.mx, y </w:t>
      </w:r>
    </w:p>
    <w:p w14:paraId="7166FAD7" w14:textId="4A2C64BE" w:rsidR="00503FAE" w:rsidRPr="009C6925" w:rsidRDefault="008A62DD" w:rsidP="00725F8E">
      <w:pPr>
        <w:pStyle w:val="Prrafodelista"/>
        <w:numPr>
          <w:ilvl w:val="0"/>
          <w:numId w:val="2"/>
        </w:numPr>
        <w:spacing w:after="0" w:line="360" w:lineRule="auto"/>
        <w:ind w:right="567"/>
        <w:rPr>
          <w:i/>
          <w:iCs/>
          <w:color w:val="auto"/>
          <w:sz w:val="20"/>
          <w:szCs w:val="20"/>
          <w:lang w:val="es-ES"/>
        </w:rPr>
      </w:pPr>
      <w:r w:rsidRPr="009C6925">
        <w:rPr>
          <w:i/>
          <w:iCs/>
          <w:color w:val="auto"/>
          <w:sz w:val="20"/>
          <w:szCs w:val="20"/>
          <w:lang w:val="es-ES"/>
        </w:rPr>
        <w:t>Si, los documentos contienen información clasificada en términos de la Ley de Transparencia y Acceso a la Información Pública del Estado de México y Municipios; en caso, afirmativo precise de manera general los datos o información que actualizan dicho supuesto y el fundamento legal de su clasificación</w:t>
      </w:r>
      <w:r w:rsidR="00503FAE" w:rsidRPr="009C6925">
        <w:rPr>
          <w:i/>
          <w:iCs/>
          <w:color w:val="auto"/>
          <w:sz w:val="20"/>
          <w:szCs w:val="20"/>
          <w:lang w:val="es-ES"/>
        </w:rPr>
        <w:t>…”</w:t>
      </w:r>
    </w:p>
    <w:p w14:paraId="16B1FE9F" w14:textId="77777777" w:rsidR="00503FAE" w:rsidRPr="009C6925" w:rsidRDefault="00503FAE" w:rsidP="0008269D">
      <w:pPr>
        <w:spacing w:after="0" w:line="360" w:lineRule="auto"/>
        <w:rPr>
          <w:color w:val="auto"/>
          <w:lang w:val="es-ES"/>
        </w:rPr>
      </w:pPr>
    </w:p>
    <w:p w14:paraId="4BAB8A3F" w14:textId="19E14997" w:rsidR="006D7C3C" w:rsidRPr="009C6925" w:rsidRDefault="008A62DD" w:rsidP="008A62DD">
      <w:pPr>
        <w:spacing w:after="0" w:line="360" w:lineRule="auto"/>
        <w:rPr>
          <w:rFonts w:cs="Tahoma"/>
          <w:i/>
          <w:iCs/>
          <w:color w:val="auto"/>
          <w:sz w:val="20"/>
          <w:szCs w:val="20"/>
          <w:lang w:val="es-ES"/>
        </w:rPr>
      </w:pPr>
      <w:r w:rsidRPr="009C6925">
        <w:rPr>
          <w:rFonts w:cs="Tahoma"/>
          <w:b/>
          <w:bCs/>
          <w:color w:val="auto"/>
        </w:rPr>
        <w:t>f</w:t>
      </w:r>
      <w:r w:rsidR="00503FAE" w:rsidRPr="009C6925">
        <w:rPr>
          <w:rFonts w:cs="Tahoma"/>
          <w:b/>
          <w:bCs/>
          <w:color w:val="auto"/>
        </w:rPr>
        <w:t xml:space="preserve">) </w:t>
      </w:r>
      <w:r w:rsidR="00503FAE" w:rsidRPr="009C6925">
        <w:rPr>
          <w:rFonts w:cs="Tahoma"/>
          <w:b/>
          <w:bCs/>
          <w:color w:val="auto"/>
          <w:lang w:val="es-ES"/>
        </w:rPr>
        <w:t xml:space="preserve">Desahogo del </w:t>
      </w:r>
      <w:r w:rsidR="00503FAE" w:rsidRPr="009C6925">
        <w:rPr>
          <w:rFonts w:cs="Tahoma"/>
          <w:b/>
          <w:color w:val="auto"/>
        </w:rPr>
        <w:t>requerimiento de información adicional</w:t>
      </w:r>
      <w:r w:rsidR="00503FAE" w:rsidRPr="009C6925">
        <w:rPr>
          <w:rFonts w:cs="Tahoma"/>
          <w:b/>
          <w:bCs/>
          <w:color w:val="auto"/>
          <w:lang w:val="es-ES"/>
        </w:rPr>
        <w:t xml:space="preserve">. </w:t>
      </w:r>
      <w:bookmarkStart w:id="0" w:name="_Hlk165411772"/>
      <w:r w:rsidRPr="009C6925">
        <w:rPr>
          <w:rFonts w:cs="Tahoma"/>
          <w:bCs/>
          <w:color w:val="auto"/>
          <w:lang w:val="es-ES"/>
        </w:rPr>
        <w:t>El Sujeto Obligado fue omiso en emitir pronunciamiento alguno.</w:t>
      </w:r>
    </w:p>
    <w:bookmarkEnd w:id="0"/>
    <w:p w14:paraId="2621F4CD" w14:textId="77777777" w:rsidR="00E01CE0" w:rsidRPr="009C6925" w:rsidRDefault="00E01CE0" w:rsidP="0008269D">
      <w:pPr>
        <w:spacing w:after="0" w:line="360" w:lineRule="auto"/>
        <w:rPr>
          <w:rFonts w:eastAsia="Calibri" w:cs="Tahoma"/>
          <w:bCs/>
          <w:color w:val="FF0000"/>
        </w:rPr>
      </w:pPr>
    </w:p>
    <w:p w14:paraId="403F7296" w14:textId="08A071FF" w:rsidR="00DB3DC5" w:rsidRPr="009C6925" w:rsidRDefault="008A62DD" w:rsidP="0008269D">
      <w:pPr>
        <w:autoSpaceDE w:val="0"/>
        <w:autoSpaceDN w:val="0"/>
        <w:adjustRightInd w:val="0"/>
        <w:spacing w:after="0" w:line="360" w:lineRule="auto"/>
        <w:ind w:right="-28"/>
        <w:contextualSpacing/>
        <w:rPr>
          <w:rFonts w:eastAsia="Times New Roman" w:cs="Tahoma"/>
          <w:color w:val="auto"/>
          <w:szCs w:val="24"/>
          <w:lang w:eastAsia="es-ES"/>
        </w:rPr>
      </w:pPr>
      <w:r w:rsidRPr="009C6925">
        <w:rPr>
          <w:rFonts w:eastAsia="Times New Roman" w:cs="Tahoma"/>
          <w:b/>
          <w:color w:val="auto"/>
          <w:szCs w:val="24"/>
          <w:lang w:eastAsia="es-ES"/>
        </w:rPr>
        <w:t>g</w:t>
      </w:r>
      <w:r w:rsidR="0014339D" w:rsidRPr="009C6925">
        <w:rPr>
          <w:rFonts w:eastAsia="Times New Roman" w:cs="Tahoma"/>
          <w:b/>
          <w:color w:val="auto"/>
          <w:szCs w:val="24"/>
          <w:lang w:eastAsia="es-ES"/>
        </w:rPr>
        <w:t xml:space="preserve">) </w:t>
      </w:r>
      <w:r w:rsidR="00DB3DC5" w:rsidRPr="009C6925">
        <w:rPr>
          <w:rFonts w:eastAsia="Times New Roman" w:cs="Tahoma"/>
          <w:b/>
          <w:color w:val="auto"/>
          <w:szCs w:val="24"/>
          <w:lang w:eastAsia="es-ES"/>
        </w:rPr>
        <w:t>Cierre de instrucción.</w:t>
      </w:r>
      <w:r w:rsidR="00DB3DC5" w:rsidRPr="009C6925">
        <w:rPr>
          <w:rFonts w:eastAsia="Times New Roman" w:cs="Tahoma"/>
          <w:color w:val="auto"/>
          <w:szCs w:val="24"/>
          <w:lang w:eastAsia="es-ES"/>
        </w:rPr>
        <w:t xml:space="preserve"> El</w:t>
      </w:r>
      <w:r w:rsidR="0006704F" w:rsidRPr="009C6925">
        <w:rPr>
          <w:rFonts w:eastAsia="Times New Roman" w:cs="Tahoma"/>
          <w:color w:val="auto"/>
          <w:szCs w:val="24"/>
          <w:lang w:eastAsia="es-ES"/>
        </w:rPr>
        <w:t xml:space="preserve"> </w:t>
      </w:r>
      <w:r w:rsidRPr="009C6925">
        <w:rPr>
          <w:rFonts w:eastAsia="Times New Roman" w:cs="Tahoma"/>
          <w:color w:val="auto"/>
          <w:szCs w:val="24"/>
          <w:lang w:eastAsia="es-ES"/>
        </w:rPr>
        <w:t xml:space="preserve">nueve de octubre de dos </w:t>
      </w:r>
      <w:r w:rsidR="00941212" w:rsidRPr="009C6925">
        <w:rPr>
          <w:rFonts w:eastAsia="Times New Roman" w:cs="Tahoma"/>
          <w:color w:val="auto"/>
          <w:szCs w:val="24"/>
          <w:lang w:eastAsia="es-ES"/>
        </w:rPr>
        <w:t>mil veinticuatro</w:t>
      </w:r>
      <w:r w:rsidR="00DB3DC5" w:rsidRPr="009C6925">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00DB3DC5" w:rsidRPr="009C6925">
        <w:rPr>
          <w:rFonts w:eastAsia="Times New Roman" w:cs="Tahoma"/>
          <w:color w:val="auto"/>
          <w:szCs w:val="24"/>
          <w:lang w:eastAsia="es-ES"/>
        </w:rPr>
        <w:lastRenderedPageBreak/>
        <w:t>Pública del Estado de México y Municipios, mismo que fue notificado a las partes el</w:t>
      </w:r>
      <w:r w:rsidRPr="009C6925">
        <w:rPr>
          <w:rFonts w:eastAsia="Times New Roman" w:cs="Tahoma"/>
          <w:color w:val="auto"/>
          <w:szCs w:val="24"/>
          <w:lang w:eastAsia="es-ES"/>
        </w:rPr>
        <w:t xml:space="preserve"> diez del mismo mes y año</w:t>
      </w:r>
      <w:r w:rsidR="00DB3DC5" w:rsidRPr="009C6925">
        <w:rPr>
          <w:rFonts w:eastAsia="Times New Roman" w:cs="Tahoma"/>
          <w:color w:val="auto"/>
          <w:szCs w:val="24"/>
          <w:lang w:eastAsia="es-ES"/>
        </w:rPr>
        <w:t xml:space="preserve">, a través del </w:t>
      </w:r>
      <w:r w:rsidR="00DB3DC5" w:rsidRPr="009C6925">
        <w:rPr>
          <w:rFonts w:eastAsia="Times New Roman" w:cs="Tahoma"/>
          <w:color w:val="auto"/>
          <w:szCs w:val="20"/>
          <w:lang w:val="es-ES" w:eastAsia="es-ES"/>
        </w:rPr>
        <w:t>Sistema de Acceso a la Información Mexiquense (SAIMEX)</w:t>
      </w:r>
      <w:r w:rsidR="00DB3DC5" w:rsidRPr="009C6925">
        <w:rPr>
          <w:rFonts w:eastAsia="Times New Roman" w:cs="Tahoma"/>
          <w:color w:val="auto"/>
          <w:szCs w:val="24"/>
          <w:lang w:eastAsia="es-ES"/>
        </w:rPr>
        <w:t xml:space="preserve">. </w:t>
      </w:r>
    </w:p>
    <w:p w14:paraId="44D053F7" w14:textId="77777777" w:rsidR="0014339D" w:rsidRPr="009C6925" w:rsidRDefault="0014339D" w:rsidP="0008269D">
      <w:pPr>
        <w:autoSpaceDE w:val="0"/>
        <w:autoSpaceDN w:val="0"/>
        <w:adjustRightInd w:val="0"/>
        <w:spacing w:after="0" w:line="360" w:lineRule="auto"/>
        <w:ind w:right="-28"/>
        <w:contextualSpacing/>
        <w:rPr>
          <w:rFonts w:eastAsia="Calibri" w:cs="Tahoma"/>
          <w:bCs/>
          <w:color w:val="auto"/>
        </w:rPr>
      </w:pPr>
    </w:p>
    <w:p w14:paraId="5D1BB03E" w14:textId="77777777" w:rsidR="00DB3DC5" w:rsidRPr="009C6925" w:rsidRDefault="00DB3DC5" w:rsidP="0008269D">
      <w:pPr>
        <w:spacing w:after="0" w:line="360" w:lineRule="auto"/>
        <w:contextualSpacing/>
        <w:rPr>
          <w:rFonts w:eastAsia="Times New Roman" w:cs="Tahoma"/>
          <w:color w:val="auto"/>
          <w:szCs w:val="24"/>
          <w:lang w:eastAsia="es-ES"/>
        </w:rPr>
      </w:pPr>
      <w:r w:rsidRPr="009C6925">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9C6925" w:rsidRDefault="00DB3DC5" w:rsidP="0008269D">
      <w:pPr>
        <w:spacing w:after="0" w:line="360" w:lineRule="auto"/>
        <w:contextualSpacing/>
        <w:rPr>
          <w:rFonts w:eastAsia="Times New Roman" w:cs="Tahoma"/>
          <w:b/>
          <w:color w:val="FF0000"/>
          <w:lang w:val="es-ES" w:eastAsia="es-ES"/>
        </w:rPr>
      </w:pPr>
    </w:p>
    <w:p w14:paraId="1AD6FB2C" w14:textId="48BFD911" w:rsidR="00DB3DC5" w:rsidRPr="009C6925" w:rsidRDefault="00ED5588" w:rsidP="0008269D">
      <w:pPr>
        <w:spacing w:after="0" w:line="360" w:lineRule="auto"/>
        <w:contextualSpacing/>
        <w:jc w:val="center"/>
        <w:rPr>
          <w:rFonts w:eastAsia="Times New Roman" w:cs="Tahoma"/>
          <w:b/>
          <w:color w:val="auto"/>
          <w:lang w:val="es-ES" w:eastAsia="es-ES"/>
        </w:rPr>
      </w:pPr>
      <w:r w:rsidRPr="009C6925">
        <w:rPr>
          <w:rFonts w:eastAsia="Times New Roman" w:cs="Tahoma"/>
          <w:b/>
          <w:color w:val="auto"/>
          <w:lang w:val="es-ES" w:eastAsia="es-ES"/>
        </w:rPr>
        <w:t>C O N S I D E R A N D O S</w:t>
      </w:r>
    </w:p>
    <w:p w14:paraId="446E7524" w14:textId="77777777" w:rsidR="00DB3DC5" w:rsidRPr="009C6925" w:rsidRDefault="00DB3DC5" w:rsidP="0008269D">
      <w:pPr>
        <w:spacing w:after="0" w:line="360" w:lineRule="auto"/>
        <w:contextualSpacing/>
        <w:jc w:val="center"/>
        <w:rPr>
          <w:rFonts w:eastAsia="Times New Roman" w:cs="Tahoma"/>
          <w:b/>
          <w:color w:val="FF0000"/>
          <w:lang w:val="es-ES" w:eastAsia="es-ES"/>
        </w:rPr>
      </w:pPr>
    </w:p>
    <w:p w14:paraId="5C90BBB8" w14:textId="6437DC40" w:rsidR="00DB3DC5" w:rsidRPr="009C6925" w:rsidRDefault="00DB3DC5" w:rsidP="0008269D">
      <w:pPr>
        <w:autoSpaceDE w:val="0"/>
        <w:autoSpaceDN w:val="0"/>
        <w:adjustRightInd w:val="0"/>
        <w:spacing w:after="0" w:line="360" w:lineRule="auto"/>
        <w:contextualSpacing/>
        <w:rPr>
          <w:rFonts w:eastAsia="Times New Roman" w:cs="Tahoma"/>
          <w:b/>
          <w:color w:val="auto"/>
          <w:szCs w:val="24"/>
          <w:lang w:val="es-ES" w:eastAsia="es-ES"/>
        </w:rPr>
      </w:pPr>
      <w:r w:rsidRPr="009C6925">
        <w:rPr>
          <w:rFonts w:eastAsia="Calibri" w:cs="Tahoma"/>
          <w:b/>
          <w:color w:val="auto"/>
          <w:szCs w:val="24"/>
          <w:lang w:val="es-ES"/>
        </w:rPr>
        <w:t>PRIMERO</w:t>
      </w:r>
      <w:r w:rsidRPr="009C6925">
        <w:rPr>
          <w:rFonts w:eastAsia="Calibri" w:cs="Tahoma"/>
          <w:color w:val="auto"/>
          <w:szCs w:val="24"/>
          <w:lang w:val="es-ES"/>
        </w:rPr>
        <w:t xml:space="preserve">. </w:t>
      </w:r>
      <w:r w:rsidR="00ED5588" w:rsidRPr="009C6925">
        <w:rPr>
          <w:rFonts w:eastAsia="Times New Roman" w:cs="Tahoma"/>
          <w:b/>
          <w:color w:val="auto"/>
          <w:szCs w:val="24"/>
          <w:lang w:val="es-ES" w:eastAsia="es-ES"/>
        </w:rPr>
        <w:t>Competencia</w:t>
      </w:r>
    </w:p>
    <w:p w14:paraId="377E7349" w14:textId="77777777" w:rsidR="00DB3DC5" w:rsidRPr="009C6925" w:rsidRDefault="00DB3DC5" w:rsidP="0008269D">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9C6925" w:rsidRDefault="00DB3DC5" w:rsidP="0008269D">
      <w:pPr>
        <w:spacing w:after="0" w:line="360" w:lineRule="auto"/>
        <w:contextualSpacing/>
        <w:rPr>
          <w:rFonts w:eastAsia="Times New Roman" w:cs="Tahoma"/>
          <w:bCs/>
          <w:color w:val="auto"/>
          <w:lang w:eastAsia="es-ES"/>
        </w:rPr>
      </w:pPr>
      <w:bookmarkStart w:id="1" w:name="_Hlk63334754"/>
      <w:r w:rsidRPr="009C6925">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9C6925">
        <w:rPr>
          <w:rFonts w:eastAsia="Times New Roman" w:cs="Tahoma"/>
          <w:bCs/>
          <w:color w:val="auto"/>
          <w:lang w:eastAsia="es-ES"/>
        </w:rPr>
        <w:t xml:space="preserve"> segundo</w:t>
      </w:r>
      <w:r w:rsidRPr="009C6925">
        <w:rPr>
          <w:rFonts w:eastAsia="Times New Roman" w:cs="Tahoma"/>
          <w:bCs/>
          <w:color w:val="auto"/>
          <w:lang w:eastAsia="es-ES"/>
        </w:rPr>
        <w:t xml:space="preserve">, trigésimo </w:t>
      </w:r>
      <w:r w:rsidR="003905B1" w:rsidRPr="009C6925">
        <w:rPr>
          <w:rFonts w:eastAsia="Times New Roman" w:cs="Tahoma"/>
          <w:bCs/>
          <w:color w:val="auto"/>
          <w:lang w:eastAsia="es-ES"/>
        </w:rPr>
        <w:t>tercero</w:t>
      </w:r>
      <w:r w:rsidRPr="009C6925">
        <w:rPr>
          <w:rFonts w:eastAsia="Times New Roman" w:cs="Tahoma"/>
          <w:bCs/>
          <w:color w:val="auto"/>
          <w:lang w:eastAsia="es-ES"/>
        </w:rPr>
        <w:t xml:space="preserve"> y trigésimo </w:t>
      </w:r>
      <w:r w:rsidR="003905B1" w:rsidRPr="009C6925">
        <w:rPr>
          <w:rFonts w:eastAsia="Times New Roman" w:cs="Tahoma"/>
          <w:bCs/>
          <w:color w:val="auto"/>
          <w:lang w:eastAsia="es-ES"/>
        </w:rPr>
        <w:t>cuarto</w:t>
      </w:r>
      <w:r w:rsidRPr="009C6925">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C6925">
        <w:rPr>
          <w:rFonts w:eastAsia="Times New Roman" w:cs="Times New Roman"/>
          <w:bCs/>
          <w:color w:val="auto"/>
          <w:lang w:eastAsia="es-ES"/>
        </w:rPr>
        <w:t xml:space="preserve"> 7°, </w:t>
      </w:r>
      <w:r w:rsidRPr="009C6925">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
    </w:p>
    <w:p w14:paraId="34F007D6" w14:textId="77777777" w:rsidR="00DB3DC5" w:rsidRPr="009C6925" w:rsidRDefault="00DB3DC5" w:rsidP="0008269D">
      <w:pPr>
        <w:autoSpaceDE w:val="0"/>
        <w:autoSpaceDN w:val="0"/>
        <w:adjustRightInd w:val="0"/>
        <w:spacing w:after="0" w:line="360" w:lineRule="auto"/>
        <w:contextualSpacing/>
        <w:rPr>
          <w:rFonts w:eastAsia="Calibri" w:cs="Tahoma"/>
          <w:b/>
          <w:color w:val="auto"/>
          <w:szCs w:val="24"/>
          <w:lang w:val="es-ES"/>
        </w:rPr>
      </w:pPr>
    </w:p>
    <w:p w14:paraId="77696DE3" w14:textId="77777777" w:rsidR="00DB3DC5" w:rsidRPr="009C6925" w:rsidRDefault="00DB3DC5" w:rsidP="0008269D">
      <w:pPr>
        <w:autoSpaceDE w:val="0"/>
        <w:autoSpaceDN w:val="0"/>
        <w:adjustRightInd w:val="0"/>
        <w:spacing w:after="0" w:line="360" w:lineRule="auto"/>
        <w:contextualSpacing/>
        <w:rPr>
          <w:rFonts w:eastAsia="Times New Roman" w:cs="Tahoma"/>
          <w:color w:val="auto"/>
          <w:szCs w:val="24"/>
          <w:lang w:val="es-ES" w:eastAsia="es-ES"/>
        </w:rPr>
      </w:pPr>
      <w:r w:rsidRPr="009C6925">
        <w:rPr>
          <w:rFonts w:eastAsia="Calibri" w:cs="Tahoma"/>
          <w:b/>
          <w:color w:val="auto"/>
          <w:szCs w:val="24"/>
          <w:lang w:val="es-ES"/>
        </w:rPr>
        <w:t>SEGUNDO</w:t>
      </w:r>
      <w:r w:rsidRPr="009C6925">
        <w:rPr>
          <w:rFonts w:eastAsia="Calibri" w:cs="Tahoma"/>
          <w:color w:val="auto"/>
          <w:szCs w:val="24"/>
          <w:lang w:val="es-ES"/>
        </w:rPr>
        <w:t xml:space="preserve">. </w:t>
      </w:r>
      <w:r w:rsidRPr="009C6925">
        <w:rPr>
          <w:rFonts w:eastAsia="Times New Roman" w:cs="Tahoma"/>
          <w:b/>
          <w:color w:val="auto"/>
          <w:szCs w:val="24"/>
          <w:lang w:val="es-ES" w:eastAsia="es-ES"/>
        </w:rPr>
        <w:t>Causales de improcedencia y sobreseimiento.</w:t>
      </w:r>
      <w:r w:rsidRPr="009C6925">
        <w:rPr>
          <w:rFonts w:eastAsia="Times New Roman" w:cs="Tahoma"/>
          <w:color w:val="auto"/>
          <w:szCs w:val="24"/>
          <w:lang w:val="es-ES" w:eastAsia="es-ES"/>
        </w:rPr>
        <w:t xml:space="preserve"> </w:t>
      </w:r>
    </w:p>
    <w:p w14:paraId="22A992CE" w14:textId="77777777" w:rsidR="00DB3DC5" w:rsidRPr="009C6925" w:rsidRDefault="00DB3DC5" w:rsidP="0008269D">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9C6925" w:rsidRDefault="00DB3DC5" w:rsidP="0008269D">
      <w:pPr>
        <w:autoSpaceDE w:val="0"/>
        <w:autoSpaceDN w:val="0"/>
        <w:adjustRightInd w:val="0"/>
        <w:spacing w:after="0" w:line="360" w:lineRule="auto"/>
        <w:contextualSpacing/>
        <w:rPr>
          <w:rFonts w:eastAsia="Times New Roman" w:cs="Tahoma"/>
          <w:color w:val="auto"/>
          <w:szCs w:val="24"/>
          <w:lang w:val="es-ES" w:eastAsia="es-ES"/>
        </w:rPr>
      </w:pPr>
      <w:r w:rsidRPr="009C6925">
        <w:rPr>
          <w:rFonts w:eastAsia="Times New Roman" w:cs="Tahoma"/>
          <w:color w:val="auto"/>
          <w:szCs w:val="24"/>
          <w:lang w:val="es-ES" w:eastAsia="es-ES"/>
        </w:rPr>
        <w:lastRenderedPageBreak/>
        <w:t xml:space="preserve">De las constancias que forma parte del Recurso de Revisión que se analiza, se advierte que previo al estudio del fondo de la </w:t>
      </w:r>
      <w:r w:rsidRPr="009C6925">
        <w:rPr>
          <w:rFonts w:eastAsia="Times New Roman" w:cs="Tahoma"/>
          <w:i/>
          <w:color w:val="auto"/>
          <w:szCs w:val="24"/>
          <w:lang w:val="es-ES" w:eastAsia="es-ES"/>
        </w:rPr>
        <w:t>litis</w:t>
      </w:r>
      <w:r w:rsidRPr="009C6925">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9C6925" w:rsidRDefault="00DB3DC5" w:rsidP="0008269D">
      <w:pPr>
        <w:spacing w:after="0" w:line="360" w:lineRule="auto"/>
        <w:contextualSpacing/>
        <w:rPr>
          <w:b/>
          <w:color w:val="auto"/>
          <w:lang w:val="es-ES"/>
        </w:rPr>
      </w:pPr>
    </w:p>
    <w:p w14:paraId="7CEF4E51" w14:textId="77777777" w:rsidR="00DB3DC5" w:rsidRPr="009C6925" w:rsidRDefault="00DB3DC5" w:rsidP="0008269D">
      <w:pPr>
        <w:spacing w:after="0" w:line="360" w:lineRule="auto"/>
        <w:contextualSpacing/>
        <w:rPr>
          <w:b/>
          <w:color w:val="auto"/>
          <w:lang w:val="es-ES"/>
        </w:rPr>
      </w:pPr>
      <w:r w:rsidRPr="009C6925">
        <w:rPr>
          <w:b/>
          <w:color w:val="auto"/>
          <w:lang w:val="es-ES"/>
        </w:rPr>
        <w:t>Causales de improcedencia</w:t>
      </w:r>
    </w:p>
    <w:p w14:paraId="039C7835" w14:textId="77777777" w:rsidR="00DB3DC5" w:rsidRPr="009C6925" w:rsidRDefault="00DB3DC5" w:rsidP="0008269D">
      <w:pPr>
        <w:spacing w:after="0" w:line="360" w:lineRule="auto"/>
        <w:contextualSpacing/>
        <w:rPr>
          <w:color w:val="auto"/>
        </w:rPr>
      </w:pPr>
    </w:p>
    <w:p w14:paraId="24BC499F" w14:textId="77777777" w:rsidR="00DB3DC5" w:rsidRPr="009C6925" w:rsidRDefault="00DB3DC5" w:rsidP="0008269D">
      <w:pPr>
        <w:spacing w:after="0" w:line="360" w:lineRule="auto"/>
        <w:contextualSpacing/>
        <w:rPr>
          <w:rFonts w:eastAsia="Times New Roman" w:cs="Tahoma"/>
          <w:color w:val="auto"/>
          <w:lang w:eastAsia="es-ES"/>
        </w:rPr>
      </w:pPr>
      <w:r w:rsidRPr="009C6925">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9C6925" w:rsidRDefault="00DB3DC5" w:rsidP="0008269D">
      <w:pPr>
        <w:spacing w:after="0" w:line="360" w:lineRule="auto"/>
        <w:contextualSpacing/>
        <w:rPr>
          <w:rFonts w:eastAsia="Times New Roman" w:cs="Tahoma"/>
          <w:color w:val="auto"/>
          <w:lang w:eastAsia="es-ES"/>
        </w:rPr>
      </w:pPr>
    </w:p>
    <w:p w14:paraId="344A6FE5" w14:textId="77777777" w:rsidR="00DB3DC5" w:rsidRPr="009C6925" w:rsidRDefault="00DB3DC5" w:rsidP="0008269D">
      <w:pPr>
        <w:spacing w:after="0" w:line="360" w:lineRule="auto"/>
        <w:contextualSpacing/>
        <w:rPr>
          <w:rFonts w:eastAsia="Times New Roman" w:cs="Tahoma"/>
          <w:color w:val="auto"/>
          <w:lang w:eastAsia="es-ES"/>
        </w:rPr>
      </w:pPr>
      <w:r w:rsidRPr="009C6925">
        <w:rPr>
          <w:rFonts w:eastAsia="Times New Roman" w:cs="Tahoma"/>
          <w:color w:val="auto"/>
          <w:lang w:eastAsia="es-ES"/>
        </w:rPr>
        <w:t>En el presente caso, </w:t>
      </w:r>
      <w:r w:rsidRPr="009C6925">
        <w:rPr>
          <w:rFonts w:eastAsia="Times New Roman" w:cs="Tahoma"/>
          <w:b/>
          <w:bCs/>
          <w:color w:val="auto"/>
          <w:lang w:eastAsia="es-ES"/>
        </w:rPr>
        <w:t>no se actualiza ninguna de las causales de improcedencia</w:t>
      </w:r>
      <w:r w:rsidRPr="009C6925">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9C6925" w:rsidRDefault="00DB3DC5" w:rsidP="0008269D">
      <w:pPr>
        <w:spacing w:after="0" w:line="360" w:lineRule="auto"/>
        <w:contextualSpacing/>
        <w:rPr>
          <w:rFonts w:eastAsia="Times New Roman" w:cs="Tahoma"/>
          <w:color w:val="auto"/>
          <w:lang w:val="es-ES" w:eastAsia="es-ES"/>
        </w:rPr>
      </w:pPr>
    </w:p>
    <w:p w14:paraId="76A50112" w14:textId="69BF6964" w:rsidR="00DB3DC5" w:rsidRPr="009C6925" w:rsidRDefault="00DB3DC5" w:rsidP="0008269D">
      <w:pPr>
        <w:spacing w:after="0" w:line="360" w:lineRule="auto"/>
        <w:contextualSpacing/>
        <w:rPr>
          <w:rFonts w:eastAsia="Times New Roman" w:cs="Tahoma"/>
          <w:bCs/>
          <w:color w:val="auto"/>
          <w:lang w:val="es-ES" w:eastAsia="es-ES"/>
        </w:rPr>
      </w:pPr>
      <w:r w:rsidRPr="009C6925">
        <w:rPr>
          <w:rFonts w:eastAsia="Times New Roman" w:cs="Tahoma"/>
          <w:color w:val="auto"/>
          <w:lang w:val="es-ES" w:eastAsia="es-ES"/>
        </w:rPr>
        <w:t>Conforme a lo anterior, se actualiza la causal de procedencia señalad</w:t>
      </w:r>
      <w:r w:rsidR="00BB36D2" w:rsidRPr="009C6925">
        <w:rPr>
          <w:rFonts w:eastAsia="Times New Roman" w:cs="Tahoma"/>
          <w:color w:val="auto"/>
          <w:lang w:val="es-ES" w:eastAsia="es-ES"/>
        </w:rPr>
        <w:t xml:space="preserve">a en el artículo 179, </w:t>
      </w:r>
      <w:r w:rsidR="00ED5588" w:rsidRPr="009C6925">
        <w:rPr>
          <w:rFonts w:eastAsia="Times New Roman" w:cs="Tahoma"/>
          <w:color w:val="auto"/>
          <w:lang w:val="es-ES" w:eastAsia="es-ES"/>
        </w:rPr>
        <w:t>fracción</w:t>
      </w:r>
      <w:r w:rsidR="00BB36D2" w:rsidRPr="009C6925">
        <w:rPr>
          <w:rFonts w:eastAsia="Times New Roman" w:cs="Tahoma"/>
          <w:color w:val="auto"/>
          <w:lang w:val="es-ES" w:eastAsia="es-ES"/>
        </w:rPr>
        <w:t xml:space="preserve"> </w:t>
      </w:r>
      <w:r w:rsidR="00ED5588" w:rsidRPr="009C6925">
        <w:rPr>
          <w:rFonts w:eastAsia="Times New Roman" w:cs="Tahoma"/>
          <w:color w:val="auto"/>
          <w:lang w:val="es-ES" w:eastAsia="es-ES"/>
        </w:rPr>
        <w:t>VIII</w:t>
      </w:r>
      <w:r w:rsidRPr="009C6925">
        <w:rPr>
          <w:rFonts w:eastAsia="Times New Roman" w:cs="Tahoma"/>
          <w:color w:val="auto"/>
          <w:lang w:val="es-ES" w:eastAsia="es-ES"/>
        </w:rPr>
        <w:t>, de la Ley de la materia</w:t>
      </w:r>
      <w:r w:rsidRPr="009C6925">
        <w:rPr>
          <w:rFonts w:eastAsia="Times New Roman" w:cs="Tahoma"/>
          <w:bCs/>
          <w:color w:val="auto"/>
          <w:lang w:val="es-ES" w:eastAsia="es-ES"/>
        </w:rPr>
        <w:t xml:space="preserve">, toda vez que el Solicitante se inconformó con la </w:t>
      </w:r>
      <w:r w:rsidR="004466B9" w:rsidRPr="009C6925">
        <w:rPr>
          <w:rFonts w:eastAsia="Times New Roman" w:cs="Tahoma"/>
          <w:bCs/>
          <w:color w:val="auto"/>
          <w:lang w:val="es-ES" w:eastAsia="es-ES"/>
        </w:rPr>
        <w:t>notificación o puesta a disposición de información en una modalidad o formato distinto.</w:t>
      </w:r>
    </w:p>
    <w:p w14:paraId="33270C86" w14:textId="77777777" w:rsidR="00DB3DC5" w:rsidRPr="009C6925" w:rsidRDefault="00DB3DC5" w:rsidP="0008269D">
      <w:pPr>
        <w:spacing w:after="0" w:line="360" w:lineRule="auto"/>
        <w:contextualSpacing/>
        <w:rPr>
          <w:rFonts w:cs="Tahoma"/>
          <w:color w:val="auto"/>
          <w:lang w:val="es-ES"/>
        </w:rPr>
      </w:pPr>
    </w:p>
    <w:p w14:paraId="7C183A55" w14:textId="29333259" w:rsidR="00DB3DC5" w:rsidRPr="009C6925" w:rsidRDefault="00EA2DF5" w:rsidP="0008269D">
      <w:pPr>
        <w:spacing w:after="0" w:line="360" w:lineRule="auto"/>
        <w:contextualSpacing/>
        <w:rPr>
          <w:rFonts w:eastAsia="Times New Roman" w:cs="Tahoma"/>
          <w:bCs/>
          <w:color w:val="auto"/>
          <w:lang w:eastAsia="es-ES"/>
        </w:rPr>
      </w:pPr>
      <w:r w:rsidRPr="009C6925">
        <w:rPr>
          <w:rFonts w:eastAsia="Times New Roman" w:cs="Tahoma"/>
          <w:b/>
          <w:bCs/>
          <w:color w:val="auto"/>
          <w:lang w:eastAsia="es-ES"/>
        </w:rPr>
        <w:t>Causales de sobreseimiento</w:t>
      </w:r>
    </w:p>
    <w:p w14:paraId="4882BDEC" w14:textId="77777777" w:rsidR="00DB3DC5" w:rsidRPr="009C6925" w:rsidRDefault="00DB3DC5" w:rsidP="0008269D">
      <w:pPr>
        <w:spacing w:after="0" w:line="360" w:lineRule="auto"/>
        <w:contextualSpacing/>
        <w:rPr>
          <w:rFonts w:eastAsia="Times New Roman" w:cs="Tahoma"/>
          <w:bCs/>
          <w:color w:val="FF0000"/>
          <w:lang w:eastAsia="es-ES"/>
        </w:rPr>
      </w:pPr>
    </w:p>
    <w:p w14:paraId="1C1FAC25" w14:textId="5560238B" w:rsidR="00DB3DC5" w:rsidRPr="009C6925" w:rsidRDefault="00DB3DC5" w:rsidP="0008269D">
      <w:pPr>
        <w:spacing w:after="0" w:line="360" w:lineRule="auto"/>
        <w:contextualSpacing/>
        <w:rPr>
          <w:rFonts w:eastAsia="Times New Roman" w:cs="Tahoma"/>
          <w:bCs/>
          <w:color w:val="auto"/>
          <w:lang w:eastAsia="es-ES"/>
        </w:rPr>
      </w:pPr>
      <w:r w:rsidRPr="009C6925">
        <w:rPr>
          <w:rFonts w:eastAsia="Times New Roman" w:cs="Tahoma"/>
          <w:bCs/>
          <w:color w:val="auto"/>
          <w:lang w:eastAsia="es-ES"/>
        </w:rPr>
        <w:t>Por ser de previo y especial pronunciamiento, este Instituto analiza si se actualiza alguna causal de sobreseimiento.</w:t>
      </w:r>
    </w:p>
    <w:p w14:paraId="23736C10" w14:textId="77777777" w:rsidR="00F063F0" w:rsidRPr="009C6925" w:rsidRDefault="00F063F0" w:rsidP="0008269D">
      <w:pPr>
        <w:spacing w:after="0" w:line="360" w:lineRule="auto"/>
        <w:contextualSpacing/>
        <w:rPr>
          <w:rFonts w:eastAsia="Times New Roman" w:cs="Tahoma"/>
          <w:bCs/>
          <w:color w:val="auto"/>
          <w:lang w:eastAsia="es-ES"/>
        </w:rPr>
      </w:pPr>
    </w:p>
    <w:p w14:paraId="061BC45D" w14:textId="77777777" w:rsidR="00DB3DC5" w:rsidRPr="009C6925" w:rsidRDefault="00DB3DC5" w:rsidP="0008269D">
      <w:pPr>
        <w:spacing w:after="0" w:line="360" w:lineRule="auto"/>
        <w:contextualSpacing/>
        <w:rPr>
          <w:rFonts w:eastAsia="Times New Roman" w:cs="Tahoma"/>
          <w:color w:val="auto"/>
          <w:szCs w:val="24"/>
          <w:lang w:eastAsia="es-ES"/>
        </w:rPr>
      </w:pPr>
      <w:r w:rsidRPr="009C6925">
        <w:rPr>
          <w:rFonts w:eastAsia="Times New Roman" w:cs="Tahoma"/>
          <w:bCs/>
          <w:color w:val="auto"/>
          <w:lang w:eastAsia="es-ES"/>
        </w:rPr>
        <w:t>Sobre el tema, e</w:t>
      </w:r>
      <w:r w:rsidRPr="009C6925">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9C6925" w:rsidRDefault="00DB3DC5" w:rsidP="0008269D">
      <w:pPr>
        <w:spacing w:after="0" w:line="360" w:lineRule="auto"/>
        <w:contextualSpacing/>
        <w:rPr>
          <w:rFonts w:eastAsia="Times New Roman" w:cs="Tahoma"/>
          <w:color w:val="auto"/>
          <w:szCs w:val="24"/>
          <w:lang w:eastAsia="es-ES"/>
        </w:rPr>
      </w:pPr>
    </w:p>
    <w:p w14:paraId="6D96EC9B" w14:textId="77777777" w:rsidR="00DB3DC5" w:rsidRPr="009C6925" w:rsidRDefault="00DB3DC5" w:rsidP="0008269D">
      <w:pPr>
        <w:spacing w:after="0" w:line="360" w:lineRule="auto"/>
        <w:contextualSpacing/>
        <w:rPr>
          <w:rFonts w:eastAsia="Times New Roman" w:cs="Tahoma"/>
          <w:bCs/>
          <w:color w:val="auto"/>
          <w:lang w:eastAsia="es-ES"/>
        </w:rPr>
      </w:pPr>
      <w:r w:rsidRPr="009C6925">
        <w:rPr>
          <w:rFonts w:eastAsia="Times New Roman" w:cs="Tahoma"/>
          <w:bCs/>
          <w:color w:val="auto"/>
          <w:lang w:eastAsia="es-ES"/>
        </w:rPr>
        <w:t xml:space="preserve">Por tales motivos, se considera procedente entrar al fondo del presente asunto. </w:t>
      </w:r>
    </w:p>
    <w:p w14:paraId="51FFF3D0" w14:textId="77777777" w:rsidR="00DB3DC5" w:rsidRPr="009C6925" w:rsidRDefault="00DB3DC5" w:rsidP="0008269D">
      <w:pPr>
        <w:spacing w:after="0" w:line="360" w:lineRule="auto"/>
        <w:contextualSpacing/>
        <w:rPr>
          <w:rFonts w:eastAsia="Times New Roman" w:cs="Tahoma"/>
          <w:b/>
          <w:bCs/>
          <w:iCs/>
          <w:color w:val="auto"/>
          <w:lang w:val="es-ES" w:eastAsia="es-ES"/>
        </w:rPr>
      </w:pPr>
    </w:p>
    <w:p w14:paraId="633955FE" w14:textId="61BDE4D6" w:rsidR="00DB3DC5" w:rsidRPr="009C6925" w:rsidRDefault="00DB3DC5" w:rsidP="0008269D">
      <w:pPr>
        <w:spacing w:after="0" w:line="360" w:lineRule="auto"/>
        <w:contextualSpacing/>
        <w:rPr>
          <w:rFonts w:eastAsia="Times New Roman" w:cs="Tahoma"/>
          <w:b/>
          <w:bCs/>
          <w:iCs/>
          <w:color w:val="auto"/>
          <w:lang w:val="es-ES" w:eastAsia="es-ES"/>
        </w:rPr>
      </w:pPr>
      <w:r w:rsidRPr="009C6925">
        <w:rPr>
          <w:rFonts w:eastAsia="Times New Roman" w:cs="Tahoma"/>
          <w:b/>
          <w:bCs/>
          <w:iCs/>
          <w:color w:val="auto"/>
          <w:lang w:val="es-ES" w:eastAsia="es-ES"/>
        </w:rPr>
        <w:t>TERCERO. De</w:t>
      </w:r>
      <w:r w:rsidR="00EA2DF5" w:rsidRPr="009C6925">
        <w:rPr>
          <w:rFonts w:eastAsia="Times New Roman" w:cs="Tahoma"/>
          <w:b/>
          <w:bCs/>
          <w:iCs/>
          <w:color w:val="auto"/>
          <w:lang w:val="es-ES" w:eastAsia="es-ES"/>
        </w:rPr>
        <w:t>terminación de la Controversia</w:t>
      </w:r>
    </w:p>
    <w:p w14:paraId="29A4CC8A" w14:textId="77777777" w:rsidR="00DB3DC5" w:rsidRPr="009C6925" w:rsidRDefault="00DB3DC5" w:rsidP="0008269D">
      <w:pPr>
        <w:autoSpaceDE w:val="0"/>
        <w:autoSpaceDN w:val="0"/>
        <w:adjustRightInd w:val="0"/>
        <w:spacing w:after="0" w:line="360" w:lineRule="auto"/>
        <w:contextualSpacing/>
        <w:rPr>
          <w:rFonts w:eastAsia="Calibri" w:cs="Tahoma"/>
          <w:color w:val="FF0000"/>
          <w:lang w:val="es-ES"/>
        </w:rPr>
      </w:pPr>
    </w:p>
    <w:p w14:paraId="1BD74706" w14:textId="76111F29" w:rsidR="00EA2DF5" w:rsidRPr="009C6925" w:rsidRDefault="00EA2DF5" w:rsidP="00EA2DF5">
      <w:pPr>
        <w:widowControl w:val="0"/>
        <w:spacing w:after="0" w:line="360" w:lineRule="auto"/>
        <w:rPr>
          <w:color w:val="auto"/>
        </w:rPr>
      </w:pPr>
      <w:r w:rsidRPr="009C6925">
        <w:rPr>
          <w:color w:val="auto"/>
        </w:rPr>
        <w:t>Una vez realizado el estudio de las constancias que integran el expediente en que se actúa, se desprende que el Particular requirió, los contratos de publicidad para difundir obras municipales, o bien, instrucciones giradas al respecto en caso de que la propaganda haya sido pintada o instalada por personal que preste servicios al ayuntamiento, del periodo que comprende del primero de octubre de dos mil veintitrés al dieciocho de abril de dos mil veinticuatro.</w:t>
      </w:r>
    </w:p>
    <w:p w14:paraId="5B5437D6" w14:textId="77777777" w:rsidR="00EA2DF5" w:rsidRPr="009C6925" w:rsidRDefault="00EA2DF5" w:rsidP="00EA2DF5">
      <w:pPr>
        <w:spacing w:after="0" w:line="360" w:lineRule="auto"/>
        <w:ind w:right="-28"/>
        <w:rPr>
          <w:color w:val="FF0000"/>
        </w:rPr>
      </w:pPr>
    </w:p>
    <w:p w14:paraId="48EF04C7" w14:textId="49179C9A" w:rsidR="00EA2DF5" w:rsidRPr="009C6925" w:rsidRDefault="00EA2DF5" w:rsidP="00EA2DF5">
      <w:pPr>
        <w:spacing w:after="0" w:line="360" w:lineRule="auto"/>
        <w:ind w:right="-28"/>
        <w:rPr>
          <w:color w:val="auto"/>
        </w:rPr>
      </w:pPr>
      <w:r w:rsidRPr="009C6925">
        <w:rPr>
          <w:color w:val="auto"/>
        </w:rPr>
        <w:t>En respuesta, el Sujeto Obligado</w:t>
      </w:r>
      <w:r w:rsidR="007B4414" w:rsidRPr="009C6925">
        <w:rPr>
          <w:color w:val="auto"/>
        </w:rPr>
        <w:t xml:space="preserve"> a través de </w:t>
      </w:r>
      <w:r w:rsidR="003C11B3" w:rsidRPr="009C6925">
        <w:rPr>
          <w:color w:val="auto"/>
        </w:rPr>
        <w:t>la Directora</w:t>
      </w:r>
      <w:r w:rsidR="007B4414" w:rsidRPr="009C6925">
        <w:rPr>
          <w:color w:val="auto"/>
        </w:rPr>
        <w:t xml:space="preserve"> de Administración</w:t>
      </w:r>
      <w:r w:rsidRPr="009C6925">
        <w:rPr>
          <w:color w:val="auto"/>
        </w:rPr>
        <w:t xml:space="preserve"> </w:t>
      </w:r>
      <w:r w:rsidR="0002290C" w:rsidRPr="009C6925">
        <w:rPr>
          <w:color w:val="auto"/>
        </w:rPr>
        <w:t>refirió que la información se encuentra disponible en las oficinas de Recursos Humanos para su consulta, en un horario de las nueve a las diecisiete horas de lunes a viernes</w:t>
      </w:r>
      <w:r w:rsidRPr="009C6925">
        <w:rPr>
          <w:color w:val="auto"/>
        </w:rPr>
        <w:t xml:space="preserve">; ante dicha respuesta por parte del Ente Recurrido, el Particular, se inconformó de la entrega de información en una </w:t>
      </w:r>
      <w:r w:rsidRPr="009C6925">
        <w:rPr>
          <w:color w:val="auto"/>
        </w:rPr>
        <w:lastRenderedPageBreak/>
        <w:t xml:space="preserve">modalidad distinta a la solicitada, lo cual actualiza el supuesto previsto en el artículo 179, fracción VIII, de la Ley de Transparencia y Acceso a la Información Pública del Estado de México y Municipios.  Así las cosas, una vez admitido y notificado el Recurso de Revisión a las partes, estas fueron omisas en manifestarse.  </w:t>
      </w:r>
    </w:p>
    <w:p w14:paraId="640CB107" w14:textId="77777777" w:rsidR="0002290C" w:rsidRPr="009C6925" w:rsidRDefault="0002290C" w:rsidP="00EA2DF5">
      <w:pPr>
        <w:spacing w:after="0" w:line="360" w:lineRule="auto"/>
        <w:ind w:right="-28"/>
        <w:rPr>
          <w:color w:val="auto"/>
        </w:rPr>
      </w:pPr>
    </w:p>
    <w:p w14:paraId="55F04E0E" w14:textId="30DB97BA" w:rsidR="0002290C" w:rsidRPr="009C6925" w:rsidRDefault="0002290C" w:rsidP="00EA2DF5">
      <w:pPr>
        <w:spacing w:after="0" w:line="360" w:lineRule="auto"/>
        <w:ind w:right="-28"/>
        <w:rPr>
          <w:color w:val="auto"/>
        </w:rPr>
      </w:pPr>
      <w:r w:rsidRPr="009C6925">
        <w:rPr>
          <w:color w:val="auto"/>
        </w:rPr>
        <w:t xml:space="preserve">Posteriormente se realizó un Requerimiento de información adicional </w:t>
      </w:r>
      <w:r w:rsidRPr="009C6925">
        <w:t>con el objeto de contar con los elementos necesarios para la elaboración del proyecto de resolución correspondiente, sin embargo, el Sujeto Obligado fue omiso en manifestar pronunciamiento alguno al respecto.</w:t>
      </w:r>
    </w:p>
    <w:p w14:paraId="14971FAF" w14:textId="77777777" w:rsidR="00EA2DF5" w:rsidRPr="009C6925" w:rsidRDefault="00EA2DF5" w:rsidP="00EA2DF5">
      <w:pPr>
        <w:spacing w:after="0" w:line="360" w:lineRule="auto"/>
        <w:rPr>
          <w:color w:val="FF0000"/>
        </w:rPr>
      </w:pPr>
    </w:p>
    <w:p w14:paraId="04A74ACE" w14:textId="000646CB" w:rsidR="00EA2DF5" w:rsidRPr="009C6925" w:rsidRDefault="00EA2DF5" w:rsidP="00EA2DF5">
      <w:pPr>
        <w:tabs>
          <w:tab w:val="left" w:pos="4962"/>
        </w:tabs>
        <w:spacing w:after="0" w:line="360" w:lineRule="auto"/>
        <w:rPr>
          <w:color w:val="auto"/>
        </w:rPr>
      </w:pPr>
      <w:r w:rsidRPr="009C6925">
        <w:rPr>
          <w:color w:val="auto"/>
        </w:rPr>
        <w:t>Lo anterior, se desprende de las documentales que obran en el expediente de referencia, materia de la presente resolución, consistente en: la solicitud de acceso a la información, la respuesta</w:t>
      </w:r>
      <w:r w:rsidR="00245C91" w:rsidRPr="009C6925">
        <w:rPr>
          <w:color w:val="auto"/>
        </w:rPr>
        <w:t xml:space="preserve">, </w:t>
      </w:r>
      <w:r w:rsidRPr="009C6925">
        <w:rPr>
          <w:color w:val="auto"/>
        </w:rPr>
        <w:t>el escrito recursal</w:t>
      </w:r>
      <w:r w:rsidR="00245C91" w:rsidRPr="009C6925">
        <w:rPr>
          <w:color w:val="auto"/>
        </w:rPr>
        <w:t xml:space="preserve"> y el requerimiento de información adicional</w:t>
      </w:r>
      <w:r w:rsidRPr="009C6925">
        <w:rPr>
          <w:color w:val="auto"/>
        </w:rPr>
        <w:t>; 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9C6925" w:rsidRDefault="00DB3DC5" w:rsidP="0008269D">
      <w:pPr>
        <w:autoSpaceDE w:val="0"/>
        <w:autoSpaceDN w:val="0"/>
        <w:adjustRightInd w:val="0"/>
        <w:spacing w:after="0" w:line="360" w:lineRule="auto"/>
        <w:contextualSpacing/>
        <w:rPr>
          <w:rFonts w:eastAsia="Times New Roman" w:cs="Tahoma"/>
          <w:b/>
          <w:bCs/>
          <w:iCs/>
          <w:color w:val="FF0000"/>
          <w:lang w:val="es-ES" w:eastAsia="es-ES"/>
        </w:rPr>
      </w:pPr>
    </w:p>
    <w:p w14:paraId="6818EF86" w14:textId="21018A3F" w:rsidR="00DB3DC5" w:rsidRPr="009C6925" w:rsidRDefault="00DB3DC5" w:rsidP="0008269D">
      <w:pPr>
        <w:spacing w:after="0" w:line="360" w:lineRule="auto"/>
        <w:contextualSpacing/>
        <w:rPr>
          <w:rFonts w:eastAsia="Times New Roman" w:cs="Tahoma"/>
          <w:b/>
          <w:bCs/>
          <w:iCs/>
          <w:color w:val="auto"/>
          <w:lang w:eastAsia="es-ES"/>
        </w:rPr>
      </w:pPr>
      <w:r w:rsidRPr="009C6925">
        <w:rPr>
          <w:rFonts w:eastAsia="Times New Roman" w:cs="Tahoma"/>
          <w:b/>
          <w:bCs/>
          <w:iCs/>
          <w:color w:val="auto"/>
          <w:lang w:val="es-ES" w:eastAsia="es-ES"/>
        </w:rPr>
        <w:t xml:space="preserve">CUARTO. </w:t>
      </w:r>
      <w:r w:rsidRPr="009C6925">
        <w:rPr>
          <w:rFonts w:eastAsia="Times New Roman" w:cs="Tahoma"/>
          <w:b/>
          <w:bCs/>
          <w:iCs/>
          <w:color w:val="auto"/>
          <w:lang w:eastAsia="es-ES"/>
        </w:rPr>
        <w:t xml:space="preserve">Marco normativo aplicable en materia de transparencia y </w:t>
      </w:r>
      <w:r w:rsidR="00FC3F8B" w:rsidRPr="009C6925">
        <w:rPr>
          <w:rFonts w:eastAsia="Times New Roman" w:cs="Tahoma"/>
          <w:b/>
          <w:bCs/>
          <w:iCs/>
          <w:color w:val="auto"/>
          <w:lang w:eastAsia="es-ES"/>
        </w:rPr>
        <w:t>acceso a la información pública</w:t>
      </w:r>
    </w:p>
    <w:p w14:paraId="1FA9DF31" w14:textId="77777777" w:rsidR="00DB3DC5" w:rsidRPr="009C6925" w:rsidRDefault="00DB3DC5" w:rsidP="0008269D">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9C6925" w:rsidRDefault="00DB3DC5" w:rsidP="0008269D">
      <w:pPr>
        <w:spacing w:after="0" w:line="360" w:lineRule="auto"/>
        <w:contextualSpacing/>
        <w:rPr>
          <w:rFonts w:eastAsia="Times New Roman" w:cs="Tahoma"/>
          <w:bCs/>
          <w:iCs/>
          <w:color w:val="auto"/>
          <w:lang w:eastAsia="es-ES"/>
        </w:rPr>
      </w:pPr>
      <w:r w:rsidRPr="009C6925">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9C6925" w:rsidRDefault="00DB3DC5" w:rsidP="0008269D">
      <w:pPr>
        <w:spacing w:after="0" w:line="360" w:lineRule="auto"/>
        <w:contextualSpacing/>
        <w:rPr>
          <w:rFonts w:eastAsia="Times New Roman" w:cs="Tahoma"/>
          <w:bCs/>
          <w:iCs/>
          <w:color w:val="auto"/>
          <w:lang w:eastAsia="es-ES"/>
        </w:rPr>
      </w:pPr>
    </w:p>
    <w:p w14:paraId="6A58FB7E" w14:textId="77777777" w:rsidR="00DB3DC5" w:rsidRPr="009C6925" w:rsidRDefault="00DB3DC5" w:rsidP="0008269D">
      <w:pPr>
        <w:spacing w:after="0" w:line="360" w:lineRule="auto"/>
        <w:contextualSpacing/>
        <w:rPr>
          <w:rFonts w:eastAsia="Times New Roman" w:cs="Tahoma"/>
          <w:bCs/>
          <w:iCs/>
          <w:color w:val="auto"/>
          <w:lang w:eastAsia="es-ES"/>
        </w:rPr>
      </w:pPr>
      <w:r w:rsidRPr="009C6925">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9C6925" w:rsidRDefault="00DB3DC5" w:rsidP="0008269D">
      <w:pPr>
        <w:spacing w:after="0" w:line="360" w:lineRule="auto"/>
        <w:contextualSpacing/>
        <w:rPr>
          <w:rFonts w:eastAsia="Times New Roman" w:cs="Tahoma"/>
          <w:bCs/>
          <w:iCs/>
          <w:color w:val="auto"/>
          <w:lang w:eastAsia="es-ES"/>
        </w:rPr>
      </w:pPr>
    </w:p>
    <w:p w14:paraId="23374816" w14:textId="77777777" w:rsidR="00DB3DC5" w:rsidRPr="009C6925" w:rsidRDefault="00DB3DC5" w:rsidP="0008269D">
      <w:pPr>
        <w:spacing w:after="0" w:line="360" w:lineRule="auto"/>
        <w:contextualSpacing/>
        <w:rPr>
          <w:rFonts w:eastAsia="Times New Roman" w:cs="Tahoma"/>
          <w:bCs/>
          <w:iCs/>
          <w:color w:val="auto"/>
          <w:lang w:eastAsia="es-ES"/>
        </w:rPr>
      </w:pPr>
      <w:r w:rsidRPr="009C6925">
        <w:rPr>
          <w:rFonts w:eastAsia="Times New Roman" w:cs="Tahoma"/>
          <w:bCs/>
          <w:iCs/>
          <w:color w:val="auto"/>
          <w:lang w:eastAsia="es-ES"/>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9C6925" w:rsidRDefault="00DB3DC5" w:rsidP="0008269D">
      <w:pPr>
        <w:spacing w:after="0" w:line="360" w:lineRule="auto"/>
        <w:contextualSpacing/>
        <w:rPr>
          <w:rFonts w:eastAsia="Times New Roman" w:cs="Tahoma"/>
          <w:bCs/>
          <w:iCs/>
          <w:color w:val="auto"/>
          <w:lang w:eastAsia="es-ES"/>
        </w:rPr>
      </w:pPr>
    </w:p>
    <w:p w14:paraId="015A559C" w14:textId="77777777" w:rsidR="00DB3DC5" w:rsidRPr="009C6925" w:rsidRDefault="00DB3DC5" w:rsidP="0008269D">
      <w:pPr>
        <w:spacing w:after="0" w:line="360" w:lineRule="auto"/>
        <w:contextualSpacing/>
        <w:rPr>
          <w:rFonts w:eastAsia="Times New Roman" w:cs="Tahoma"/>
          <w:bCs/>
          <w:iCs/>
          <w:color w:val="auto"/>
          <w:lang w:eastAsia="es-ES"/>
        </w:rPr>
      </w:pPr>
      <w:r w:rsidRPr="009C6925">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9C6925" w:rsidRDefault="00DB3DC5" w:rsidP="0008269D">
      <w:pPr>
        <w:spacing w:after="0" w:line="360" w:lineRule="auto"/>
        <w:contextualSpacing/>
        <w:rPr>
          <w:rFonts w:eastAsia="Times New Roman" w:cs="Tahoma"/>
          <w:bCs/>
          <w:iCs/>
          <w:color w:val="auto"/>
          <w:lang w:eastAsia="es-ES"/>
        </w:rPr>
      </w:pPr>
    </w:p>
    <w:p w14:paraId="269C520F" w14:textId="03AF8747" w:rsidR="00DB3DC5" w:rsidRPr="009C6925" w:rsidRDefault="00DB3DC5" w:rsidP="0008269D">
      <w:pPr>
        <w:spacing w:after="0" w:line="360" w:lineRule="auto"/>
        <w:contextualSpacing/>
        <w:rPr>
          <w:rFonts w:eastAsia="Times New Roman" w:cs="Tahoma"/>
          <w:bCs/>
          <w:iCs/>
          <w:color w:val="auto"/>
          <w:lang w:eastAsia="es-ES"/>
        </w:rPr>
      </w:pPr>
      <w:r w:rsidRPr="009C6925">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9C6925" w:rsidRDefault="00DE3357" w:rsidP="0008269D">
      <w:pPr>
        <w:spacing w:after="0" w:line="360" w:lineRule="auto"/>
        <w:contextualSpacing/>
        <w:rPr>
          <w:rFonts w:eastAsia="Times New Roman" w:cs="Tahoma"/>
          <w:bCs/>
          <w:iCs/>
          <w:color w:val="auto"/>
          <w:lang w:eastAsia="es-ES"/>
        </w:rPr>
      </w:pPr>
    </w:p>
    <w:p w14:paraId="456513D3" w14:textId="77777777" w:rsidR="00F60F23" w:rsidRPr="009C6925" w:rsidRDefault="00F60F23" w:rsidP="0008269D">
      <w:pPr>
        <w:spacing w:after="0" w:line="360" w:lineRule="auto"/>
        <w:contextualSpacing/>
        <w:rPr>
          <w:rFonts w:eastAsia="Times New Roman" w:cs="Tahoma"/>
          <w:bCs/>
          <w:iCs/>
          <w:color w:val="auto"/>
          <w:lang w:eastAsia="es-ES"/>
        </w:rPr>
      </w:pPr>
    </w:p>
    <w:p w14:paraId="5604CF35" w14:textId="77777777" w:rsidR="00DB3DC5" w:rsidRPr="009C6925" w:rsidRDefault="00DB3DC5" w:rsidP="0008269D">
      <w:pPr>
        <w:widowControl w:val="0"/>
        <w:spacing w:after="0" w:line="360" w:lineRule="auto"/>
        <w:contextualSpacing/>
        <w:rPr>
          <w:rFonts w:eastAsia="Times New Roman" w:cs="Tahoma"/>
          <w:bCs/>
          <w:iCs/>
          <w:color w:val="auto"/>
          <w:lang w:eastAsia="es-ES"/>
        </w:rPr>
      </w:pPr>
      <w:r w:rsidRPr="009C6925">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9C6925" w:rsidRDefault="00DB3DC5" w:rsidP="0008269D">
      <w:pPr>
        <w:spacing w:after="0" w:line="360" w:lineRule="auto"/>
        <w:contextualSpacing/>
        <w:rPr>
          <w:rFonts w:eastAsia="Times New Roman" w:cs="Tahoma"/>
          <w:bCs/>
          <w:iCs/>
          <w:color w:val="auto"/>
          <w:lang w:eastAsia="es-ES"/>
        </w:rPr>
      </w:pPr>
    </w:p>
    <w:p w14:paraId="0FF7C948" w14:textId="77777777" w:rsidR="00DB3DC5" w:rsidRPr="009C6925" w:rsidRDefault="00DB3DC5" w:rsidP="0008269D">
      <w:pPr>
        <w:spacing w:after="0" w:line="360" w:lineRule="auto"/>
        <w:contextualSpacing/>
        <w:rPr>
          <w:rFonts w:eastAsia="Times New Roman" w:cs="Tahoma"/>
          <w:bCs/>
          <w:iCs/>
          <w:color w:val="auto"/>
          <w:lang w:eastAsia="es-ES"/>
        </w:rPr>
      </w:pPr>
      <w:r w:rsidRPr="009C6925">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39D681" w14:textId="77777777" w:rsidR="001E4F7C" w:rsidRPr="009C6925" w:rsidRDefault="001E4F7C" w:rsidP="0008269D">
      <w:pPr>
        <w:spacing w:after="0" w:line="360" w:lineRule="auto"/>
        <w:contextualSpacing/>
        <w:rPr>
          <w:rFonts w:eastAsia="Times New Roman" w:cs="Tahoma"/>
          <w:bCs/>
          <w:iCs/>
          <w:color w:val="auto"/>
          <w:lang w:eastAsia="es-ES"/>
        </w:rPr>
      </w:pPr>
    </w:p>
    <w:p w14:paraId="3EB23114" w14:textId="51F4230C" w:rsidR="00DB3DC5" w:rsidRPr="009C6925" w:rsidRDefault="00FC3F8B" w:rsidP="0008269D">
      <w:pPr>
        <w:spacing w:after="0" w:line="360" w:lineRule="auto"/>
        <w:contextualSpacing/>
        <w:rPr>
          <w:rFonts w:eastAsia="Times New Roman" w:cs="Tahoma"/>
          <w:b/>
          <w:bCs/>
          <w:iCs/>
          <w:color w:val="auto"/>
          <w:lang w:val="es-ES" w:eastAsia="es-ES"/>
        </w:rPr>
      </w:pPr>
      <w:r w:rsidRPr="009C6925">
        <w:rPr>
          <w:rFonts w:eastAsia="Times New Roman" w:cs="Tahoma"/>
          <w:b/>
          <w:bCs/>
          <w:iCs/>
          <w:color w:val="auto"/>
          <w:lang w:val="es-ES" w:eastAsia="es-ES"/>
        </w:rPr>
        <w:t>QUINTO. Estudio de Fondo</w:t>
      </w:r>
    </w:p>
    <w:p w14:paraId="5511A115" w14:textId="77777777" w:rsidR="00DB3DC5" w:rsidRPr="009C6925" w:rsidRDefault="00DB3DC5" w:rsidP="0008269D">
      <w:pPr>
        <w:spacing w:after="0" w:line="360" w:lineRule="auto"/>
        <w:contextualSpacing/>
        <w:rPr>
          <w:rFonts w:eastAsia="Times New Roman" w:cs="Tahoma"/>
          <w:b/>
          <w:bCs/>
          <w:iCs/>
          <w:color w:val="FF0000"/>
          <w:lang w:val="es-ES" w:eastAsia="es-ES"/>
        </w:rPr>
      </w:pPr>
    </w:p>
    <w:p w14:paraId="62C8FEE8" w14:textId="53DA1968" w:rsidR="001F3934" w:rsidRPr="009C6925" w:rsidRDefault="001F3934" w:rsidP="0052716B">
      <w:pPr>
        <w:autoSpaceDE w:val="0"/>
        <w:autoSpaceDN w:val="0"/>
        <w:adjustRightInd w:val="0"/>
        <w:spacing w:after="0" w:line="360" w:lineRule="auto"/>
        <w:contextualSpacing/>
        <w:rPr>
          <w:rFonts w:eastAsia="Times New Roman" w:cs="Times New Roman"/>
          <w:color w:val="auto"/>
          <w:lang w:eastAsia="es-ES"/>
        </w:rPr>
      </w:pPr>
      <w:r w:rsidRPr="009C6925">
        <w:rPr>
          <w:rFonts w:eastAsia="Times New Roman" w:cs="Tahoma"/>
          <w:bCs/>
          <w:iCs/>
          <w:color w:val="auto"/>
          <w:lang w:eastAsia="es-ES"/>
        </w:rPr>
        <w:t xml:space="preserve">Expuestas las posturas de las partes, se procede al análisis del agravio hecho valer por el Recurrente, concerniente </w:t>
      </w:r>
      <w:r w:rsidRPr="009C6925">
        <w:rPr>
          <w:rFonts w:eastAsia="Times New Roman" w:cs="Tahoma"/>
          <w:color w:val="auto"/>
        </w:rPr>
        <w:t>a l</w:t>
      </w:r>
      <w:r w:rsidR="00820107" w:rsidRPr="009C6925">
        <w:rPr>
          <w:rFonts w:eastAsia="Times New Roman" w:cs="Tahoma"/>
          <w:color w:val="auto"/>
        </w:rPr>
        <w:t>a</w:t>
      </w:r>
      <w:r w:rsidR="001E4F7C" w:rsidRPr="009C6925">
        <w:rPr>
          <w:rFonts w:eastAsia="Times New Roman" w:cs="Tahoma"/>
          <w:color w:val="auto"/>
        </w:rPr>
        <w:t xml:space="preserve"> declaración de inexistencia de la información y a la</w:t>
      </w:r>
      <w:r w:rsidR="00820107" w:rsidRPr="009C6925">
        <w:rPr>
          <w:rFonts w:eastAsia="Times New Roman" w:cs="Tahoma"/>
          <w:color w:val="auto"/>
        </w:rPr>
        <w:t xml:space="preserve"> entrega de </w:t>
      </w:r>
      <w:r w:rsidR="00820107" w:rsidRPr="009C6925">
        <w:rPr>
          <w:rFonts w:eastAsia="Times New Roman" w:cs="Tahoma"/>
          <w:color w:val="auto"/>
        </w:rPr>
        <w:lastRenderedPageBreak/>
        <w:t>información</w:t>
      </w:r>
      <w:r w:rsidR="00C642F5" w:rsidRPr="009C6925">
        <w:rPr>
          <w:rFonts w:eastAsia="Times New Roman" w:cs="Tahoma"/>
          <w:color w:val="auto"/>
        </w:rPr>
        <w:t xml:space="preserve"> incompleta</w:t>
      </w:r>
      <w:r w:rsidRPr="009C6925">
        <w:rPr>
          <w:rFonts w:eastAsia="Times New Roman" w:cs="Times New Roman"/>
          <w:color w:val="auto"/>
          <w:lang w:eastAsia="es-ES"/>
        </w:rPr>
        <w:t>, para lo cual, en principio es necesario contextualizar la solicitud de información.</w:t>
      </w:r>
      <w:r w:rsidR="00C642F5" w:rsidRPr="009C6925">
        <w:rPr>
          <w:rFonts w:eastAsia="Times New Roman" w:cs="Times New Roman"/>
          <w:color w:val="auto"/>
          <w:lang w:eastAsia="es-ES"/>
        </w:rPr>
        <w:t xml:space="preserve"> </w:t>
      </w:r>
    </w:p>
    <w:p w14:paraId="44BD95D7" w14:textId="77777777" w:rsidR="00042031" w:rsidRPr="009C6925" w:rsidRDefault="00042031" w:rsidP="0008269D">
      <w:pPr>
        <w:widowControl w:val="0"/>
        <w:autoSpaceDE w:val="0"/>
        <w:autoSpaceDN w:val="0"/>
        <w:adjustRightInd w:val="0"/>
        <w:spacing w:after="0" w:line="360" w:lineRule="auto"/>
        <w:contextualSpacing/>
        <w:rPr>
          <w:rFonts w:eastAsia="Times New Roman" w:cs="Times New Roman"/>
          <w:color w:val="auto"/>
          <w:lang w:eastAsia="es-ES"/>
        </w:rPr>
      </w:pPr>
    </w:p>
    <w:p w14:paraId="70934E53" w14:textId="77777777" w:rsidR="00042031" w:rsidRPr="009C6925" w:rsidRDefault="00042031" w:rsidP="00042031">
      <w:pPr>
        <w:widowControl w:val="0"/>
        <w:spacing w:after="0" w:line="360" w:lineRule="auto"/>
        <w:rPr>
          <w:color w:val="auto"/>
        </w:rPr>
      </w:pPr>
      <w:r w:rsidRPr="009C6925">
        <w:rPr>
          <w:color w:val="auto"/>
        </w:rPr>
        <w:t>Expuestas las posturas de las partes, se procede al análisis de los agravios hechos valer por el Recurrente, concerniente a la entrega de información en una modalidad distinta a la solicitada, para lo cual, es necesario contextualizar la solicitud de información.</w:t>
      </w:r>
    </w:p>
    <w:p w14:paraId="382A22B0" w14:textId="77777777" w:rsidR="00042031" w:rsidRPr="009C6925" w:rsidRDefault="00042031" w:rsidP="0008269D">
      <w:pPr>
        <w:widowControl w:val="0"/>
        <w:autoSpaceDE w:val="0"/>
        <w:autoSpaceDN w:val="0"/>
        <w:adjustRightInd w:val="0"/>
        <w:spacing w:after="0" w:line="360" w:lineRule="auto"/>
        <w:contextualSpacing/>
        <w:rPr>
          <w:rFonts w:eastAsia="Times New Roman" w:cs="Times New Roman"/>
          <w:color w:val="FF0000"/>
          <w:lang w:eastAsia="es-ES"/>
        </w:rPr>
      </w:pPr>
    </w:p>
    <w:p w14:paraId="43817BA6" w14:textId="0937BCAA" w:rsidR="00042031" w:rsidRPr="009C6925" w:rsidRDefault="003E405E" w:rsidP="0008269D">
      <w:pPr>
        <w:widowControl w:val="0"/>
        <w:autoSpaceDE w:val="0"/>
        <w:autoSpaceDN w:val="0"/>
        <w:adjustRightInd w:val="0"/>
        <w:spacing w:after="0" w:line="360" w:lineRule="auto"/>
        <w:contextualSpacing/>
        <w:rPr>
          <w:rFonts w:eastAsia="Times New Roman" w:cs="Times New Roman"/>
          <w:color w:val="FF0000"/>
          <w:lang w:eastAsia="es-ES"/>
        </w:rPr>
      </w:pPr>
      <w:r w:rsidRPr="009C6925">
        <w:t xml:space="preserve">Sobre el tema, López Olvera, Miguel Alejandro </w:t>
      </w:r>
      <w:proofErr w:type="spellStart"/>
      <w:r w:rsidRPr="009C6925">
        <w:t>Cancino</w:t>
      </w:r>
      <w:proofErr w:type="spellEnd"/>
      <w:r w:rsidRPr="009C6925">
        <w:t xml:space="preserve"> Gómez, Rodolfo. (2020). “La Contratación Pública y el Sistema Nacional Anticorrupción”. (p. 4) la </w:t>
      </w:r>
      <w:r w:rsidRPr="009C6925">
        <w:rPr>
          <w:b/>
        </w:rPr>
        <w:t>contratación pública,</w:t>
      </w:r>
      <w:r w:rsidRPr="009C6925">
        <w:t xml:space="preserve"> es el procedimiento de carácter administrativo, por medio del cual, un ente público selecciona y posteriormente, celebra un acuerdo de voluntades, con una persona física o jurídica colectiva, para que ésta, </w:t>
      </w:r>
      <w:r w:rsidRPr="009C6925">
        <w:rPr>
          <w:b/>
        </w:rPr>
        <w:t>preste algún servicio público</w:t>
      </w:r>
      <w:r w:rsidRPr="009C6925">
        <w:t xml:space="preserve"> o lleve a cabo la ejecución de una obra pública, con recursos públicos del Estado y en beneficio de la colectividad.</w:t>
      </w:r>
    </w:p>
    <w:p w14:paraId="5971749B" w14:textId="77777777" w:rsidR="00042031" w:rsidRPr="009C6925" w:rsidRDefault="00042031" w:rsidP="0008269D">
      <w:pPr>
        <w:widowControl w:val="0"/>
        <w:autoSpaceDE w:val="0"/>
        <w:autoSpaceDN w:val="0"/>
        <w:adjustRightInd w:val="0"/>
        <w:spacing w:after="0" w:line="360" w:lineRule="auto"/>
        <w:contextualSpacing/>
        <w:rPr>
          <w:rFonts w:eastAsia="Times New Roman" w:cs="Times New Roman"/>
          <w:color w:val="FF0000"/>
          <w:lang w:eastAsia="es-ES"/>
        </w:rPr>
      </w:pPr>
    </w:p>
    <w:p w14:paraId="02CBD649" w14:textId="738EDFAC" w:rsidR="00645D49" w:rsidRPr="009C6925" w:rsidRDefault="00645D49" w:rsidP="0008269D">
      <w:pPr>
        <w:widowControl w:val="0"/>
        <w:autoSpaceDE w:val="0"/>
        <w:autoSpaceDN w:val="0"/>
        <w:adjustRightInd w:val="0"/>
        <w:spacing w:after="0" w:line="360" w:lineRule="auto"/>
        <w:contextualSpacing/>
      </w:pPr>
      <w:r w:rsidRPr="009C6925">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w:t>
      </w:r>
      <w:r w:rsidRPr="009C6925">
        <w:rPr>
          <w:b/>
        </w:rPr>
        <w:t>la contratación de servicios</w:t>
      </w:r>
      <w:r w:rsidRPr="009C6925">
        <w:t xml:space="preserve"> de cualquier naturaleza.</w:t>
      </w:r>
    </w:p>
    <w:p w14:paraId="4B27BA53" w14:textId="77777777" w:rsidR="00645D49" w:rsidRPr="009C6925" w:rsidRDefault="00645D49" w:rsidP="0008269D">
      <w:pPr>
        <w:widowControl w:val="0"/>
        <w:autoSpaceDE w:val="0"/>
        <w:autoSpaceDN w:val="0"/>
        <w:adjustRightInd w:val="0"/>
        <w:spacing w:after="0" w:line="360" w:lineRule="auto"/>
        <w:contextualSpacing/>
      </w:pPr>
    </w:p>
    <w:p w14:paraId="4E23F145" w14:textId="46288868" w:rsidR="00645D49" w:rsidRDefault="00645D49" w:rsidP="0008269D">
      <w:pPr>
        <w:widowControl w:val="0"/>
        <w:autoSpaceDE w:val="0"/>
        <w:autoSpaceDN w:val="0"/>
        <w:adjustRightInd w:val="0"/>
        <w:spacing w:after="0" w:line="360" w:lineRule="auto"/>
        <w:contextualSpacing/>
      </w:pPr>
      <w:r w:rsidRPr="009C6925">
        <w:t xml:space="preserve">En ese contexto, conforme a los artículos 26 y 27 de dicho ordenamiento jurídico, las adquisiciones, arrendamientos y </w:t>
      </w:r>
      <w:r w:rsidRPr="009C6925">
        <w:rPr>
          <w:b/>
        </w:rPr>
        <w:t>servicios,</w:t>
      </w:r>
      <w:r w:rsidRPr="009C6925">
        <w:t xml:space="preserve"> se adjudicarán a través de procedimientos de licitación pública, invitación restringida y adjudicación directa.</w:t>
      </w:r>
    </w:p>
    <w:p w14:paraId="16A9C9BB" w14:textId="77777777" w:rsidR="00731595" w:rsidRPr="009C6925" w:rsidRDefault="00731595" w:rsidP="0008269D">
      <w:pPr>
        <w:widowControl w:val="0"/>
        <w:autoSpaceDE w:val="0"/>
        <w:autoSpaceDN w:val="0"/>
        <w:adjustRightInd w:val="0"/>
        <w:spacing w:after="0" w:line="360" w:lineRule="auto"/>
        <w:contextualSpacing/>
        <w:rPr>
          <w:rFonts w:eastAsia="Times New Roman" w:cs="Times New Roman"/>
          <w:color w:val="FF0000"/>
          <w:lang w:eastAsia="es-ES"/>
        </w:rPr>
      </w:pPr>
    </w:p>
    <w:p w14:paraId="07F58229" w14:textId="487D839B" w:rsidR="001E4F7C" w:rsidRPr="009C6925" w:rsidRDefault="00645D49" w:rsidP="0008269D">
      <w:pPr>
        <w:widowControl w:val="0"/>
        <w:autoSpaceDE w:val="0"/>
        <w:autoSpaceDN w:val="0"/>
        <w:adjustRightInd w:val="0"/>
        <w:spacing w:after="0" w:line="360" w:lineRule="auto"/>
        <w:contextualSpacing/>
      </w:pPr>
      <w:r w:rsidRPr="009C6925">
        <w:t xml:space="preserve">En ese orden de ideas, conforme al artículo 65 de la Ley de Contratación Pública del Estado de México y Municipios, la adjudicación de un procedimiento de </w:t>
      </w:r>
      <w:r w:rsidRPr="009C6925">
        <w:rPr>
          <w:b/>
        </w:rPr>
        <w:t xml:space="preserve">adquisición y arrendamiento de bienes y contratación de servicios se realizará mediante la </w:t>
      </w:r>
      <w:r w:rsidRPr="009C6925">
        <w:rPr>
          <w:b/>
          <w:u w:val="single"/>
        </w:rPr>
        <w:t xml:space="preserve">suscripción </w:t>
      </w:r>
      <w:r w:rsidRPr="009C6925">
        <w:rPr>
          <w:b/>
          <w:u w:val="single"/>
        </w:rPr>
        <w:lastRenderedPageBreak/>
        <w:t>de un contrato,</w:t>
      </w:r>
      <w:r w:rsidRPr="009C6925">
        <w:rPr>
          <w:b/>
        </w:rPr>
        <w:t xml:space="preserve"> </w:t>
      </w:r>
      <w:r w:rsidRPr="009C6925">
        <w:t>entre el Ayuntamiento y la persona a la cual haya ganado el procedimiento respectivo, dentro de los diez días hábiles siguientes a la notificación del fallo.</w:t>
      </w:r>
    </w:p>
    <w:p w14:paraId="122E9EF0" w14:textId="77777777" w:rsidR="00645D49" w:rsidRPr="009C6925" w:rsidRDefault="00645D49" w:rsidP="0008269D">
      <w:pPr>
        <w:widowControl w:val="0"/>
        <w:autoSpaceDE w:val="0"/>
        <w:autoSpaceDN w:val="0"/>
        <w:adjustRightInd w:val="0"/>
        <w:spacing w:after="0" w:line="360" w:lineRule="auto"/>
        <w:contextualSpacing/>
        <w:rPr>
          <w:rFonts w:eastAsia="Times New Roman" w:cs="Times New Roman"/>
          <w:color w:val="FF0000"/>
          <w:lang w:eastAsia="es-ES"/>
        </w:rPr>
      </w:pPr>
    </w:p>
    <w:p w14:paraId="4B4D8B60" w14:textId="0805E3FA" w:rsidR="00CD61E8" w:rsidRPr="009C6925" w:rsidRDefault="00CD61E8" w:rsidP="0008269D">
      <w:pPr>
        <w:widowControl w:val="0"/>
        <w:autoSpaceDE w:val="0"/>
        <w:autoSpaceDN w:val="0"/>
        <w:adjustRightInd w:val="0"/>
        <w:spacing w:after="0" w:line="360" w:lineRule="auto"/>
        <w:contextualSpacing/>
        <w:rPr>
          <w:b/>
        </w:rPr>
      </w:pPr>
      <w:r w:rsidRPr="009C6925">
        <w:rPr>
          <w:rFonts w:eastAsia="Times New Roman" w:cs="Times New Roman"/>
          <w:color w:val="auto"/>
          <w:lang w:eastAsia="es-ES"/>
        </w:rPr>
        <w:t xml:space="preserve">Ahora bien, en relación con la información solicitada </w:t>
      </w:r>
      <w:r w:rsidRPr="009C6925">
        <w:rPr>
          <w:color w:val="auto"/>
        </w:rPr>
        <w:t xml:space="preserve">el Manual para la Planeación, Programación y Presupuesto de Egresos Municipal para el ejercicio fiscal dos mil veintitrés, establece la estructura de codificación del Clasificador por Objeto del Gasto, el cual se conforma por capítulos, subcapítulos, partidas genéricas y específicas, entre las cuales se encuentra la 3600 denominada </w:t>
      </w:r>
      <w:r w:rsidRPr="009C6925">
        <w:rPr>
          <w:b/>
          <w:color w:val="auto"/>
        </w:rPr>
        <w:t>“Servicios de Comunicación Social y Publicidad”,</w:t>
      </w:r>
      <w:r w:rsidRPr="009C6925">
        <w:rPr>
          <w:color w:val="auto"/>
        </w:rPr>
        <w:t xml:space="preserve"> que contiene las asignaciones </w:t>
      </w:r>
      <w:r w:rsidRPr="009C6925">
        <w:rPr>
          <w:b/>
          <w:color w:val="auto"/>
        </w:rPr>
        <w:t>destinadas a cubrir los gastos de realización y difusión de mensajes y campañas para información a la población</w:t>
      </w:r>
      <w:r w:rsidRPr="009C6925">
        <w:rPr>
          <w:b/>
        </w:rPr>
        <w:t xml:space="preserve"> sobre los programas, servicios públicos y el quehacer gubernamental en general, así como, la publicidad y propaganda gubernamental.</w:t>
      </w:r>
    </w:p>
    <w:p w14:paraId="7FEE09F8" w14:textId="77777777" w:rsidR="004C48A7" w:rsidRPr="009C6925" w:rsidRDefault="004C48A7" w:rsidP="0008269D">
      <w:pPr>
        <w:widowControl w:val="0"/>
        <w:autoSpaceDE w:val="0"/>
        <w:autoSpaceDN w:val="0"/>
        <w:adjustRightInd w:val="0"/>
        <w:spacing w:after="0" w:line="360" w:lineRule="auto"/>
        <w:contextualSpacing/>
        <w:rPr>
          <w:rFonts w:eastAsia="Times New Roman" w:cs="Times New Roman"/>
          <w:color w:val="auto"/>
          <w:lang w:eastAsia="es-ES"/>
        </w:rPr>
      </w:pPr>
    </w:p>
    <w:p w14:paraId="3B0A5371" w14:textId="513D2270" w:rsidR="005017EB" w:rsidRPr="009C6925" w:rsidRDefault="00430E74" w:rsidP="005017EB">
      <w:pPr>
        <w:widowControl w:val="0"/>
        <w:spacing w:after="0" w:line="360" w:lineRule="auto"/>
        <w:rPr>
          <w:color w:val="auto"/>
        </w:rPr>
      </w:pPr>
      <w:r w:rsidRPr="009C6925">
        <w:rPr>
          <w:rFonts w:eastAsia="Calibri" w:cs="Times New Roman"/>
          <w:color w:val="000000"/>
          <w:lang w:eastAsia="en-US"/>
          <w14:ligatures w14:val="standardContextual"/>
        </w:rPr>
        <w:t>Así, se logra vislumbrar que la pretensión del ahora Recurrente es obtener,</w:t>
      </w:r>
      <w:r w:rsidR="005017EB" w:rsidRPr="009C6925">
        <w:rPr>
          <w:color w:val="auto"/>
        </w:rPr>
        <w:t xml:space="preserve"> del periodo que comprende del primero de octubre de dos mil veintitrés al dieciocho de abril de dos mil veinticuatro,</w:t>
      </w:r>
      <w:r w:rsidRPr="009C6925">
        <w:rPr>
          <w:rFonts w:eastAsia="Calibri" w:cs="Times New Roman"/>
          <w:color w:val="000000"/>
          <w:lang w:eastAsia="en-US"/>
          <w14:ligatures w14:val="standardContextual"/>
        </w:rPr>
        <w:t xml:space="preserve"> </w:t>
      </w:r>
      <w:r w:rsidR="005017EB" w:rsidRPr="009C6925">
        <w:rPr>
          <w:color w:val="auto"/>
        </w:rPr>
        <w:t>lo siguiente:</w:t>
      </w:r>
    </w:p>
    <w:p w14:paraId="798EFCB8" w14:textId="77777777" w:rsidR="0052716B" w:rsidRPr="009C6925" w:rsidRDefault="0052716B" w:rsidP="005017EB">
      <w:pPr>
        <w:widowControl w:val="0"/>
        <w:spacing w:after="0" w:line="360" w:lineRule="auto"/>
        <w:rPr>
          <w:color w:val="auto"/>
        </w:rPr>
      </w:pPr>
    </w:p>
    <w:p w14:paraId="43856CC7" w14:textId="35F1BAAA" w:rsidR="005017EB" w:rsidRPr="009C6925" w:rsidRDefault="005017EB" w:rsidP="00725F8E">
      <w:pPr>
        <w:pStyle w:val="Prrafodelista"/>
        <w:widowControl w:val="0"/>
        <w:numPr>
          <w:ilvl w:val="0"/>
          <w:numId w:val="3"/>
        </w:numPr>
        <w:spacing w:after="0" w:line="360" w:lineRule="auto"/>
        <w:rPr>
          <w:color w:val="auto"/>
        </w:rPr>
      </w:pPr>
      <w:r w:rsidRPr="009C6925">
        <w:rPr>
          <w:color w:val="auto"/>
        </w:rPr>
        <w:t>Los contratos de publicidad para difundir obras municipales.</w:t>
      </w:r>
    </w:p>
    <w:p w14:paraId="006D0976" w14:textId="77777777" w:rsidR="0052716B" w:rsidRPr="009C6925" w:rsidRDefault="0052716B" w:rsidP="0052716B">
      <w:pPr>
        <w:pStyle w:val="Prrafodelista"/>
        <w:widowControl w:val="0"/>
        <w:spacing w:after="0" w:line="360" w:lineRule="auto"/>
        <w:rPr>
          <w:color w:val="auto"/>
        </w:rPr>
      </w:pPr>
    </w:p>
    <w:p w14:paraId="07899FCC" w14:textId="0224C157" w:rsidR="005017EB" w:rsidRPr="009C6925" w:rsidRDefault="005017EB" w:rsidP="00725F8E">
      <w:pPr>
        <w:pStyle w:val="Prrafodelista"/>
        <w:widowControl w:val="0"/>
        <w:numPr>
          <w:ilvl w:val="0"/>
          <w:numId w:val="3"/>
        </w:numPr>
        <w:spacing w:after="0" w:line="360" w:lineRule="auto"/>
        <w:rPr>
          <w:color w:val="auto"/>
        </w:rPr>
      </w:pPr>
      <w:r w:rsidRPr="009C6925">
        <w:rPr>
          <w:color w:val="auto"/>
        </w:rPr>
        <w:t xml:space="preserve">Los documentos emitidos para realizar la publicidad para difundir obras municipales, en caso de que la propaganda haya sido pintada o instalada por personal que preste servicios al </w:t>
      </w:r>
      <w:r w:rsidR="0052716B" w:rsidRPr="009C6925">
        <w:rPr>
          <w:color w:val="auto"/>
        </w:rPr>
        <w:t>A</w:t>
      </w:r>
      <w:r w:rsidRPr="009C6925">
        <w:rPr>
          <w:color w:val="auto"/>
        </w:rPr>
        <w:t>yuntamiento.</w:t>
      </w:r>
    </w:p>
    <w:p w14:paraId="26E6BFAC" w14:textId="77777777" w:rsidR="00A80795" w:rsidRPr="009C6925" w:rsidRDefault="00A80795" w:rsidP="0008269D">
      <w:pPr>
        <w:widowControl w:val="0"/>
        <w:autoSpaceDE w:val="0"/>
        <w:autoSpaceDN w:val="0"/>
        <w:adjustRightInd w:val="0"/>
        <w:spacing w:after="0" w:line="360" w:lineRule="auto"/>
        <w:contextualSpacing/>
      </w:pPr>
    </w:p>
    <w:p w14:paraId="77251223" w14:textId="6E6B24BC" w:rsidR="006071FB" w:rsidRPr="009C6925" w:rsidRDefault="00A80795" w:rsidP="0052716B">
      <w:pPr>
        <w:autoSpaceDE w:val="0"/>
        <w:autoSpaceDN w:val="0"/>
        <w:adjustRightInd w:val="0"/>
        <w:spacing w:after="0" w:line="360" w:lineRule="auto"/>
        <w:contextualSpacing/>
      </w:pPr>
      <w:r w:rsidRPr="009C6925">
        <w:t>Ahora bien, se procede analizar la información proporcionada por el Sujeto Obligado, para lo cual, cabe señalar que este,</w:t>
      </w:r>
      <w:r w:rsidR="003C11B3" w:rsidRPr="009C6925">
        <w:t xml:space="preserve"> que de la revisión del aparato de requerimientos y de Portal de Información Pública de Oficio Mexiquense, se logra vislumbrar que el Sujeto Obligado</w:t>
      </w:r>
      <w:r w:rsidRPr="009C6925">
        <w:t xml:space="preserve"> turnó la solicitud de</w:t>
      </w:r>
      <w:r w:rsidR="0039543E" w:rsidRPr="009C6925">
        <w:t xml:space="preserve"> información a la</w:t>
      </w:r>
      <w:r w:rsidR="003F46C8" w:rsidRPr="009C6925">
        <w:rPr>
          <w:b/>
        </w:rPr>
        <w:t xml:space="preserve"> Dirección de Administración</w:t>
      </w:r>
      <w:r w:rsidRPr="009C6925">
        <w:t xml:space="preserve">; por lo que, es oportuno hacer </w:t>
      </w:r>
      <w:r w:rsidRPr="009C6925">
        <w:lastRenderedPageBreak/>
        <w:t>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7D53EA4B" w14:textId="77777777" w:rsidR="00A80795" w:rsidRPr="009C6925" w:rsidRDefault="00A80795" w:rsidP="0008269D">
      <w:pPr>
        <w:widowControl w:val="0"/>
        <w:autoSpaceDE w:val="0"/>
        <w:autoSpaceDN w:val="0"/>
        <w:adjustRightInd w:val="0"/>
        <w:spacing w:after="0" w:line="360" w:lineRule="auto"/>
        <w:contextualSpacing/>
      </w:pPr>
    </w:p>
    <w:p w14:paraId="17504406" w14:textId="2B1C090A" w:rsidR="00A80795" w:rsidRPr="009C6925" w:rsidRDefault="0039543E" w:rsidP="00725F8E">
      <w:pPr>
        <w:pStyle w:val="Prrafodelista"/>
        <w:widowControl w:val="0"/>
        <w:numPr>
          <w:ilvl w:val="0"/>
          <w:numId w:val="4"/>
        </w:numPr>
        <w:autoSpaceDE w:val="0"/>
        <w:autoSpaceDN w:val="0"/>
        <w:adjustRightInd w:val="0"/>
        <w:spacing w:after="0" w:line="360" w:lineRule="auto"/>
        <w:rPr>
          <w:rFonts w:eastAsia="Times New Roman" w:cs="Times New Roman"/>
          <w:color w:val="FF0000"/>
          <w:lang w:eastAsia="es-ES"/>
        </w:rPr>
      </w:pPr>
      <w:r w:rsidRPr="009C6925">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71F78DB" w14:textId="77777777" w:rsidR="0039543E" w:rsidRPr="009C6925" w:rsidRDefault="0039543E" w:rsidP="0039543E">
      <w:pPr>
        <w:pStyle w:val="Prrafodelista"/>
        <w:widowControl w:val="0"/>
        <w:autoSpaceDE w:val="0"/>
        <w:autoSpaceDN w:val="0"/>
        <w:adjustRightInd w:val="0"/>
        <w:spacing w:after="0" w:line="360" w:lineRule="auto"/>
        <w:rPr>
          <w:rFonts w:eastAsia="Times New Roman" w:cs="Times New Roman"/>
          <w:color w:val="FF0000"/>
          <w:lang w:eastAsia="es-ES"/>
        </w:rPr>
      </w:pPr>
    </w:p>
    <w:p w14:paraId="27CCFF76" w14:textId="7F56FC71" w:rsidR="0039543E" w:rsidRPr="009C6925" w:rsidRDefault="0039543E" w:rsidP="00725F8E">
      <w:pPr>
        <w:pStyle w:val="Prrafodelista"/>
        <w:widowControl w:val="0"/>
        <w:numPr>
          <w:ilvl w:val="0"/>
          <w:numId w:val="4"/>
        </w:numPr>
        <w:autoSpaceDE w:val="0"/>
        <w:autoSpaceDN w:val="0"/>
        <w:adjustRightInd w:val="0"/>
        <w:spacing w:after="0" w:line="360" w:lineRule="auto"/>
        <w:rPr>
          <w:rFonts w:eastAsia="Times New Roman" w:cs="Times New Roman"/>
          <w:color w:val="FF0000"/>
          <w:lang w:eastAsia="es-ES"/>
        </w:rPr>
      </w:pPr>
      <w:r w:rsidRPr="009C6925">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DFE4C2A" w14:textId="77777777" w:rsidR="00AA0941" w:rsidRPr="009C6925" w:rsidRDefault="00AA0941" w:rsidP="0039543E">
      <w:pPr>
        <w:widowControl w:val="0"/>
        <w:autoSpaceDE w:val="0"/>
        <w:autoSpaceDN w:val="0"/>
        <w:adjustRightInd w:val="0"/>
        <w:spacing w:after="0" w:line="360" w:lineRule="auto"/>
      </w:pPr>
    </w:p>
    <w:p w14:paraId="1D6C4280" w14:textId="6E2E3BC3" w:rsidR="0039543E" w:rsidRPr="009C6925" w:rsidRDefault="00AA0941" w:rsidP="0039543E">
      <w:pPr>
        <w:widowControl w:val="0"/>
        <w:autoSpaceDE w:val="0"/>
        <w:autoSpaceDN w:val="0"/>
        <w:adjustRightInd w:val="0"/>
        <w:spacing w:after="0" w:line="360" w:lineRule="auto"/>
      </w:pPr>
      <w:r w:rsidRPr="009C6925">
        <w:t>Así, a efecto de determinar si el Sujeto Obligado siguió el procedimiento antes descrito, es necesario traer a colación los artículos 159 y 160 del Bando Municipal de Zumpango 2024, en los cuales se establece que la Dirección de Administración es la dependencia responsable de administrar los recursos humanos, materiales, tecnológicos y financieros y de servicios de la estructura administrativa, misma que para su buen funcionamiento se auxiliara de las siguientes dependencias:</w:t>
      </w:r>
    </w:p>
    <w:p w14:paraId="33D5E9EA" w14:textId="77777777" w:rsidR="00AA0941" w:rsidRPr="009C6925" w:rsidRDefault="00AA0941" w:rsidP="0039543E">
      <w:pPr>
        <w:widowControl w:val="0"/>
        <w:autoSpaceDE w:val="0"/>
        <w:autoSpaceDN w:val="0"/>
        <w:adjustRightInd w:val="0"/>
        <w:spacing w:after="0" w:line="360" w:lineRule="auto"/>
      </w:pPr>
    </w:p>
    <w:p w14:paraId="307B73E6" w14:textId="180D3B43" w:rsidR="00AA0941" w:rsidRPr="009C6925" w:rsidRDefault="00AA0941" w:rsidP="00725F8E">
      <w:pPr>
        <w:pStyle w:val="Prrafodelista"/>
        <w:widowControl w:val="0"/>
        <w:numPr>
          <w:ilvl w:val="0"/>
          <w:numId w:val="5"/>
        </w:numPr>
        <w:autoSpaceDE w:val="0"/>
        <w:autoSpaceDN w:val="0"/>
        <w:adjustRightInd w:val="0"/>
        <w:spacing w:after="0" w:line="360" w:lineRule="auto"/>
      </w:pPr>
      <w:r w:rsidRPr="009C6925">
        <w:t>Coordinación de Adquisiciones.</w:t>
      </w:r>
    </w:p>
    <w:p w14:paraId="4EA725FF" w14:textId="3EFD84F9" w:rsidR="00AA0941" w:rsidRPr="009C6925" w:rsidRDefault="00AA0941" w:rsidP="00725F8E">
      <w:pPr>
        <w:pStyle w:val="Prrafodelista"/>
        <w:widowControl w:val="0"/>
        <w:numPr>
          <w:ilvl w:val="0"/>
          <w:numId w:val="5"/>
        </w:numPr>
        <w:autoSpaceDE w:val="0"/>
        <w:autoSpaceDN w:val="0"/>
        <w:adjustRightInd w:val="0"/>
        <w:spacing w:after="0" w:line="360" w:lineRule="auto"/>
      </w:pPr>
      <w:r w:rsidRPr="009C6925">
        <w:t>Coordinación de Recursos Humanos.</w:t>
      </w:r>
    </w:p>
    <w:p w14:paraId="1EE322F2" w14:textId="274771AA" w:rsidR="00AA0941" w:rsidRPr="009C6925" w:rsidRDefault="00AA0941" w:rsidP="00725F8E">
      <w:pPr>
        <w:pStyle w:val="Prrafodelista"/>
        <w:widowControl w:val="0"/>
        <w:numPr>
          <w:ilvl w:val="0"/>
          <w:numId w:val="5"/>
        </w:numPr>
        <w:autoSpaceDE w:val="0"/>
        <w:autoSpaceDN w:val="0"/>
        <w:adjustRightInd w:val="0"/>
        <w:spacing w:after="0" w:line="360" w:lineRule="auto"/>
      </w:pPr>
      <w:r w:rsidRPr="009C6925">
        <w:t>Coordinación del Centro Administrativo Bicentenario.</w:t>
      </w:r>
    </w:p>
    <w:p w14:paraId="0C4F1E71" w14:textId="77777777" w:rsidR="00AA0941" w:rsidRPr="009C6925" w:rsidRDefault="00AA0941" w:rsidP="00725F8E">
      <w:pPr>
        <w:pStyle w:val="Prrafodelista"/>
        <w:widowControl w:val="0"/>
        <w:numPr>
          <w:ilvl w:val="0"/>
          <w:numId w:val="5"/>
        </w:numPr>
        <w:autoSpaceDE w:val="0"/>
        <w:autoSpaceDN w:val="0"/>
        <w:adjustRightInd w:val="0"/>
        <w:spacing w:after="0" w:line="360" w:lineRule="auto"/>
      </w:pPr>
      <w:r w:rsidRPr="009C6925">
        <w:t>Coordinación de Sistemas e Informática.</w:t>
      </w:r>
    </w:p>
    <w:p w14:paraId="406F965F" w14:textId="4D6A909E" w:rsidR="00AA0941" w:rsidRPr="009C6925" w:rsidRDefault="00AA0941" w:rsidP="00725F8E">
      <w:pPr>
        <w:pStyle w:val="Prrafodelista"/>
        <w:widowControl w:val="0"/>
        <w:numPr>
          <w:ilvl w:val="0"/>
          <w:numId w:val="5"/>
        </w:numPr>
        <w:autoSpaceDE w:val="0"/>
        <w:autoSpaceDN w:val="0"/>
        <w:adjustRightInd w:val="0"/>
        <w:spacing w:after="0" w:line="360" w:lineRule="auto"/>
      </w:pPr>
      <w:r w:rsidRPr="009C6925">
        <w:lastRenderedPageBreak/>
        <w:t>Jefatura de Mantenimiento y Control Vehicular.</w:t>
      </w:r>
    </w:p>
    <w:p w14:paraId="7AE06175" w14:textId="7D84C816" w:rsidR="00AA0941" w:rsidRPr="009C6925" w:rsidRDefault="00AA0941" w:rsidP="00725F8E">
      <w:pPr>
        <w:pStyle w:val="Prrafodelista"/>
        <w:widowControl w:val="0"/>
        <w:numPr>
          <w:ilvl w:val="0"/>
          <w:numId w:val="5"/>
        </w:numPr>
        <w:autoSpaceDE w:val="0"/>
        <w:autoSpaceDN w:val="0"/>
        <w:adjustRightInd w:val="0"/>
        <w:spacing w:after="0" w:line="360" w:lineRule="auto"/>
        <w:rPr>
          <w:rFonts w:eastAsia="Times New Roman" w:cs="Times New Roman"/>
          <w:color w:val="auto"/>
          <w:lang w:eastAsia="es-ES"/>
        </w:rPr>
      </w:pPr>
      <w:r w:rsidRPr="009C6925">
        <w:rPr>
          <w:color w:val="auto"/>
        </w:rPr>
        <w:t xml:space="preserve">Jefatura de Servicios Generales e Intendencia. </w:t>
      </w:r>
    </w:p>
    <w:p w14:paraId="7FCC4F9F" w14:textId="77777777" w:rsidR="00AA0941" w:rsidRPr="009C6925" w:rsidRDefault="00AA0941" w:rsidP="00AA0941">
      <w:pPr>
        <w:widowControl w:val="0"/>
        <w:autoSpaceDE w:val="0"/>
        <w:autoSpaceDN w:val="0"/>
        <w:adjustRightInd w:val="0"/>
        <w:spacing w:after="0" w:line="360" w:lineRule="auto"/>
        <w:rPr>
          <w:rFonts w:eastAsia="Times New Roman" w:cs="Times New Roman"/>
          <w:color w:val="FF0000"/>
          <w:lang w:eastAsia="es-ES"/>
        </w:rPr>
      </w:pPr>
    </w:p>
    <w:p w14:paraId="0998D68A" w14:textId="1F7EAAF4" w:rsidR="006A2044" w:rsidRPr="009C6925" w:rsidRDefault="00AA0941" w:rsidP="00AA0941">
      <w:pPr>
        <w:widowControl w:val="0"/>
        <w:autoSpaceDE w:val="0"/>
        <w:autoSpaceDN w:val="0"/>
        <w:adjustRightInd w:val="0"/>
        <w:spacing w:after="0" w:line="360" w:lineRule="auto"/>
        <w:rPr>
          <w:rFonts w:eastAsia="Times New Roman" w:cs="Times New Roman"/>
          <w:color w:val="auto"/>
          <w:lang w:eastAsia="es-ES"/>
        </w:rPr>
      </w:pPr>
      <w:r w:rsidRPr="009C6925">
        <w:rPr>
          <w:rFonts w:eastAsia="Times New Roman" w:cs="Times New Roman"/>
          <w:color w:val="auto"/>
          <w:lang w:eastAsia="es-ES"/>
        </w:rPr>
        <w:t xml:space="preserve">En esa misma consecución de ideas, el artículo 162 del Bando en comento establece que la Coordinación de Adquisiciones, </w:t>
      </w:r>
      <w:r w:rsidR="006A2044" w:rsidRPr="009C6925">
        <w:rPr>
          <w:rFonts w:eastAsia="Times New Roman" w:cs="Times New Roman"/>
          <w:color w:val="auto"/>
          <w:lang w:eastAsia="es-ES"/>
        </w:rPr>
        <w:t>se encargará en conjunto con el comité de adquisiciones de bienes y servicios, de adquirir y contratar bienes y/o servicios que las dependencias de la Administración Pública Municipal requieran para la realización de sus funciones.</w:t>
      </w:r>
      <w:r w:rsidR="00E866E3" w:rsidRPr="009C6925">
        <w:rPr>
          <w:rFonts w:eastAsia="Times New Roman" w:cs="Times New Roman"/>
          <w:color w:val="auto"/>
          <w:lang w:eastAsia="es-ES"/>
        </w:rPr>
        <w:t xml:space="preserve"> </w:t>
      </w:r>
      <w:r w:rsidR="006A2044" w:rsidRPr="009C6925">
        <w:rPr>
          <w:rFonts w:eastAsia="Times New Roman" w:cs="Times New Roman"/>
          <w:color w:val="auto"/>
          <w:lang w:eastAsia="es-ES"/>
        </w:rPr>
        <w:t>Además, dicha coordinación es la encargada de planear con las áreas requirentes los procesos de adquisición y contratación sujetos a licitación en cualquiera de sus modalidades, validarlos y dirigirlos hasta su adjudicación.</w:t>
      </w:r>
    </w:p>
    <w:p w14:paraId="44F5BF99" w14:textId="77777777" w:rsidR="00F56BFE" w:rsidRPr="009C6925" w:rsidRDefault="00F56BFE" w:rsidP="0008269D">
      <w:pPr>
        <w:spacing w:after="0" w:line="360" w:lineRule="auto"/>
        <w:rPr>
          <w:rFonts w:eastAsia="Times New Roman" w:cs="Times New Roman"/>
          <w:color w:val="auto"/>
          <w:lang w:eastAsia="es-ES"/>
        </w:rPr>
      </w:pPr>
    </w:p>
    <w:p w14:paraId="472F311A" w14:textId="71D2F45E" w:rsidR="001C13AE" w:rsidRPr="009C6925" w:rsidRDefault="001C13AE" w:rsidP="0008269D">
      <w:pPr>
        <w:spacing w:after="0" w:line="360" w:lineRule="auto"/>
        <w:rPr>
          <w:rFonts w:eastAsia="Times New Roman" w:cs="Times New Roman"/>
          <w:color w:val="auto"/>
          <w:lang w:eastAsia="es-ES"/>
        </w:rPr>
      </w:pPr>
      <w:r w:rsidRPr="009C6925">
        <w:rPr>
          <w:rFonts w:eastAsia="Calibri" w:cs="Times New Roman"/>
          <w:color w:val="000000"/>
          <w:lang w:eastAsia="en-US"/>
          <w14:ligatures w14:val="standardContextual"/>
        </w:rPr>
        <w:t xml:space="preserve">Por lo cual, se logra colegir que el Sujeto </w:t>
      </w:r>
      <w:r w:rsidR="00135F52" w:rsidRPr="009C6925">
        <w:rPr>
          <w:rFonts w:eastAsia="Calibri" w:cs="Times New Roman"/>
          <w:color w:val="000000"/>
          <w:lang w:eastAsia="en-US"/>
          <w14:ligatures w14:val="standardContextual"/>
        </w:rPr>
        <w:t>Obligado cumplió</w:t>
      </w:r>
      <w:r w:rsidRPr="009C6925">
        <w:rPr>
          <w:rFonts w:eastAsia="Calibri" w:cs="Times New Roman"/>
          <w:color w:val="000000"/>
          <w:lang w:eastAsia="en-US"/>
          <w14:ligatures w14:val="standardContextual"/>
        </w:rPr>
        <w:t xml:space="preserve"> con el procedimiento de búsqueda establecido en el artículo 162 de la Ley de Transparencia y Acceso a la Información Pública del Estado de México y Municipios, </w:t>
      </w:r>
      <w:r w:rsidR="00E06836" w:rsidRPr="009C6925">
        <w:rPr>
          <w:rFonts w:eastAsia="Calibri" w:cs="Times New Roman"/>
          <w:color w:val="000000"/>
          <w:lang w:eastAsia="en-US"/>
          <w14:ligatures w14:val="standardContextual"/>
        </w:rPr>
        <w:t xml:space="preserve">al turnar la solicitud de información al área encargada de </w:t>
      </w:r>
      <w:r w:rsidR="00E06836" w:rsidRPr="009C6925">
        <w:rPr>
          <w:rFonts w:eastAsia="Times New Roman" w:cs="Times New Roman"/>
          <w:color w:val="auto"/>
          <w:lang w:eastAsia="es-ES"/>
        </w:rPr>
        <w:t>los procesos de adquisición y contratación de bienes y servicios.</w:t>
      </w:r>
    </w:p>
    <w:p w14:paraId="57C223C1" w14:textId="77777777" w:rsidR="00F56BFE" w:rsidRPr="009C6925" w:rsidRDefault="00F56BFE" w:rsidP="0008269D">
      <w:pPr>
        <w:spacing w:after="0" w:line="360" w:lineRule="auto"/>
        <w:rPr>
          <w:rFonts w:eastAsia="Times New Roman" w:cs="Times New Roman"/>
          <w:color w:val="auto"/>
          <w:lang w:eastAsia="es-ES"/>
        </w:rPr>
      </w:pPr>
    </w:p>
    <w:p w14:paraId="7F76B524" w14:textId="77777777" w:rsidR="00F56BFE" w:rsidRPr="009C6925" w:rsidRDefault="00F56BFE" w:rsidP="00F56BFE">
      <w:pPr>
        <w:widowControl w:val="0"/>
        <w:autoSpaceDE w:val="0"/>
        <w:autoSpaceDN w:val="0"/>
        <w:adjustRightInd w:val="0"/>
        <w:spacing w:after="0" w:line="360" w:lineRule="auto"/>
        <w:rPr>
          <w:rFonts w:eastAsia="Times New Roman" w:cs="Times New Roman"/>
          <w:color w:val="auto"/>
          <w:lang w:eastAsia="es-ES"/>
        </w:rPr>
      </w:pPr>
      <w:r w:rsidRPr="009C6925">
        <w:rPr>
          <w:rFonts w:eastAsia="Times New Roman" w:cs="Times New Roman"/>
          <w:color w:val="auto"/>
          <w:lang w:eastAsia="es-ES"/>
        </w:rPr>
        <w:t>Hecho que se robustece, pues de las constancias que obran en el expediente, se logra advertir que la solicitud fue turnada a la Servidora Pública Habilitada de la Dirección de Administración quien dio respuesta al Requerimiento informativo, tal como se desprende de la siguiente captura de pantalla:</w:t>
      </w:r>
    </w:p>
    <w:p w14:paraId="3B8734BC" w14:textId="77777777" w:rsidR="003C11B3" w:rsidRPr="009C6925" w:rsidRDefault="003C11B3" w:rsidP="00F56BFE">
      <w:pPr>
        <w:widowControl w:val="0"/>
        <w:autoSpaceDE w:val="0"/>
        <w:autoSpaceDN w:val="0"/>
        <w:adjustRightInd w:val="0"/>
        <w:spacing w:after="0" w:line="360" w:lineRule="auto"/>
        <w:rPr>
          <w:rFonts w:eastAsia="Times New Roman" w:cs="Times New Roman"/>
          <w:color w:val="auto"/>
          <w:lang w:eastAsia="es-ES"/>
        </w:rPr>
      </w:pPr>
    </w:p>
    <w:p w14:paraId="081028C2" w14:textId="77777777" w:rsidR="00F56BFE" w:rsidRPr="009C6925" w:rsidRDefault="00F56BFE" w:rsidP="00F56BFE">
      <w:pPr>
        <w:widowControl w:val="0"/>
        <w:autoSpaceDE w:val="0"/>
        <w:autoSpaceDN w:val="0"/>
        <w:adjustRightInd w:val="0"/>
        <w:spacing w:after="0" w:line="360" w:lineRule="auto"/>
        <w:rPr>
          <w:rFonts w:eastAsia="Times New Roman" w:cs="Times New Roman"/>
          <w:color w:val="auto"/>
          <w:lang w:eastAsia="es-ES"/>
        </w:rPr>
      </w:pPr>
      <w:r w:rsidRPr="009C6925">
        <w:rPr>
          <w:rFonts w:eastAsia="Times New Roman" w:cs="Times New Roman"/>
          <w:noProof/>
          <w:color w:val="auto"/>
        </w:rPr>
        <w:drawing>
          <wp:inline distT="0" distB="0" distL="0" distR="0" wp14:anchorId="2F17B982" wp14:editId="3C346A85">
            <wp:extent cx="5671185" cy="455930"/>
            <wp:effectExtent l="0" t="0" r="5715" b="1270"/>
            <wp:docPr id="35123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3440" name=""/>
                    <pic:cNvPicPr/>
                  </pic:nvPicPr>
                  <pic:blipFill>
                    <a:blip r:embed="rId8"/>
                    <a:stretch>
                      <a:fillRect/>
                    </a:stretch>
                  </pic:blipFill>
                  <pic:spPr>
                    <a:xfrm>
                      <a:off x="0" y="0"/>
                      <a:ext cx="5671185" cy="455930"/>
                    </a:xfrm>
                    <a:prstGeom prst="rect">
                      <a:avLst/>
                    </a:prstGeom>
                  </pic:spPr>
                </pic:pic>
              </a:graphicData>
            </a:graphic>
          </wp:inline>
        </w:drawing>
      </w:r>
    </w:p>
    <w:p w14:paraId="6EF8458F" w14:textId="77777777" w:rsidR="00F56BFE" w:rsidRPr="009C6925" w:rsidRDefault="00F56BFE" w:rsidP="00F56BFE">
      <w:pPr>
        <w:spacing w:after="0" w:line="360" w:lineRule="auto"/>
        <w:rPr>
          <w:rFonts w:eastAsia="Calibri" w:cs="Tahoma"/>
          <w:bCs/>
          <w:color w:val="FF0000"/>
          <w:lang w:val="es-ES"/>
        </w:rPr>
      </w:pPr>
    </w:p>
    <w:p w14:paraId="459169CC" w14:textId="77777777" w:rsidR="00F56BFE" w:rsidRPr="009C6925" w:rsidRDefault="00F56BFE" w:rsidP="00F56BFE">
      <w:pPr>
        <w:spacing w:after="0" w:line="360" w:lineRule="auto"/>
        <w:rPr>
          <w:rFonts w:eastAsia="Calibri" w:cs="Tahoma"/>
          <w:bCs/>
          <w:color w:val="auto"/>
          <w:lang w:val="es-ES"/>
        </w:rPr>
      </w:pPr>
      <w:r w:rsidRPr="009C6925">
        <w:rPr>
          <w:rFonts w:eastAsia="Calibri" w:cs="Tahoma"/>
          <w:bCs/>
          <w:color w:val="auto"/>
          <w:lang w:val="es-ES"/>
        </w:rPr>
        <w:t xml:space="preserve">Ahora bien, en relación con lo anterior, este Sujeto Obligado localizó en el Portal de Información Pública de Oficio Mexiquense (IPOMEX), a través del directorio del Sujeto Obligado </w:t>
      </w:r>
      <w:hyperlink r:id="rId9" w:anchor="/info-fraccion/10/214/22" w:history="1">
        <w:r w:rsidRPr="009C6925">
          <w:rPr>
            <w:rStyle w:val="Hipervnculo"/>
            <w:rFonts w:eastAsia="Calibri" w:cs="Tahoma"/>
            <w:bCs/>
            <w:color w:val="auto"/>
            <w:lang w:val="es-ES"/>
          </w:rPr>
          <w:t>https://infoem2.ipomex.org.mx/ipomex/#/info-fraccion/10/214/22</w:t>
        </w:r>
      </w:hyperlink>
      <w:r w:rsidRPr="009C6925">
        <w:rPr>
          <w:rFonts w:eastAsia="Calibri" w:cs="Tahoma"/>
          <w:bCs/>
          <w:color w:val="auto"/>
          <w:lang w:val="es-ES"/>
        </w:rPr>
        <w:t xml:space="preserve"> que la servidora </w:t>
      </w:r>
      <w:r w:rsidRPr="009C6925">
        <w:rPr>
          <w:rFonts w:eastAsia="Calibri" w:cs="Tahoma"/>
          <w:bCs/>
          <w:color w:val="auto"/>
          <w:lang w:val="es-ES"/>
        </w:rPr>
        <w:lastRenderedPageBreak/>
        <w:t xml:space="preserve">pública Lizbeth Yadira Ruíz Peralta es la Directora de Administración del Sujeto  Obligado, tal como se muestra a continuación: </w:t>
      </w:r>
    </w:p>
    <w:p w14:paraId="769491D8" w14:textId="77777777" w:rsidR="00F56BFE" w:rsidRPr="009C6925" w:rsidRDefault="00F56BFE" w:rsidP="00F56BFE">
      <w:pPr>
        <w:spacing w:after="0" w:line="360" w:lineRule="auto"/>
        <w:rPr>
          <w:rFonts w:eastAsia="Calibri" w:cs="Tahoma"/>
          <w:bCs/>
          <w:color w:val="FF0000"/>
          <w:lang w:val="es-ES"/>
        </w:rPr>
      </w:pPr>
      <w:r w:rsidRPr="009C6925">
        <w:rPr>
          <w:rFonts w:eastAsia="Calibri" w:cs="Tahoma"/>
          <w:bCs/>
          <w:noProof/>
          <w:color w:val="FF0000"/>
        </w:rPr>
        <w:drawing>
          <wp:inline distT="0" distB="0" distL="0" distR="0" wp14:anchorId="41E7564B" wp14:editId="0AACC801">
            <wp:extent cx="5681489" cy="739721"/>
            <wp:effectExtent l="0" t="0" r="0" b="3810"/>
            <wp:docPr id="2802695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6834" cy="750833"/>
                    </a:xfrm>
                    <a:prstGeom prst="rect">
                      <a:avLst/>
                    </a:prstGeom>
                    <a:noFill/>
                  </pic:spPr>
                </pic:pic>
              </a:graphicData>
            </a:graphic>
          </wp:inline>
        </w:drawing>
      </w:r>
    </w:p>
    <w:p w14:paraId="787B9280" w14:textId="77777777" w:rsidR="001C13AE" w:rsidRPr="009C6925" w:rsidRDefault="001C13AE" w:rsidP="0008269D">
      <w:pPr>
        <w:spacing w:after="0" w:line="360" w:lineRule="auto"/>
        <w:rPr>
          <w:rFonts w:eastAsia="Calibri" w:cs="Tahoma"/>
          <w:bCs/>
          <w:color w:val="FF0000"/>
          <w:lang w:val="es-ES"/>
        </w:rPr>
      </w:pPr>
    </w:p>
    <w:p w14:paraId="3CD066C7" w14:textId="50B911F7" w:rsidR="00401FB7" w:rsidRPr="009C6925" w:rsidRDefault="00280E15" w:rsidP="00401FB7">
      <w:pPr>
        <w:spacing w:after="0" w:line="360" w:lineRule="auto"/>
        <w:rPr>
          <w:rFonts w:cs="Tahoma"/>
          <w:color w:val="auto"/>
          <w:lang w:val="es-ES"/>
        </w:rPr>
      </w:pPr>
      <w:r w:rsidRPr="009C6925">
        <w:rPr>
          <w:color w:val="000000"/>
          <w:lang w:eastAsia="en-US"/>
          <w14:ligatures w14:val="standardContextual"/>
        </w:rPr>
        <w:t xml:space="preserve">Ahora bien, en </w:t>
      </w:r>
      <w:r w:rsidR="00393414" w:rsidRPr="009C6925">
        <w:rPr>
          <w:color w:val="000000"/>
          <w:lang w:eastAsia="en-US"/>
          <w14:ligatures w14:val="standardContextual"/>
        </w:rPr>
        <w:t>respuesta, el</w:t>
      </w:r>
      <w:r w:rsidR="00135F52" w:rsidRPr="009C6925">
        <w:rPr>
          <w:color w:val="000000"/>
          <w:lang w:eastAsia="en-US"/>
          <w14:ligatures w14:val="standardContextual"/>
        </w:rPr>
        <w:t xml:space="preserve"> Sujeto Obligado</w:t>
      </w:r>
      <w:r w:rsidRPr="009C6925">
        <w:rPr>
          <w:color w:val="000000"/>
          <w:lang w:eastAsia="en-US"/>
          <w14:ligatures w14:val="standardContextual"/>
        </w:rPr>
        <w:t>, informó que</w:t>
      </w:r>
      <w:r w:rsidRPr="009C6925">
        <w:rPr>
          <w:color w:val="auto"/>
        </w:rPr>
        <w:t xml:space="preserve"> la información se encontraba disponible en las oficinas de Recursos Humanos para su consulta, en un horario de las nueve a las diecisiete horas de lunes a viernes</w:t>
      </w:r>
      <w:r w:rsidR="00401FB7" w:rsidRPr="009C6925">
        <w:rPr>
          <w:color w:val="auto"/>
        </w:rPr>
        <w:t xml:space="preserve">; </w:t>
      </w:r>
      <w:r w:rsidR="00401FB7" w:rsidRPr="009C6925">
        <w:rPr>
          <w:rFonts w:cs="Tahoma"/>
          <w:iCs/>
          <w:color w:val="auto"/>
          <w:szCs w:val="24"/>
          <w:lang w:val="es-ES_tradnl"/>
        </w:rPr>
        <w:t>por lo que, se procede analizar si procede el cambio de modalidad. A</w:t>
      </w:r>
      <w:r w:rsidR="00401FB7" w:rsidRPr="009C6925">
        <w:rPr>
          <w:rFonts w:cs="Tahoma"/>
          <w:color w:val="auto"/>
          <w:lang w:val="es-ES"/>
        </w:rPr>
        <w:t>l respecto, cabe recordar que se requirió la información, a través del Sistema de Acceso a Información Mexiquense (SAIMEX).</w:t>
      </w:r>
    </w:p>
    <w:p w14:paraId="2203C06E" w14:textId="77777777" w:rsidR="00401FB7" w:rsidRPr="009C6925" w:rsidRDefault="00401FB7" w:rsidP="00401FB7">
      <w:pPr>
        <w:spacing w:after="0" w:line="360" w:lineRule="auto"/>
        <w:rPr>
          <w:rFonts w:cs="Tahoma"/>
          <w:color w:val="auto"/>
          <w:lang w:val="es-ES"/>
        </w:rPr>
      </w:pPr>
    </w:p>
    <w:p w14:paraId="04F9F12A" w14:textId="77777777" w:rsidR="00401FB7" w:rsidRPr="009C6925" w:rsidRDefault="00401FB7" w:rsidP="00401FB7">
      <w:pPr>
        <w:spacing w:after="0" w:line="360" w:lineRule="auto"/>
        <w:rPr>
          <w:rFonts w:eastAsia="Calibri" w:cs="Times New Roman"/>
          <w:color w:val="000000"/>
          <w:lang w:eastAsia="en-US"/>
          <w14:ligatures w14:val="standardContextual"/>
        </w:rPr>
      </w:pPr>
      <w:r w:rsidRPr="009C6925">
        <w:rPr>
          <w:rFonts w:eastAsia="Calibri" w:cs="Times New Roman"/>
          <w:color w:val="0D0D0D"/>
          <w:lang w:eastAsia="en-US"/>
          <w14:ligatures w14:val="standardContextual"/>
        </w:rPr>
        <w:t>En ese sentido,</w:t>
      </w:r>
      <w:r w:rsidRPr="009C6925">
        <w:rPr>
          <w:rFonts w:eastAsia="Calibri" w:cs="Times New Roman"/>
          <w:color w:val="000000"/>
          <w:lang w:eastAsia="en-US"/>
          <w14:ligatures w14:val="standardContextual"/>
        </w:rPr>
        <w:t xml:space="preserve"> el artículo 155, fracción V, de la Ley de Transparencia y Acceso a la Información Pública del Estado de México y Municipios, precisa que para presentar una solicitud, el particular podrá señalar </w:t>
      </w:r>
      <w:r w:rsidRPr="009C6925">
        <w:rPr>
          <w:rFonts w:eastAsia="Calibri" w:cs="Times New Roman"/>
          <w:b/>
          <w:color w:val="000000"/>
          <w:lang w:eastAsia="en-US"/>
          <w14:ligatures w14:val="standardContextual"/>
        </w:rPr>
        <w:t>la modalidad en la que prefiere se otorgue el acceso a la información</w:t>
      </w:r>
      <w:r w:rsidRPr="009C6925">
        <w:rPr>
          <w:rFonts w:eastAsia="Calibri" w:cs="Times New Roman"/>
          <w:color w:val="000000"/>
          <w:lang w:eastAsia="en-US"/>
          <w14:ligatures w14:val="standardContextual"/>
        </w:rPr>
        <w:t>, la cual podrá ser verbal, siempre y cuando sea para fines de orientación, mediante consulta directa, mediante la expedición de copias simples o certificadas o la reproducción en cualquier otro medio, incluidos los electrónicos.</w:t>
      </w:r>
    </w:p>
    <w:p w14:paraId="03A58A64" w14:textId="77777777" w:rsidR="00401FB7" w:rsidRPr="009C6925" w:rsidRDefault="00401FB7" w:rsidP="00401FB7">
      <w:pPr>
        <w:spacing w:after="0" w:line="360" w:lineRule="auto"/>
        <w:rPr>
          <w:color w:val="000000"/>
          <w:lang w:eastAsia="en-US"/>
          <w14:ligatures w14:val="standardContextual"/>
        </w:rPr>
      </w:pPr>
    </w:p>
    <w:p w14:paraId="00BABF4D" w14:textId="77777777" w:rsidR="00401FB7" w:rsidRPr="009C6925" w:rsidRDefault="00401FB7" w:rsidP="00401FB7">
      <w:pPr>
        <w:spacing w:after="0" w:line="360" w:lineRule="auto"/>
        <w:rPr>
          <w:rFonts w:eastAsia="Calibri" w:cs="Times New Roman"/>
          <w:b/>
          <w:color w:val="000000"/>
          <w:lang w:eastAsia="en-US"/>
          <w14:ligatures w14:val="standardContextual"/>
        </w:rPr>
      </w:pPr>
      <w:r w:rsidRPr="009C6925">
        <w:rPr>
          <w:rFonts w:eastAsia="Calibri" w:cs="Times New Roman"/>
          <w:color w:val="000000"/>
          <w:lang w:eastAsia="en-US"/>
          <w14:ligatures w14:val="standardContextual"/>
        </w:rPr>
        <w:t xml:space="preserve">El artículo 158, dispone que, de manera excepcional, cuando de manera fundada y motivada lo determine el Sujeto Obligado, </w:t>
      </w:r>
      <w:r w:rsidRPr="009C6925">
        <w:rPr>
          <w:rFonts w:eastAsia="Calibri" w:cs="Times New Roman"/>
          <w:b/>
          <w:color w:val="000000"/>
          <w:lang w:eastAsia="en-US"/>
          <w14:ligatures w14:val="standardContextual"/>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7499D74" w14:textId="77777777" w:rsidR="00401FB7" w:rsidRPr="009C6925" w:rsidRDefault="00401FB7" w:rsidP="00401FB7">
      <w:pPr>
        <w:spacing w:after="0" w:line="360" w:lineRule="auto"/>
        <w:rPr>
          <w:color w:val="FF0000"/>
        </w:rPr>
      </w:pPr>
    </w:p>
    <w:p w14:paraId="7E2A329F" w14:textId="77777777" w:rsidR="00401FB7" w:rsidRPr="009C6925" w:rsidRDefault="00401FB7" w:rsidP="00401FB7">
      <w:pPr>
        <w:spacing w:after="0" w:line="360" w:lineRule="auto"/>
        <w:rPr>
          <w:rFonts w:eastAsia="Calibri" w:cs="Times New Roman"/>
          <w:color w:val="000000"/>
          <w:lang w:eastAsia="en-US"/>
          <w14:ligatures w14:val="standardContextual"/>
        </w:rPr>
      </w:pPr>
      <w:r w:rsidRPr="009C6925">
        <w:rPr>
          <w:rFonts w:eastAsia="Calibri" w:cs="Times New Roman"/>
          <w:color w:val="000000"/>
          <w:lang w:eastAsia="en-US"/>
          <w14:ligatures w14:val="standardContextual"/>
        </w:rPr>
        <w:t xml:space="preserve">En ese orden de ideas, el artículo 164 de dicho ordenamiento jurídico, prevé que el acceso se dará en la modalidad de entrega y, en su caso, de envío elegidos por al solicitante. </w:t>
      </w:r>
      <w:r w:rsidRPr="009C6925">
        <w:rPr>
          <w:rFonts w:eastAsia="Calibri" w:cs="Times New Roman"/>
          <w:b/>
          <w:color w:val="000000"/>
          <w:lang w:eastAsia="en-US"/>
          <w14:ligatures w14:val="standardContextual"/>
        </w:rPr>
        <w:t xml:space="preserve">Cuando </w:t>
      </w:r>
      <w:r w:rsidRPr="009C6925">
        <w:rPr>
          <w:rFonts w:eastAsia="Calibri" w:cs="Times New Roman"/>
          <w:b/>
          <w:color w:val="000000"/>
          <w:lang w:eastAsia="en-US"/>
          <w14:ligatures w14:val="standardContextual"/>
        </w:rPr>
        <w:lastRenderedPageBreak/>
        <w:t>la información no pueda entregarse o enviarse en la modalidad elegida, el sujeto obligado deberá ofrecer otra u otras modalidades de entrega.</w:t>
      </w:r>
      <w:r w:rsidRPr="009C6925">
        <w:rPr>
          <w:rFonts w:eastAsia="Calibri" w:cs="Times New Roman"/>
          <w:color w:val="000000"/>
          <w:lang w:eastAsia="en-US"/>
          <w14:ligatures w14:val="standardContextual"/>
        </w:rPr>
        <w:t xml:space="preserve"> En cualquier caso, </w:t>
      </w:r>
      <w:r w:rsidRPr="009C6925">
        <w:rPr>
          <w:rFonts w:eastAsia="Calibri" w:cs="Times New Roman"/>
          <w:b/>
          <w:color w:val="000000"/>
          <w:lang w:eastAsia="en-US"/>
          <w14:ligatures w14:val="standardContextual"/>
        </w:rPr>
        <w:t>se deberá fundar y motivar</w:t>
      </w:r>
      <w:r w:rsidRPr="009C6925">
        <w:rPr>
          <w:rFonts w:eastAsia="Calibri" w:cs="Times New Roman"/>
          <w:color w:val="000000"/>
          <w:lang w:eastAsia="en-US"/>
          <w14:ligatures w14:val="standardContextual"/>
        </w:rPr>
        <w:t xml:space="preserve"> la necesidad de ofrecer otras modalidades.</w:t>
      </w:r>
    </w:p>
    <w:p w14:paraId="33E4EE0B" w14:textId="77777777" w:rsidR="00401FB7" w:rsidRPr="009C6925" w:rsidRDefault="00401FB7" w:rsidP="00401FB7">
      <w:pPr>
        <w:spacing w:after="0" w:line="360" w:lineRule="auto"/>
        <w:rPr>
          <w:rFonts w:eastAsia="Calibri" w:cs="Times New Roman"/>
          <w:color w:val="000000"/>
          <w:lang w:eastAsia="en-US"/>
          <w14:ligatures w14:val="standardContextual"/>
        </w:rPr>
      </w:pPr>
    </w:p>
    <w:p w14:paraId="708CE9FE" w14:textId="77777777" w:rsidR="00401FB7" w:rsidRPr="009C6925" w:rsidRDefault="00401FB7" w:rsidP="00401FB7">
      <w:pPr>
        <w:spacing w:after="0" w:line="360" w:lineRule="auto"/>
        <w:rPr>
          <w:rFonts w:eastAsia="Calibri" w:cs="Times New Roman"/>
          <w:color w:val="000000"/>
          <w:lang w:eastAsia="en-US"/>
          <w14:ligatures w14:val="standardContextual"/>
        </w:rPr>
      </w:pPr>
      <w:r w:rsidRPr="009C6925">
        <w:rPr>
          <w:rFonts w:eastAsia="Calibri" w:cs="Times New Roman"/>
          <w:color w:val="000000"/>
          <w:lang w:eastAsia="en-US"/>
          <w14:ligatures w14:val="standardContextual"/>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9C6925">
        <w:rPr>
          <w:rFonts w:eastAsia="Calibri" w:cs="Times New Roman"/>
          <w:b/>
          <w:color w:val="000000"/>
          <w:lang w:eastAsia="en-US"/>
          <w14:ligatures w14:val="standardContextual"/>
        </w:rPr>
        <w:t>en la medida de lo posible, en la forma solicitada por el interesado, salvo que exista un impedimento justificado para atenderla</w:t>
      </w:r>
      <w:r w:rsidRPr="009C6925">
        <w:rPr>
          <w:rFonts w:eastAsia="Calibri" w:cs="Times New Roman"/>
          <w:color w:val="000000"/>
          <w:lang w:eastAsia="en-US"/>
          <w14:ligatures w14:val="standardContextual"/>
        </w:rPr>
        <w:t xml:space="preserve">, en cuyo caso, deberán exponerse las razones por las cuales no es posible utilizar el medio de reproducción solicitado; en este sentido, la entrega de la información en una modalidad distinta a la elegida por el particular </w:t>
      </w:r>
      <w:r w:rsidRPr="009C6925">
        <w:rPr>
          <w:rFonts w:eastAsia="Calibri" w:cs="Times New Roman"/>
          <w:b/>
          <w:color w:val="000000"/>
          <w:lang w:eastAsia="en-US"/>
          <w14:ligatures w14:val="standardContextual"/>
        </w:rPr>
        <w:t>sólo procede, en caso de que se acredite la imposibilidad de atenderla.</w:t>
      </w:r>
      <w:r w:rsidRPr="009C6925">
        <w:rPr>
          <w:rFonts w:eastAsia="Calibri" w:cs="Times New Roman"/>
          <w:color w:val="000000"/>
          <w:lang w:eastAsia="en-US"/>
          <w14:ligatures w14:val="standardContextual"/>
        </w:rPr>
        <w:t xml:space="preserve"> </w:t>
      </w:r>
    </w:p>
    <w:p w14:paraId="68F9B8D8" w14:textId="77777777" w:rsidR="00401FB7" w:rsidRPr="009C6925" w:rsidRDefault="00401FB7" w:rsidP="00401FB7">
      <w:pPr>
        <w:spacing w:after="0" w:line="360" w:lineRule="auto"/>
        <w:rPr>
          <w:rFonts w:eastAsia="Calibri" w:cs="Times New Roman"/>
          <w:color w:val="000000"/>
          <w:lang w:eastAsia="en-US"/>
          <w14:ligatures w14:val="standardContextual"/>
        </w:rPr>
      </w:pPr>
    </w:p>
    <w:p w14:paraId="7AB451BD" w14:textId="497E61ED" w:rsidR="00401FB7" w:rsidRPr="009C6925" w:rsidRDefault="00401FB7" w:rsidP="00401FB7">
      <w:pPr>
        <w:spacing w:after="0" w:line="360" w:lineRule="auto"/>
        <w:rPr>
          <w:rFonts w:eastAsia="Calibri" w:cs="Times New Roman"/>
          <w:b/>
          <w:color w:val="000000"/>
          <w:lang w:eastAsia="en-US"/>
          <w14:ligatures w14:val="standardContextual"/>
        </w:rPr>
      </w:pPr>
      <w:r w:rsidRPr="009C6925">
        <w:rPr>
          <w:rFonts w:eastAsia="Calibri" w:cs="Times New Roman"/>
          <w:color w:val="000000"/>
          <w:lang w:eastAsia="en-US"/>
          <w14:ligatures w14:val="standardContextual"/>
        </w:rPr>
        <w:t xml:space="preserve">Así, cuando se justifique el impedimento, </w:t>
      </w:r>
      <w:r w:rsidRPr="009C6925">
        <w:rPr>
          <w:rFonts w:eastAsia="Calibri" w:cs="Times New Roman"/>
          <w:b/>
          <w:color w:val="000000"/>
          <w:lang w:eastAsia="en-US"/>
          <w14:ligatures w14:val="standardContextual"/>
        </w:rPr>
        <w:t>los Sujetos Obligados deberán ofrecer al particular otras modalidades de entrega que permita la información</w:t>
      </w:r>
      <w:r w:rsidRPr="009C6925">
        <w:rPr>
          <w:rFonts w:eastAsia="Calibri" w:cs="Times New Roman"/>
          <w:color w:val="000000"/>
          <w:lang w:eastAsia="en-US"/>
          <w14:ligatures w14:val="standardContextual"/>
        </w:rPr>
        <w:t xml:space="preserve">, como consulta directa en las oficinas de la Unidad de Transparencia; lo anterior, es robustecido con el Criterio SO/008/2017,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9C6925">
        <w:rPr>
          <w:rFonts w:eastAsia="Calibri" w:cs="Times New Roman"/>
          <w:b/>
          <w:color w:val="000000"/>
          <w:lang w:eastAsia="en-US"/>
          <w14:ligatures w14:val="standardContextual"/>
        </w:rPr>
        <w:t>información en todas las modalidades que lo permitan, procurando reducir los costos de entrega.</w:t>
      </w:r>
    </w:p>
    <w:p w14:paraId="72B0A81C" w14:textId="77777777" w:rsidR="00401FB7" w:rsidRPr="009C6925" w:rsidRDefault="00401FB7" w:rsidP="00401FB7">
      <w:pPr>
        <w:spacing w:after="0" w:line="360" w:lineRule="auto"/>
        <w:rPr>
          <w:rFonts w:eastAsia="Calibri" w:cs="Times New Roman"/>
          <w:b/>
          <w:color w:val="000000"/>
          <w:lang w:eastAsia="en-US"/>
          <w14:ligatures w14:val="standardContextual"/>
        </w:rPr>
      </w:pPr>
    </w:p>
    <w:p w14:paraId="7E2E1C1A" w14:textId="77777777" w:rsidR="00401FB7" w:rsidRPr="009C6925" w:rsidRDefault="00401FB7" w:rsidP="00401FB7">
      <w:pPr>
        <w:widowControl w:val="0"/>
        <w:spacing w:after="0" w:line="360" w:lineRule="auto"/>
        <w:rPr>
          <w:rFonts w:eastAsia="Calibri" w:cs="Times New Roman"/>
          <w:color w:val="000000"/>
          <w:lang w:eastAsia="en-US"/>
          <w14:ligatures w14:val="standardContextual"/>
        </w:rPr>
      </w:pPr>
      <w:r w:rsidRPr="009C6925">
        <w:rPr>
          <w:rFonts w:eastAsia="Calibri" w:cs="Times New Roman"/>
          <w:color w:val="000000"/>
          <w:lang w:eastAsia="en-US"/>
          <w14:ligatures w14:val="standardContextual"/>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w:t>
      </w:r>
      <w:r w:rsidRPr="009C6925">
        <w:rPr>
          <w:rFonts w:eastAsia="Calibri" w:cs="Times New Roman"/>
          <w:color w:val="000000"/>
          <w:lang w:eastAsia="en-US"/>
          <w14:ligatures w14:val="standardContextual"/>
        </w:rPr>
        <w:lastRenderedPageBreak/>
        <w:t>las razones por las cuales no es posible otorgar el acceso a los documentos de otra forma; además que se deberá explicar de manera detallada lo siguiente:</w:t>
      </w:r>
    </w:p>
    <w:p w14:paraId="49F8FADF" w14:textId="77777777" w:rsidR="00401FB7" w:rsidRPr="009C6925" w:rsidRDefault="00401FB7" w:rsidP="00401FB7">
      <w:pPr>
        <w:spacing w:after="0" w:line="360" w:lineRule="auto"/>
        <w:rPr>
          <w:rFonts w:eastAsia="Calibri" w:cs="Times New Roman"/>
          <w:color w:val="000000"/>
          <w:lang w:eastAsia="en-US"/>
          <w14:ligatures w14:val="standardContextual"/>
        </w:rPr>
      </w:pPr>
    </w:p>
    <w:p w14:paraId="6FBD065D" w14:textId="77777777" w:rsidR="00401FB7" w:rsidRPr="009C6925" w:rsidRDefault="00401FB7" w:rsidP="00725F8E">
      <w:pPr>
        <w:numPr>
          <w:ilvl w:val="0"/>
          <w:numId w:val="6"/>
        </w:numPr>
        <w:spacing w:after="0" w:line="360" w:lineRule="auto"/>
        <w:rPr>
          <w:rFonts w:eastAsia="Calibri" w:cs="Times New Roman"/>
          <w:color w:val="000000"/>
          <w:lang w:eastAsia="en-US"/>
          <w14:ligatures w14:val="standardContextual"/>
        </w:rPr>
      </w:pPr>
      <w:r w:rsidRPr="009C6925">
        <w:rPr>
          <w:rFonts w:eastAsia="Calibri" w:cs="Times New Roman"/>
          <w:color w:val="000000"/>
          <w:lang w:eastAsia="en-US"/>
          <w14:ligatures w14:val="standardContextual"/>
        </w:rPr>
        <w:t>Las razones por las cuales la información implicaba un análisis, estudio o procesamiento de datos;</w:t>
      </w:r>
    </w:p>
    <w:p w14:paraId="41AA1752" w14:textId="77777777" w:rsidR="00401FB7" w:rsidRPr="009C6925" w:rsidRDefault="00401FB7" w:rsidP="00725F8E">
      <w:pPr>
        <w:numPr>
          <w:ilvl w:val="0"/>
          <w:numId w:val="6"/>
        </w:numPr>
        <w:spacing w:after="0" w:line="360" w:lineRule="auto"/>
        <w:rPr>
          <w:rFonts w:eastAsia="Calibri" w:cs="Times New Roman"/>
          <w:color w:val="000000"/>
          <w:lang w:eastAsia="en-US"/>
          <w14:ligatures w14:val="standardContextual"/>
        </w:rPr>
      </w:pPr>
      <w:r w:rsidRPr="009C6925">
        <w:rPr>
          <w:rFonts w:eastAsia="Calibri" w:cs="Times New Roman"/>
          <w:color w:val="000000"/>
          <w:lang w:eastAsia="en-US"/>
          <w14:ligatures w14:val="standardContextual"/>
        </w:rPr>
        <w:t>Por qué motivo el tiempo, que se le otorga al Sujeto Obligado para dar respuesta, en la modalidad elegida a la solicitud de información, no le es suficiente, y</w:t>
      </w:r>
    </w:p>
    <w:p w14:paraId="354D703E" w14:textId="77777777" w:rsidR="00401FB7" w:rsidRPr="009C6925" w:rsidRDefault="00401FB7" w:rsidP="00725F8E">
      <w:pPr>
        <w:numPr>
          <w:ilvl w:val="0"/>
          <w:numId w:val="6"/>
        </w:numPr>
        <w:spacing w:after="0" w:line="360" w:lineRule="auto"/>
        <w:rPr>
          <w:rFonts w:eastAsia="Calibri" w:cs="Times New Roman"/>
          <w:color w:val="000000"/>
          <w:lang w:eastAsia="en-US"/>
          <w14:ligatures w14:val="standardContextual"/>
        </w:rPr>
      </w:pPr>
      <w:r w:rsidRPr="009C6925">
        <w:rPr>
          <w:rFonts w:eastAsia="Calibri" w:cs="Times New Roman"/>
          <w:color w:val="000000"/>
          <w:lang w:eastAsia="en-US"/>
          <w14:ligatures w14:val="standardContextual"/>
        </w:rPr>
        <w:t>La cantidad de recursos humanos y materiales con los que cuenta el Sujeto Obligado son insuficientes.</w:t>
      </w:r>
    </w:p>
    <w:p w14:paraId="76D7D0FD" w14:textId="77777777" w:rsidR="00401FB7" w:rsidRPr="009C6925" w:rsidRDefault="00401FB7" w:rsidP="00401FB7">
      <w:pPr>
        <w:spacing w:after="0" w:line="360" w:lineRule="auto"/>
        <w:ind w:right="-28"/>
        <w:rPr>
          <w:rFonts w:eastAsia="Calibri" w:cs="Times New Roman"/>
          <w:color w:val="000000"/>
          <w:lang w:eastAsia="en-US"/>
          <w14:ligatures w14:val="standardContextual"/>
        </w:rPr>
      </w:pPr>
    </w:p>
    <w:p w14:paraId="50796B47" w14:textId="77777777" w:rsidR="00401FB7" w:rsidRPr="009C6925" w:rsidRDefault="00401FB7" w:rsidP="00401FB7">
      <w:pPr>
        <w:spacing w:after="0" w:line="360" w:lineRule="auto"/>
        <w:ind w:right="-28"/>
        <w:rPr>
          <w:rFonts w:eastAsia="Calibri" w:cs="Times New Roman"/>
          <w:color w:val="000000"/>
          <w:lang w:eastAsia="en-US"/>
          <w14:ligatures w14:val="standardContextual"/>
        </w:rPr>
      </w:pPr>
      <w:r w:rsidRPr="009C6925">
        <w:rPr>
          <w:rFonts w:eastAsia="Calibri" w:cs="Times New Roman"/>
          <w:color w:val="000000"/>
          <w:lang w:eastAsia="en-US"/>
          <w14:ligatures w14:val="standardContextual"/>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5D1555E3" w14:textId="77777777" w:rsidR="00401FB7" w:rsidRPr="009C6925" w:rsidRDefault="00401FB7" w:rsidP="00401FB7">
      <w:pPr>
        <w:spacing w:after="0" w:line="360" w:lineRule="auto"/>
        <w:ind w:right="-28"/>
        <w:rPr>
          <w:rFonts w:eastAsia="Calibri" w:cs="Times New Roman"/>
          <w:color w:val="000000"/>
          <w:lang w:eastAsia="en-US"/>
          <w14:ligatures w14:val="standardContextual"/>
        </w:rPr>
      </w:pPr>
    </w:p>
    <w:p w14:paraId="66327CC5" w14:textId="2A3C760E" w:rsidR="00401FB7" w:rsidRPr="009C6925" w:rsidRDefault="00401FB7" w:rsidP="00401FB7">
      <w:pPr>
        <w:spacing w:after="0" w:line="360" w:lineRule="auto"/>
        <w:rPr>
          <w:color w:val="auto"/>
        </w:rPr>
      </w:pPr>
      <w:r w:rsidRPr="009C6925">
        <w:rPr>
          <w:rFonts w:eastAsia="Calibri" w:cs="Tahoma"/>
          <w:bCs/>
          <w:color w:val="000000"/>
          <w:lang w:val="es-ES" w:eastAsia="en-US"/>
          <w14:ligatures w14:val="standardContextual"/>
        </w:rPr>
        <w:t xml:space="preserve">Sobre esta situación, es necesario precisar que el Sujeto Obligado fue omiso en manifestar </w:t>
      </w:r>
      <w:r w:rsidRPr="009C6925">
        <w:rPr>
          <w:rFonts w:eastAsia="Calibri" w:cs="Tahoma"/>
          <w:iCs/>
          <w:color w:val="000000"/>
          <w:lang w:val="es-ES" w:eastAsia="es-ES_tradnl"/>
          <w14:ligatures w14:val="standardContextual"/>
        </w:rPr>
        <w:t xml:space="preserve">algún impedimento del número de hojas o peso de la información que sobrepasara </w:t>
      </w:r>
      <w:r w:rsidRPr="009C6925">
        <w:rPr>
          <w:rFonts w:eastAsia="Calibri" w:cs="Tahoma"/>
          <w:bCs/>
          <w:iCs/>
          <w:color w:val="000000"/>
          <w:lang w:val="es-ES" w:eastAsia="en-US"/>
          <w14:ligatures w14:val="standardContextual"/>
        </w:rPr>
        <w:t xml:space="preserve">las capacidades técnicas del sistema SAIMEX, si no que únicamente refiere que la información </w:t>
      </w:r>
      <w:r w:rsidRPr="009C6925">
        <w:rPr>
          <w:color w:val="auto"/>
        </w:rPr>
        <w:t>encuentra disponible en las oficinas de Recursos Humanos para su consulta, en un horario de las nueve a las diecisiete horas de lunes a viernes</w:t>
      </w:r>
      <w:r w:rsidRPr="009C6925">
        <w:rPr>
          <w:rFonts w:eastAsia="Calibri" w:cs="Tahoma"/>
          <w:bCs/>
          <w:iCs/>
          <w:color w:val="000000"/>
          <w:lang w:val="es-ES" w:eastAsia="en-US"/>
          <w14:ligatures w14:val="standardContextual"/>
        </w:rPr>
        <w:t xml:space="preserve">, lo cual trae como resultado que el agravio resulte </w:t>
      </w:r>
      <w:r w:rsidRPr="009C6925">
        <w:rPr>
          <w:rFonts w:eastAsia="Calibri" w:cs="Tahoma"/>
          <w:b/>
          <w:bCs/>
          <w:iCs/>
          <w:color w:val="000000"/>
          <w:lang w:val="es-ES" w:eastAsia="en-US"/>
          <w14:ligatures w14:val="standardContextual"/>
        </w:rPr>
        <w:t>FUNDADO.</w:t>
      </w:r>
      <w:r w:rsidR="0052716B" w:rsidRPr="009C6925">
        <w:rPr>
          <w:rFonts w:eastAsia="Calibri" w:cs="Tahoma"/>
          <w:iCs/>
          <w:color w:val="000000"/>
          <w:lang w:val="es-ES" w:eastAsia="en-US"/>
          <w14:ligatures w14:val="standardContextual"/>
        </w:rPr>
        <w:t xml:space="preserve"> Lo anterior, toma relevancia pues se realizó un requerimiento de información adicional, mismo que fue omiso en desahogar el Ayuntamiento; por lo que, </w:t>
      </w:r>
      <w:r w:rsidR="0052716B" w:rsidRPr="009C6925">
        <w:rPr>
          <w:rFonts w:eastAsia="Calibri" w:cs="Tahoma"/>
          <w:iCs/>
          <w:color w:val="000000"/>
          <w:lang w:val="es-ES" w:eastAsia="en-US"/>
          <w14:ligatures w14:val="standardContextual"/>
        </w:rPr>
        <w:lastRenderedPageBreak/>
        <w:t xml:space="preserve">se le </w:t>
      </w:r>
      <w:r w:rsidR="0052716B" w:rsidRPr="009C6925">
        <w:rPr>
          <w:rFonts w:eastAsia="Calibri" w:cs="Tahoma"/>
          <w:b/>
          <w:bCs/>
          <w:iCs/>
          <w:color w:val="000000"/>
          <w:lang w:val="es-ES" w:eastAsia="en-US"/>
          <w14:ligatures w14:val="standardContextual"/>
        </w:rPr>
        <w:t>INSTA,</w:t>
      </w:r>
      <w:r w:rsidR="0052716B" w:rsidRPr="009C6925">
        <w:rPr>
          <w:rFonts w:eastAsia="Calibri" w:cs="Tahoma"/>
          <w:iCs/>
          <w:color w:val="000000"/>
          <w:lang w:val="es-ES" w:eastAsia="en-US"/>
          <w14:ligatures w14:val="standardContextual"/>
        </w:rPr>
        <w:t xml:space="preserve"> para que en futuras ocasiones atiende los requerimientos realizados por este Instituto.</w:t>
      </w:r>
    </w:p>
    <w:p w14:paraId="6134B68D" w14:textId="72FB18F4" w:rsidR="00280E15" w:rsidRPr="009C6925" w:rsidRDefault="00280E15" w:rsidP="00401FB7">
      <w:pPr>
        <w:spacing w:after="0" w:line="360" w:lineRule="auto"/>
        <w:rPr>
          <w:rFonts w:eastAsia="Calibri" w:cs="Tahoma"/>
          <w:bCs/>
          <w:color w:val="FF0000"/>
          <w:lang w:val="es-ES"/>
        </w:rPr>
      </w:pPr>
    </w:p>
    <w:p w14:paraId="2FDEA50B" w14:textId="4B93D101" w:rsidR="000D3E3F" w:rsidRPr="009C6925" w:rsidRDefault="000D3E3F" w:rsidP="000D3E3F">
      <w:pPr>
        <w:spacing w:after="0" w:line="360" w:lineRule="auto"/>
        <w:rPr>
          <w:color w:val="auto"/>
        </w:rPr>
      </w:pPr>
      <w:r w:rsidRPr="009C6925">
        <w:rPr>
          <w:color w:val="auto"/>
        </w:rPr>
        <w:t xml:space="preserve">Conforme a lo anterior, se considera que para atender el requerimiento de información y con </w:t>
      </w:r>
      <w:r w:rsidRPr="009C6925">
        <w:rPr>
          <w:rFonts w:eastAsia="Calibri" w:cs="Times New Roman"/>
          <w:color w:val="000000"/>
          <w:lang w:eastAsia="en-US"/>
          <w14:ligatures w14:val="standardContextual"/>
        </w:rPr>
        <w:t>el fin de dar cumplimiento a los artículos 12, 160 y 162 de la Ley de Transparencia y Acceso a la Información Pública del Estado de México y Municipios, se considera que</w:t>
      </w:r>
      <w:r w:rsidRPr="009C6925">
        <w:rPr>
          <w:color w:val="auto"/>
        </w:rPr>
        <w:t xml:space="preserve"> el Sujeto Obligado, deberá realizar una búsqueda exhaustiva y razonable, en todas las unidades administrativas, a efecto de que proporcione los</w:t>
      </w:r>
      <w:r w:rsidRPr="009C6925">
        <w:rPr>
          <w:rFonts w:eastAsia="Calibri" w:cs="Tahoma"/>
          <w:bCs/>
          <w:color w:val="FF0000"/>
          <w:lang w:val="es-ES"/>
        </w:rPr>
        <w:t xml:space="preserve"> </w:t>
      </w:r>
      <w:r w:rsidRPr="009C6925">
        <w:rPr>
          <w:color w:val="auto"/>
        </w:rPr>
        <w:t>contratos de publicidad para difundir obras municipales y los documentos emitidos para realizar la publicidad para difundir obras municipales, en caso de que la propaganda haya sido pintada o instalada por personal que preste servicios al ayuntamiento.</w:t>
      </w:r>
    </w:p>
    <w:p w14:paraId="66E3AF3A" w14:textId="77777777" w:rsidR="00F56BFE" w:rsidRPr="009C6925" w:rsidRDefault="00F56BFE" w:rsidP="000D3E3F">
      <w:pPr>
        <w:spacing w:after="0" w:line="360" w:lineRule="auto"/>
        <w:rPr>
          <w:rFonts w:eastAsia="Calibri" w:cs="Tahoma"/>
          <w:bCs/>
          <w:color w:val="FF0000"/>
          <w:lang w:val="es-ES"/>
        </w:rPr>
      </w:pPr>
    </w:p>
    <w:p w14:paraId="0B66EA16" w14:textId="4C93642E" w:rsidR="00280E15" w:rsidRPr="009C6925" w:rsidRDefault="005F0D52" w:rsidP="0008269D">
      <w:pPr>
        <w:spacing w:after="0" w:line="360" w:lineRule="auto"/>
        <w:rPr>
          <w:rFonts w:eastAsia="Calibri" w:cs="Tahoma"/>
          <w:bCs/>
          <w:color w:val="FF0000"/>
          <w:lang w:val="es-ES"/>
        </w:rPr>
      </w:pPr>
      <w:r w:rsidRPr="009C6925">
        <w:rPr>
          <w:color w:val="auto"/>
        </w:rPr>
        <w:t>Finalmente, no pasa desapercibido para este Instituto que los documentos que den cuenta de lo solicitado, pudieran contener datos o información clasificada;</w:t>
      </w:r>
      <w:r w:rsidR="0052716B" w:rsidRPr="009C6925">
        <w:rPr>
          <w:color w:val="auto"/>
        </w:rPr>
        <w:t xml:space="preserve"> de los proveedores, tales como los datos bancarios,</w:t>
      </w:r>
      <w:r w:rsidRPr="009C6925">
        <w:rPr>
          <w:color w:val="auto"/>
        </w:rPr>
        <w:t xml:space="preserve">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r w:rsidRPr="009C6925">
        <w:rPr>
          <w:color w:val="auto"/>
        </w:rPr>
        <w:br/>
      </w:r>
      <w:r w:rsidRPr="009C6925">
        <w:rPr>
          <w:color w:val="auto"/>
        </w:rPr>
        <w:b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8078B84" w14:textId="77777777" w:rsidR="005F0D52" w:rsidRPr="009C6925" w:rsidRDefault="005F0D52" w:rsidP="005F0D52">
      <w:pPr>
        <w:spacing w:after="0" w:line="360" w:lineRule="auto"/>
        <w:contextualSpacing/>
        <w:rPr>
          <w:rFonts w:eastAsia="Calibri" w:cs="Tahoma"/>
          <w:b/>
          <w:color w:val="auto"/>
          <w:lang w:eastAsia="en-US"/>
          <w14:ligatures w14:val="standardContextual"/>
        </w:rPr>
      </w:pPr>
    </w:p>
    <w:p w14:paraId="22A14576" w14:textId="77777777" w:rsidR="005F0D52" w:rsidRPr="009C6925" w:rsidRDefault="005F0D52" w:rsidP="005F0D52">
      <w:pPr>
        <w:spacing w:after="0" w:line="360" w:lineRule="auto"/>
        <w:contextualSpacing/>
        <w:rPr>
          <w:rFonts w:eastAsia="Calibri" w:cs="Tahoma"/>
          <w:b/>
          <w:color w:val="auto"/>
          <w:lang w:eastAsia="en-US"/>
          <w14:ligatures w14:val="standardContextual"/>
        </w:rPr>
      </w:pPr>
      <w:r w:rsidRPr="009C6925">
        <w:rPr>
          <w:rFonts w:eastAsia="Calibri" w:cs="Tahoma"/>
          <w:b/>
          <w:color w:val="auto"/>
          <w:lang w:eastAsia="en-US"/>
          <w14:ligatures w14:val="standardContextual"/>
        </w:rPr>
        <w:lastRenderedPageBreak/>
        <w:t>SEXTO. Decisión</w:t>
      </w:r>
    </w:p>
    <w:p w14:paraId="1FF281BB" w14:textId="77777777" w:rsidR="005F0D52" w:rsidRPr="009C6925" w:rsidRDefault="005F0D52" w:rsidP="005F0D52">
      <w:pPr>
        <w:spacing w:after="0" w:line="360" w:lineRule="auto"/>
        <w:contextualSpacing/>
        <w:rPr>
          <w:rFonts w:eastAsia="Calibri" w:cs="Tahoma"/>
          <w:b/>
          <w:color w:val="FF0000"/>
          <w:lang w:eastAsia="en-US"/>
          <w14:ligatures w14:val="standardContextual"/>
        </w:rPr>
      </w:pPr>
    </w:p>
    <w:p w14:paraId="3567AFD0" w14:textId="07D2D892" w:rsidR="005F0D52" w:rsidRPr="009C6925" w:rsidRDefault="005F0D52" w:rsidP="005F0D52">
      <w:pPr>
        <w:spacing w:after="0" w:line="360" w:lineRule="auto"/>
        <w:rPr>
          <w:color w:val="auto"/>
        </w:rPr>
      </w:pPr>
      <w:r w:rsidRPr="009C6925">
        <w:rPr>
          <w:rFonts w:eastAsia="Calibri" w:cs="Times New Roman"/>
          <w:color w:val="auto"/>
          <w:lang w:eastAsia="en-US"/>
          <w14:ligatures w14:val="standardContextual"/>
        </w:rPr>
        <w:t xml:space="preserve">De acuerdo con lo expuesto y, con fundamento en el artículo 186, fracción III, de la Ley de Transparencia y Acceso a la Información Pública del Estado de México y Municipios, este Instituto considera procedente </w:t>
      </w:r>
      <w:r w:rsidRPr="009C6925">
        <w:rPr>
          <w:rFonts w:eastAsia="Calibri" w:cs="Times New Roman"/>
          <w:b/>
          <w:color w:val="auto"/>
          <w:lang w:eastAsia="en-US"/>
          <w14:ligatures w14:val="standardContextual"/>
        </w:rPr>
        <w:t xml:space="preserve">REVOCAR </w:t>
      </w:r>
      <w:r w:rsidRPr="009C6925">
        <w:rPr>
          <w:rFonts w:eastAsia="Calibri" w:cs="Times New Roman"/>
          <w:color w:val="auto"/>
          <w:lang w:eastAsia="en-US"/>
          <w14:ligatures w14:val="standardContextual"/>
        </w:rPr>
        <w:t>la respuesta del Ayuntamiento de Zumpango</w:t>
      </w:r>
      <w:r w:rsidRPr="009C6925">
        <w:rPr>
          <w:rFonts w:eastAsia="Calibri" w:cs="Times New Roman"/>
          <w:b/>
          <w:color w:val="auto"/>
          <w:lang w:eastAsia="en-US"/>
          <w14:ligatures w14:val="standardContextual"/>
        </w:rPr>
        <w:t xml:space="preserve">, </w:t>
      </w:r>
      <w:r w:rsidRPr="009C6925">
        <w:rPr>
          <w:rFonts w:eastAsia="Calibri" w:cs="Times New Roman"/>
          <w:color w:val="auto"/>
          <w:lang w:eastAsia="en-US"/>
          <w14:ligatures w14:val="standardContextual"/>
        </w:rPr>
        <w:t xml:space="preserve">a efecto de que previa búsqueda exhaustiva y razonable, remita </w:t>
      </w:r>
      <w:r w:rsidRPr="009C6925">
        <w:rPr>
          <w:color w:val="auto"/>
        </w:rPr>
        <w:t>los documentos donde conste la información requerida.</w:t>
      </w:r>
    </w:p>
    <w:p w14:paraId="65D07FF9" w14:textId="77777777" w:rsidR="005F0D52" w:rsidRPr="009C6925" w:rsidRDefault="005F0D52" w:rsidP="005F0D52">
      <w:pPr>
        <w:spacing w:after="0" w:line="360" w:lineRule="auto"/>
        <w:rPr>
          <w:rFonts w:eastAsia="Calibri" w:cs="Times New Roman"/>
          <w:color w:val="FF0000"/>
          <w:lang w:eastAsia="en-US"/>
          <w14:ligatures w14:val="standardContextual"/>
        </w:rPr>
      </w:pPr>
    </w:p>
    <w:p w14:paraId="0ACA6341" w14:textId="77777777" w:rsidR="005F0D52" w:rsidRPr="009C6925" w:rsidRDefault="005F0D52" w:rsidP="005F0D52">
      <w:pPr>
        <w:spacing w:after="0" w:line="360" w:lineRule="auto"/>
        <w:contextualSpacing/>
        <w:rPr>
          <w:rFonts w:eastAsia="Calibri" w:cs="Tahoma"/>
          <w:b/>
          <w:bCs/>
          <w:color w:val="auto"/>
          <w:lang w:eastAsia="en-US"/>
          <w14:ligatures w14:val="standardContextual"/>
        </w:rPr>
      </w:pPr>
      <w:r w:rsidRPr="009C6925">
        <w:rPr>
          <w:rFonts w:eastAsia="Calibri" w:cs="Tahoma"/>
          <w:b/>
          <w:bCs/>
          <w:color w:val="auto"/>
          <w:lang w:eastAsia="en-US"/>
          <w14:ligatures w14:val="standardContextual"/>
        </w:rPr>
        <w:t>Términos de la Resolución para conocimiento del Particular</w:t>
      </w:r>
    </w:p>
    <w:p w14:paraId="66665CAE" w14:textId="77777777" w:rsidR="005F0D52" w:rsidRPr="009C6925" w:rsidRDefault="005F0D52" w:rsidP="005F0D52">
      <w:pPr>
        <w:spacing w:after="0" w:line="360" w:lineRule="auto"/>
        <w:contextualSpacing/>
        <w:rPr>
          <w:rFonts w:eastAsia="Calibri" w:cs="Times New Roman"/>
          <w:color w:val="auto"/>
          <w:lang w:eastAsia="en-US"/>
          <w14:ligatures w14:val="standardContextual"/>
        </w:rPr>
      </w:pPr>
    </w:p>
    <w:p w14:paraId="114E6864" w14:textId="274FF22B" w:rsidR="005F0D52" w:rsidRPr="009C6925" w:rsidRDefault="005F0D52" w:rsidP="005F0D52">
      <w:pPr>
        <w:spacing w:after="0" w:line="360" w:lineRule="auto"/>
        <w:contextualSpacing/>
        <w:rPr>
          <w:rFonts w:eastAsia="Calibri" w:cs="Times New Roman"/>
          <w:color w:val="auto"/>
          <w:lang w:eastAsia="en-US"/>
          <w14:ligatures w14:val="standardContextual"/>
        </w:rPr>
      </w:pPr>
      <w:r w:rsidRPr="009C6925">
        <w:rPr>
          <w:rFonts w:eastAsia="Calibri" w:cs="Times New Roman"/>
          <w:color w:val="auto"/>
          <w:lang w:eastAsia="en-US"/>
          <w14:ligatures w14:val="standardContextual"/>
        </w:rPr>
        <w:t>Se le hace del conocimiento al ahora Recurrente que, en el presente asunto, se le da la razón, pues los motivos expuestos por el Sujeto Obligado para el cambio de modalidad, no constituyen ningún impedimento para el cambio de modalidad a consulta directa</w:t>
      </w:r>
      <w:r w:rsidRPr="009C6925">
        <w:rPr>
          <w:rFonts w:eastAsia="Calibri" w:cs="Tahoma"/>
          <w:bCs/>
          <w:iCs/>
          <w:color w:val="auto"/>
          <w:lang w:val="es-ES" w:eastAsia="en-US"/>
          <w14:ligatures w14:val="standardContextual"/>
        </w:rPr>
        <w:t xml:space="preserve">. </w:t>
      </w:r>
      <w:r w:rsidRPr="009C6925">
        <w:rPr>
          <w:rFonts w:eastAsia="Calibri" w:cs="Times New Roman"/>
          <w:color w:val="auto"/>
          <w:lang w:eastAsia="en-US"/>
          <w14:ligatures w14:val="standardContextual"/>
        </w:rPr>
        <w:t>Por ello, usted debe recibir a través del Sistema de Acceso a la Información Mexiquense (SAIMEX), la información solicitada.</w:t>
      </w:r>
    </w:p>
    <w:p w14:paraId="6749797A" w14:textId="77777777" w:rsidR="005F0D52" w:rsidRPr="009C6925" w:rsidRDefault="005F0D52" w:rsidP="005F0D52">
      <w:pPr>
        <w:spacing w:after="0" w:line="360" w:lineRule="auto"/>
        <w:contextualSpacing/>
        <w:rPr>
          <w:rFonts w:eastAsia="Calibri" w:cs="Tahoma"/>
          <w:b/>
          <w:bCs/>
          <w:color w:val="FF0000"/>
          <w:lang w:eastAsia="en-US"/>
          <w14:ligatures w14:val="standardContextual"/>
        </w:rPr>
      </w:pPr>
    </w:p>
    <w:p w14:paraId="56FD101E" w14:textId="77777777" w:rsidR="005F0D52" w:rsidRPr="009C6925" w:rsidRDefault="005F0D52" w:rsidP="005F0D52">
      <w:pPr>
        <w:spacing w:after="0" w:line="360" w:lineRule="auto"/>
        <w:rPr>
          <w:rFonts w:eastAsia="Calibri" w:cs="Times New Roman"/>
          <w:color w:val="auto"/>
          <w:lang w:eastAsia="en-US"/>
          <w14:ligatures w14:val="standardContextual"/>
        </w:rPr>
      </w:pPr>
      <w:r w:rsidRPr="009C6925">
        <w:rPr>
          <w:rFonts w:eastAsia="Calibri" w:cs="Times New Roman"/>
          <w:color w:val="auto"/>
          <w:lang w:eastAsia="en-US"/>
          <w14:ligatures w14:val="standardContextual"/>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45603255" w14:textId="77777777" w:rsidR="005F0D52" w:rsidRPr="009C6925" w:rsidRDefault="005F0D52" w:rsidP="005F0D52">
      <w:pPr>
        <w:spacing w:after="0" w:line="360" w:lineRule="auto"/>
        <w:contextualSpacing/>
        <w:rPr>
          <w:rFonts w:eastAsia="Calibri" w:cs="Times New Roman"/>
          <w:color w:val="auto"/>
          <w:lang w:eastAsia="en-US"/>
          <w14:ligatures w14:val="standardContextual"/>
        </w:rPr>
      </w:pPr>
    </w:p>
    <w:p w14:paraId="1677B2C9" w14:textId="77777777" w:rsidR="005F0D52" w:rsidRPr="009C6925" w:rsidRDefault="005F0D52" w:rsidP="005F0D52">
      <w:pPr>
        <w:spacing w:after="0" w:line="360" w:lineRule="auto"/>
        <w:contextualSpacing/>
        <w:rPr>
          <w:rFonts w:eastAsia="Calibri" w:cs="Times New Roman"/>
          <w:color w:val="auto"/>
          <w:lang w:eastAsia="en-US"/>
          <w14:ligatures w14:val="standardContextual"/>
        </w:rPr>
      </w:pPr>
      <w:r w:rsidRPr="009C6925">
        <w:rPr>
          <w:rFonts w:eastAsia="Calibri" w:cs="Times New Roman"/>
          <w:color w:val="auto"/>
          <w:lang w:eastAsia="en-US"/>
          <w14:ligatures w14:val="standardContextual"/>
        </w:rPr>
        <w:t>Por lo expuesto y fundado, este Pleno:</w:t>
      </w:r>
    </w:p>
    <w:p w14:paraId="09127C93" w14:textId="77777777" w:rsidR="005F0D52" w:rsidRPr="009C6925" w:rsidRDefault="005F0D52" w:rsidP="005F0D52">
      <w:pPr>
        <w:spacing w:after="0" w:line="360" w:lineRule="auto"/>
        <w:contextualSpacing/>
        <w:rPr>
          <w:rFonts w:eastAsia="Calibri" w:cs="Times New Roman"/>
          <w:b/>
          <w:bCs/>
          <w:color w:val="auto"/>
          <w:lang w:eastAsia="en-US"/>
          <w14:ligatures w14:val="standardContextual"/>
        </w:rPr>
      </w:pPr>
    </w:p>
    <w:p w14:paraId="2541C5AE" w14:textId="77777777" w:rsidR="005F0D52" w:rsidRPr="009C6925" w:rsidRDefault="005F0D52" w:rsidP="005F0D52">
      <w:pPr>
        <w:spacing w:after="0" w:line="360" w:lineRule="auto"/>
        <w:contextualSpacing/>
        <w:jc w:val="center"/>
        <w:rPr>
          <w:rFonts w:eastAsia="Calibri" w:cs="Times New Roman"/>
          <w:b/>
          <w:bCs/>
          <w:color w:val="auto"/>
          <w:lang w:eastAsia="en-US"/>
          <w14:ligatures w14:val="standardContextual"/>
        </w:rPr>
      </w:pPr>
      <w:r w:rsidRPr="009C6925">
        <w:rPr>
          <w:rFonts w:eastAsia="Calibri" w:cs="Times New Roman"/>
          <w:b/>
          <w:bCs/>
          <w:color w:val="auto"/>
          <w:lang w:eastAsia="en-US"/>
          <w14:ligatures w14:val="standardContextual"/>
        </w:rPr>
        <w:t>R E S U E L V E</w:t>
      </w:r>
    </w:p>
    <w:p w14:paraId="0E422D9F" w14:textId="77777777" w:rsidR="005F0D52" w:rsidRPr="009C6925" w:rsidRDefault="005F0D52" w:rsidP="005F0D52">
      <w:pPr>
        <w:spacing w:after="0" w:line="360" w:lineRule="auto"/>
        <w:contextualSpacing/>
        <w:jc w:val="center"/>
        <w:rPr>
          <w:rFonts w:eastAsia="Calibri" w:cs="Times New Roman"/>
          <w:b/>
          <w:bCs/>
          <w:color w:val="auto"/>
          <w:lang w:eastAsia="en-US"/>
          <w14:ligatures w14:val="standardContextual"/>
        </w:rPr>
      </w:pPr>
    </w:p>
    <w:p w14:paraId="25DF9ACB" w14:textId="3DAC230D" w:rsidR="005F0D52" w:rsidRPr="009C6925" w:rsidRDefault="005F0D52" w:rsidP="005F0D52">
      <w:pPr>
        <w:spacing w:after="0" w:line="360" w:lineRule="auto"/>
        <w:contextualSpacing/>
        <w:rPr>
          <w:rFonts w:eastAsia="Calibri" w:cs="Times New Roman"/>
          <w:color w:val="auto"/>
          <w:lang w:eastAsia="en-US"/>
          <w14:ligatures w14:val="standardContextual"/>
        </w:rPr>
      </w:pPr>
      <w:r w:rsidRPr="009C6925">
        <w:rPr>
          <w:rFonts w:eastAsia="Calibri" w:cs="Tahoma"/>
          <w:b/>
          <w:bCs/>
          <w:color w:val="auto"/>
          <w:lang w:eastAsia="en-US"/>
          <w14:ligatures w14:val="standardContextual"/>
        </w:rPr>
        <w:t xml:space="preserve">PRIMERO. </w:t>
      </w:r>
      <w:r w:rsidRPr="009C6925">
        <w:rPr>
          <w:rFonts w:eastAsia="Calibri" w:cs="Tahoma"/>
          <w:bCs/>
          <w:color w:val="auto"/>
          <w:lang w:eastAsia="en-US"/>
          <w14:ligatures w14:val="standardContextual"/>
        </w:rPr>
        <w:t xml:space="preserve">Se </w:t>
      </w:r>
      <w:r w:rsidRPr="009C6925">
        <w:rPr>
          <w:rFonts w:eastAsia="Calibri" w:cs="Tahoma"/>
          <w:b/>
          <w:bCs/>
          <w:color w:val="auto"/>
          <w:lang w:eastAsia="en-US"/>
          <w14:ligatures w14:val="standardContextual"/>
        </w:rPr>
        <w:t xml:space="preserve">REVOCAN </w:t>
      </w:r>
      <w:r w:rsidRPr="009C6925">
        <w:rPr>
          <w:rFonts w:eastAsia="Calibri" w:cs="Tahoma"/>
          <w:bCs/>
          <w:color w:val="auto"/>
          <w:lang w:eastAsia="en-US"/>
          <w14:ligatures w14:val="standardContextual"/>
        </w:rPr>
        <w:t>la respuesta entregada por el Ayuntamiento de Zumpango, a la solicitud de información</w:t>
      </w:r>
      <w:r w:rsidRPr="009C6925">
        <w:rPr>
          <w:rFonts w:eastAsia="Calibri" w:cs="Times New Roman"/>
          <w:color w:val="auto"/>
          <w:lang w:eastAsia="en-US"/>
          <w14:ligatures w14:val="standardContextual"/>
        </w:rPr>
        <w:t xml:space="preserve"> </w:t>
      </w:r>
      <w:r w:rsidRPr="009C6925">
        <w:rPr>
          <w:rFonts w:eastAsia="Calibri" w:cs="Tahoma"/>
          <w:bCs/>
          <w:color w:val="auto"/>
          <w:lang w:eastAsia="en-US"/>
          <w14:ligatures w14:val="standardContextual"/>
        </w:rPr>
        <w:t>00082/ZUMPANGO/IP/2024</w:t>
      </w:r>
      <w:r w:rsidRPr="009C6925">
        <w:rPr>
          <w:rFonts w:eastAsia="Calibri" w:cs="Times New Roman"/>
          <w:bCs/>
          <w:color w:val="auto"/>
          <w:lang w:eastAsia="en-US"/>
          <w14:ligatures w14:val="standardContextual"/>
        </w:rPr>
        <w:t xml:space="preserve">, por resultar </w:t>
      </w:r>
      <w:r w:rsidRPr="009C6925">
        <w:rPr>
          <w:rFonts w:eastAsia="Calibri" w:cs="Times New Roman"/>
          <w:b/>
          <w:bCs/>
          <w:color w:val="auto"/>
          <w:lang w:eastAsia="en-US"/>
          <w14:ligatures w14:val="standardContextual"/>
        </w:rPr>
        <w:t>FUNDADAS</w:t>
      </w:r>
      <w:r w:rsidRPr="009C6925">
        <w:rPr>
          <w:rFonts w:eastAsia="Calibri" w:cs="Tahoma"/>
          <w:b/>
          <w:bCs/>
          <w:color w:val="auto"/>
          <w:lang w:eastAsia="en-US"/>
          <w14:ligatures w14:val="standardContextual"/>
        </w:rPr>
        <w:t xml:space="preserve"> </w:t>
      </w:r>
      <w:r w:rsidRPr="009C6925">
        <w:rPr>
          <w:rFonts w:eastAsia="Calibri" w:cs="Tahoma"/>
          <w:bCs/>
          <w:color w:val="auto"/>
          <w:lang w:eastAsia="en-US"/>
          <w14:ligatures w14:val="standardContextual"/>
        </w:rPr>
        <w:t xml:space="preserve">las razones </w:t>
      </w:r>
      <w:r w:rsidRPr="009C6925">
        <w:rPr>
          <w:rFonts w:eastAsia="Calibri" w:cs="Tahoma"/>
          <w:bCs/>
          <w:color w:val="auto"/>
          <w:lang w:eastAsia="en-US"/>
          <w14:ligatures w14:val="standardContextual"/>
        </w:rPr>
        <w:lastRenderedPageBreak/>
        <w:t>o motivos de inconformidad hechos valer por el Recurrente, en términos de los considerandos QUINTO y SEXTO de la presente Resolución.</w:t>
      </w:r>
    </w:p>
    <w:p w14:paraId="062F115B" w14:textId="77777777" w:rsidR="00280E15" w:rsidRPr="009C6925" w:rsidRDefault="00280E15" w:rsidP="0008269D">
      <w:pPr>
        <w:spacing w:after="0" w:line="360" w:lineRule="auto"/>
        <w:rPr>
          <w:rFonts w:eastAsia="Calibri" w:cs="Tahoma"/>
          <w:bCs/>
          <w:color w:val="FF0000"/>
          <w:lang w:val="es-ES"/>
        </w:rPr>
      </w:pPr>
    </w:p>
    <w:p w14:paraId="2D11684B" w14:textId="2EF8411A" w:rsidR="005F0D52" w:rsidRPr="009C6925" w:rsidRDefault="005F0D52" w:rsidP="005F0D52">
      <w:pPr>
        <w:widowControl w:val="0"/>
        <w:spacing w:after="0" w:line="360" w:lineRule="auto"/>
        <w:rPr>
          <w:color w:val="auto"/>
        </w:rPr>
      </w:pPr>
      <w:r w:rsidRPr="009C6925">
        <w:rPr>
          <w:rFonts w:eastAsia="Calibri" w:cs="Tahoma"/>
          <w:b/>
          <w:bCs/>
          <w:color w:val="auto"/>
          <w:lang w:eastAsia="en-US"/>
          <w14:ligatures w14:val="standardContextual"/>
        </w:rPr>
        <w:t xml:space="preserve">SEGUNDO. </w:t>
      </w:r>
      <w:r w:rsidRPr="009C6925">
        <w:rPr>
          <w:rFonts w:eastAsia="Calibri" w:cs="Times New Roman"/>
          <w:color w:val="auto"/>
          <w:lang w:eastAsia="en-US"/>
          <w14:ligatures w14:val="standardContextual"/>
        </w:rPr>
        <w:t xml:space="preserve">Se </w:t>
      </w:r>
      <w:r w:rsidRPr="009C6925">
        <w:rPr>
          <w:rFonts w:eastAsia="Calibri" w:cs="Times New Roman"/>
          <w:b/>
          <w:color w:val="auto"/>
          <w:lang w:eastAsia="en-US"/>
          <w14:ligatures w14:val="standardContextual"/>
        </w:rPr>
        <w:t>ORDENA</w:t>
      </w:r>
      <w:r w:rsidRPr="009C6925">
        <w:rPr>
          <w:rFonts w:eastAsia="Calibri" w:cs="Times New Roman"/>
          <w:color w:val="auto"/>
          <w:lang w:eastAsia="en-US"/>
          <w14:ligatures w14:val="standardContextual"/>
        </w:rPr>
        <w:t xml:space="preserve"> al Ente Recurrido</w:t>
      </w:r>
      <w:r w:rsidRPr="009C6925">
        <w:rPr>
          <w:rFonts w:eastAsia="Calibri" w:cs="Times New Roman"/>
          <w:b/>
          <w:color w:val="auto"/>
          <w:lang w:eastAsia="en-US"/>
          <w14:ligatures w14:val="standardContextual"/>
        </w:rPr>
        <w:t xml:space="preserve">, </w:t>
      </w:r>
      <w:r w:rsidRPr="009C6925">
        <w:rPr>
          <w:rFonts w:eastAsia="Calibri" w:cs="Times New Roman"/>
          <w:color w:val="auto"/>
          <w:lang w:eastAsia="en-US"/>
          <w14:ligatures w14:val="standardContextual"/>
        </w:rPr>
        <w:t>a efecto de que previa búsqueda exhaustiva y razonable, en los archivos de las unidades administrativas competentes, entregue a través del Sistema de Acceso a la Información Mexiquense (SAIMEX), en su caso, en versión pública,</w:t>
      </w:r>
      <w:r w:rsidRPr="009C6925">
        <w:rPr>
          <w:color w:val="auto"/>
        </w:rPr>
        <w:t xml:space="preserve"> del periodo que comprende del primero de octubre de dos mil veintitrés al dieciocho de abril de dos mil veinticuatro,</w:t>
      </w:r>
      <w:r w:rsidRPr="009C6925">
        <w:rPr>
          <w:rFonts w:eastAsia="Calibri" w:cs="Times New Roman"/>
          <w:color w:val="000000"/>
          <w:lang w:eastAsia="en-US"/>
          <w14:ligatures w14:val="standardContextual"/>
        </w:rPr>
        <w:t xml:space="preserve"> </w:t>
      </w:r>
      <w:r w:rsidRPr="009C6925">
        <w:rPr>
          <w:color w:val="auto"/>
        </w:rPr>
        <w:t>lo siguiente:</w:t>
      </w:r>
    </w:p>
    <w:p w14:paraId="04E65E89" w14:textId="77777777" w:rsidR="005F0D52" w:rsidRPr="009C6925" w:rsidRDefault="005F0D52" w:rsidP="005F0D52">
      <w:pPr>
        <w:widowControl w:val="0"/>
        <w:spacing w:after="0" w:line="360" w:lineRule="auto"/>
        <w:rPr>
          <w:color w:val="auto"/>
        </w:rPr>
      </w:pPr>
    </w:p>
    <w:p w14:paraId="0FDAE1DC" w14:textId="77777777" w:rsidR="005F0D52" w:rsidRPr="009C6925" w:rsidRDefault="005F0D52" w:rsidP="00725F8E">
      <w:pPr>
        <w:pStyle w:val="Prrafodelista"/>
        <w:widowControl w:val="0"/>
        <w:numPr>
          <w:ilvl w:val="0"/>
          <w:numId w:val="7"/>
        </w:numPr>
        <w:spacing w:after="0" w:line="360" w:lineRule="auto"/>
        <w:rPr>
          <w:color w:val="auto"/>
        </w:rPr>
      </w:pPr>
      <w:r w:rsidRPr="009C6925">
        <w:rPr>
          <w:color w:val="auto"/>
        </w:rPr>
        <w:t>Los contratos de publicidad para difundir obras municipales.</w:t>
      </w:r>
    </w:p>
    <w:p w14:paraId="14C56A51" w14:textId="77777777" w:rsidR="005F0D52" w:rsidRPr="009C6925" w:rsidRDefault="005F0D52" w:rsidP="005F0D52">
      <w:pPr>
        <w:pStyle w:val="Prrafodelista"/>
        <w:widowControl w:val="0"/>
        <w:spacing w:after="0" w:line="360" w:lineRule="auto"/>
        <w:rPr>
          <w:color w:val="auto"/>
        </w:rPr>
      </w:pPr>
    </w:p>
    <w:p w14:paraId="0A6A4F24" w14:textId="386EEC51" w:rsidR="0052716B" w:rsidRPr="009C6925" w:rsidRDefault="0052716B" w:rsidP="0052716B">
      <w:pPr>
        <w:pStyle w:val="Prrafodelista"/>
        <w:numPr>
          <w:ilvl w:val="0"/>
          <w:numId w:val="7"/>
        </w:numPr>
        <w:spacing w:after="0" w:line="360" w:lineRule="auto"/>
        <w:rPr>
          <w:color w:val="auto"/>
        </w:rPr>
      </w:pPr>
      <w:r w:rsidRPr="009C6925">
        <w:rPr>
          <w:color w:val="auto"/>
        </w:rPr>
        <w:t xml:space="preserve">Los documentos donde conste la instrucción a los servidores públicos, para pintar o instalar publicidad relacionada con las obras municipales. </w:t>
      </w:r>
    </w:p>
    <w:p w14:paraId="486547F9" w14:textId="77777777" w:rsidR="005F0D52" w:rsidRPr="009C6925" w:rsidRDefault="005F0D52" w:rsidP="0052716B">
      <w:pPr>
        <w:spacing w:after="0" w:line="360" w:lineRule="auto"/>
        <w:contextualSpacing/>
        <w:rPr>
          <w:rFonts w:eastAsia="Calibri" w:cs="Times New Roman"/>
          <w:color w:val="FF0000"/>
          <w:szCs w:val="24"/>
          <w:lang w:val="es-ES" w:eastAsia="en-US"/>
          <w14:ligatures w14:val="standardContextual"/>
        </w:rPr>
      </w:pPr>
    </w:p>
    <w:p w14:paraId="7086EB54" w14:textId="77777777" w:rsidR="005F0D52" w:rsidRPr="009C6925" w:rsidRDefault="005F0D52" w:rsidP="0052716B">
      <w:pPr>
        <w:spacing w:after="0" w:line="360" w:lineRule="auto"/>
        <w:rPr>
          <w:rFonts w:eastAsia="Calibri" w:cs="Tahoma"/>
          <w:bCs/>
          <w:iCs/>
          <w:color w:val="auto"/>
          <w:lang w:eastAsia="es-ES"/>
          <w14:ligatures w14:val="standardContextual"/>
        </w:rPr>
      </w:pPr>
      <w:r w:rsidRPr="009C6925">
        <w:rPr>
          <w:rFonts w:eastAsia="Calibri" w:cs="Times New Roman"/>
          <w:color w:val="auto"/>
          <w:lang w:eastAsia="en-US"/>
          <w14:ligatures w14:val="standardContextual"/>
        </w:rPr>
        <w:t xml:space="preserve">Además, deberá proporcionar el Acuerdo donde el Comité de Transparencia, confirme la eliminación de los datos o información, </w:t>
      </w:r>
      <w:r w:rsidRPr="009C6925">
        <w:rPr>
          <w:rFonts w:eastAsia="Calibri" w:cs="Tahoma"/>
          <w:bCs/>
          <w:iCs/>
          <w:color w:val="auto"/>
          <w:lang w:eastAsia="es-ES"/>
          <w14:ligatures w14:val="standardContextual"/>
        </w:rPr>
        <w:t>en la versión pública, de conformidad con los artículos 49, fracciones II y VIII y 132, fracción II de la Ley de Transparencia y Acceso a la Información Pública del Estado de México y Municipios.</w:t>
      </w:r>
    </w:p>
    <w:p w14:paraId="01930C07" w14:textId="77777777" w:rsidR="005F0D52" w:rsidRPr="009C6925" w:rsidRDefault="005F0D52" w:rsidP="0052716B">
      <w:pPr>
        <w:spacing w:after="0" w:line="360" w:lineRule="auto"/>
        <w:rPr>
          <w:rFonts w:eastAsia="Calibri" w:cs="Tahoma"/>
          <w:bCs/>
          <w:iCs/>
          <w:color w:val="auto"/>
          <w:lang w:eastAsia="es-ES"/>
          <w14:ligatures w14:val="standardContextual"/>
        </w:rPr>
      </w:pPr>
    </w:p>
    <w:p w14:paraId="02FEE77C" w14:textId="3E767BF0" w:rsidR="005F0D52" w:rsidRPr="009C6925" w:rsidRDefault="005F0D52" w:rsidP="0052716B">
      <w:pPr>
        <w:spacing w:after="0" w:line="360" w:lineRule="auto"/>
        <w:rPr>
          <w:rFonts w:eastAsia="Calibri" w:cs="Tahoma"/>
          <w:bCs/>
          <w:iCs/>
          <w:color w:val="auto"/>
          <w:lang w:eastAsia="es-ES"/>
          <w14:ligatures w14:val="standardContextual"/>
        </w:rPr>
      </w:pPr>
      <w:r w:rsidRPr="009C6925">
        <w:rPr>
          <w:rFonts w:eastAsia="Calibri" w:cs="Tahoma"/>
          <w:bCs/>
          <w:iCs/>
          <w:color w:val="auto"/>
          <w:lang w:eastAsia="es-ES"/>
          <w14:ligatures w14:val="standardContextual"/>
        </w:rPr>
        <w:t xml:space="preserve">Para el caso, referente al punto 2, de que la publicidad para difundir obras no haya sido realizada por personal adscrito al </w:t>
      </w:r>
      <w:r w:rsidR="0052716B" w:rsidRPr="009C6925">
        <w:rPr>
          <w:rFonts w:eastAsia="Calibri" w:cs="Tahoma"/>
          <w:bCs/>
          <w:iCs/>
          <w:color w:val="auto"/>
          <w:lang w:eastAsia="es-ES"/>
          <w14:ligatures w14:val="standardContextual"/>
        </w:rPr>
        <w:t>A</w:t>
      </w:r>
      <w:r w:rsidRPr="009C6925">
        <w:rPr>
          <w:rFonts w:eastAsia="Calibri" w:cs="Tahoma"/>
          <w:bCs/>
          <w:iCs/>
          <w:color w:val="auto"/>
          <w:lang w:eastAsia="es-ES"/>
          <w14:ligatures w14:val="standardContextual"/>
        </w:rPr>
        <w:t>yuntamiento, deberá hacerlo del conocimiento del Recurrente, de manera clara y precisa.</w:t>
      </w:r>
    </w:p>
    <w:p w14:paraId="2B425DDC" w14:textId="77777777" w:rsidR="005F0D52" w:rsidRPr="009C6925" w:rsidRDefault="005F0D52" w:rsidP="005F0D52">
      <w:pPr>
        <w:spacing w:after="0" w:line="360" w:lineRule="auto"/>
        <w:rPr>
          <w:rFonts w:eastAsia="Calibri" w:cs="Tahoma"/>
          <w:bCs/>
          <w:iCs/>
          <w:color w:val="auto"/>
          <w:lang w:eastAsia="es-ES"/>
          <w14:ligatures w14:val="standardContextual"/>
        </w:rPr>
      </w:pPr>
    </w:p>
    <w:p w14:paraId="08033E2B" w14:textId="5E87B91C" w:rsidR="005F0D52" w:rsidRPr="009C6925" w:rsidRDefault="005F0D52" w:rsidP="005F0D52">
      <w:pPr>
        <w:spacing w:after="0" w:line="360" w:lineRule="auto"/>
        <w:ind w:right="-28"/>
        <w:contextualSpacing/>
        <w:rPr>
          <w:rFonts w:eastAsia="Calibri" w:cs="Tahoma"/>
          <w:b/>
          <w:iCs/>
          <w:color w:val="auto"/>
          <w:lang w:eastAsia="en-US"/>
          <w14:ligatures w14:val="standardContextual"/>
        </w:rPr>
      </w:pPr>
      <w:r w:rsidRPr="009C6925">
        <w:rPr>
          <w:rFonts w:eastAsia="Calibri" w:cs="Tahoma"/>
          <w:b/>
          <w:bCs/>
          <w:color w:val="auto"/>
          <w:lang w:eastAsia="en-US"/>
          <w14:ligatures w14:val="standardContextual"/>
        </w:rPr>
        <w:t xml:space="preserve">TERCERO. </w:t>
      </w:r>
      <w:r w:rsidRPr="009C6925">
        <w:rPr>
          <w:rFonts w:eastAsia="Calibri" w:cs="Tahoma"/>
          <w:b/>
          <w:bCs/>
          <w:iCs/>
          <w:color w:val="auto"/>
          <w:lang w:eastAsia="en-US"/>
          <w14:ligatures w14:val="standardContextual"/>
        </w:rPr>
        <w:t xml:space="preserve">NOTIFÍQUESE  POR SAIMEX </w:t>
      </w:r>
      <w:r w:rsidRPr="009C6925">
        <w:rPr>
          <w:rFonts w:eastAsia="Calibri" w:cs="Tahoma"/>
          <w:bCs/>
          <w:iCs/>
          <w:color w:val="auto"/>
          <w:lang w:eastAsia="en-US"/>
          <w14:ligatures w14:val="standardContextua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9C6925">
        <w:rPr>
          <w:rFonts w:eastAsia="Calibri" w:cs="Tahoma"/>
          <w:bCs/>
          <w:iCs/>
          <w:color w:val="auto"/>
          <w:lang w:eastAsia="en-US"/>
          <w14:ligatures w14:val="standardContextual"/>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F749AFC" w14:textId="77777777" w:rsidR="005F0D52" w:rsidRPr="009C6925" w:rsidRDefault="005F0D52" w:rsidP="005F0D52">
      <w:pPr>
        <w:spacing w:after="0" w:line="360" w:lineRule="auto"/>
        <w:ind w:right="-28"/>
        <w:contextualSpacing/>
        <w:rPr>
          <w:rFonts w:eastAsia="Calibri" w:cs="Tahoma"/>
          <w:color w:val="auto"/>
          <w:lang w:val="es-ES"/>
          <w14:ligatures w14:val="standardContextual"/>
        </w:rPr>
      </w:pPr>
    </w:p>
    <w:p w14:paraId="376AC28E" w14:textId="77777777" w:rsidR="005F0D52" w:rsidRPr="009C6925" w:rsidRDefault="005F0D52" w:rsidP="005F0D52">
      <w:pPr>
        <w:spacing w:after="0" w:line="360" w:lineRule="auto"/>
        <w:contextualSpacing/>
        <w:rPr>
          <w:rFonts w:eastAsia="Calibri" w:cs="Tahoma"/>
          <w:iCs/>
          <w:color w:val="auto"/>
          <w:lang w:eastAsia="en-US"/>
          <w14:ligatures w14:val="standardContextual"/>
        </w:rPr>
      </w:pPr>
      <w:r w:rsidRPr="009C6925">
        <w:rPr>
          <w:rFonts w:eastAsia="Calibri" w:cs="Tahoma"/>
          <w:iCs/>
          <w:color w:val="auto"/>
          <w:lang w:eastAsia="en-US"/>
          <w14:ligatures w14:val="standardContextu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5B68673" w14:textId="77777777" w:rsidR="005F0D52" w:rsidRPr="009C6925" w:rsidRDefault="005F0D52" w:rsidP="005F0D52">
      <w:pPr>
        <w:spacing w:after="0" w:line="360" w:lineRule="auto"/>
        <w:contextualSpacing/>
        <w:rPr>
          <w:rFonts w:eastAsia="Calibri" w:cs="Tahoma"/>
          <w:color w:val="auto"/>
          <w:lang w:val="es-ES"/>
          <w14:ligatures w14:val="standardContextual"/>
        </w:rPr>
      </w:pPr>
    </w:p>
    <w:p w14:paraId="16509A7C" w14:textId="009B57E5" w:rsidR="005F0D52" w:rsidRPr="009C6925" w:rsidRDefault="005F0D52" w:rsidP="005F0D52">
      <w:pPr>
        <w:spacing w:after="0" w:line="360" w:lineRule="auto"/>
        <w:contextualSpacing/>
        <w:rPr>
          <w:rFonts w:eastAsia="Times New Roman" w:cs="Tahoma"/>
          <w:color w:val="auto"/>
          <w:lang w:eastAsia="es-ES"/>
          <w14:ligatures w14:val="standardContextual"/>
        </w:rPr>
      </w:pPr>
      <w:r w:rsidRPr="009C6925">
        <w:rPr>
          <w:rFonts w:eastAsia="Calibri" w:cs="Tahoma"/>
          <w:b/>
          <w:color w:val="auto"/>
          <w14:ligatures w14:val="standardContextual"/>
        </w:rPr>
        <w:t>CUARTO</w:t>
      </w:r>
      <w:r w:rsidRPr="009C6925">
        <w:rPr>
          <w:rFonts w:eastAsia="Calibri" w:cs="Tahoma"/>
          <w:b/>
          <w:bCs/>
          <w:color w:val="auto"/>
          <w:lang w:eastAsia="en-US"/>
          <w14:ligatures w14:val="standardContextual"/>
        </w:rPr>
        <w:t xml:space="preserve">. </w:t>
      </w:r>
      <w:r w:rsidRPr="009C6925">
        <w:rPr>
          <w:rFonts w:eastAsia="Calibri" w:cs="Tahoma"/>
          <w:b/>
          <w:color w:val="auto"/>
          <w:lang w:eastAsia="en-US"/>
          <w14:ligatures w14:val="standardContextual"/>
        </w:rPr>
        <w:t>NOTIFÍQUESE</w:t>
      </w:r>
      <w:r w:rsidRPr="009C6925">
        <w:rPr>
          <w:rFonts w:eastAsia="Calibri" w:cs="Tahoma"/>
          <w:color w:val="auto"/>
          <w:lang w:eastAsia="en-US"/>
          <w14:ligatures w14:val="standardContextual"/>
        </w:rPr>
        <w:t xml:space="preserve"> </w:t>
      </w:r>
      <w:r w:rsidRPr="009C6925">
        <w:rPr>
          <w:rFonts w:eastAsia="Calibri" w:cs="Tahoma"/>
          <w:b/>
          <w:color w:val="auto"/>
          <w:lang w:eastAsia="en-US"/>
          <w14:ligatures w14:val="standardContextual"/>
        </w:rPr>
        <w:t xml:space="preserve">POR SAIMEX </w:t>
      </w:r>
      <w:r w:rsidRPr="009C6925">
        <w:rPr>
          <w:rFonts w:eastAsia="Calibri" w:cs="Tahoma"/>
          <w:color w:val="auto"/>
          <w:lang w:eastAsia="en-US"/>
          <w14:ligatures w14:val="standardContextual"/>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D433D12" w14:textId="77777777" w:rsidR="005F0D52" w:rsidRPr="009C6925" w:rsidRDefault="005F0D52" w:rsidP="005F0D52">
      <w:pPr>
        <w:spacing w:after="0" w:line="360" w:lineRule="auto"/>
        <w:contextualSpacing/>
        <w:rPr>
          <w:rFonts w:eastAsia="Calibri" w:cs="Arial"/>
          <w:b/>
          <w:bCs/>
          <w:color w:val="auto"/>
          <w:lang w:eastAsia="en-US"/>
          <w14:ligatures w14:val="standardContextual"/>
        </w:rPr>
      </w:pPr>
    </w:p>
    <w:p w14:paraId="078AB3F5" w14:textId="24712C4B" w:rsidR="005F0D52" w:rsidRDefault="005F0D52" w:rsidP="005F0D52">
      <w:pPr>
        <w:spacing w:after="0" w:line="360" w:lineRule="auto"/>
        <w:contextualSpacing/>
        <w:rPr>
          <w:rFonts w:eastAsia="Calibri" w:cs="Tahoma"/>
          <w:bCs/>
          <w:color w:val="auto"/>
          <w:lang w:eastAsia="en-US"/>
          <w14:ligatures w14:val="standardContextual"/>
        </w:rPr>
      </w:pPr>
      <w:r w:rsidRPr="009C6925">
        <w:rPr>
          <w:rFonts w:eastAsia="Calibri" w:cs="Tahoma"/>
          <w:bCs/>
          <w:color w:val="auto"/>
          <w:lang w:eastAsia="en-US"/>
          <w14:ligatures w14:val="standardContextual"/>
        </w:rPr>
        <w:t>ASÍ LO RESUELVE, POR </w:t>
      </w:r>
      <w:r w:rsidRPr="009C6925">
        <w:rPr>
          <w:rFonts w:eastAsia="Calibri" w:cs="Tahoma"/>
          <w:b/>
          <w:bCs/>
          <w:color w:val="auto"/>
          <w:lang w:eastAsia="en-US"/>
          <w14:ligatures w14:val="standardContextual"/>
        </w:rPr>
        <w:t>UNANIMIDAD</w:t>
      </w:r>
      <w:r w:rsidRPr="009C6925">
        <w:rPr>
          <w:rFonts w:eastAsia="Calibri" w:cs="Tahoma"/>
          <w:bCs/>
          <w:color w:val="auto"/>
          <w:lang w:eastAsia="en-US"/>
          <w14:ligatures w14:val="standardContextual"/>
        </w:rPr>
        <w:t> DE VOTOS EL PLENO DEL INSTITUTO DE TRANSPARENCIA, ACCESO A LA INFORMACIÓN PÚBLICA Y PROTECCIÓN DE DATOS PERSONALES DEL ESTADO DE MÉXICO Y MUNICIPIOS, CONFORMADO POR LOS COMISIONADOS JOSÉ MARTÍNEZ VILCHIS, MARÍA DEL ROSARIO MEJÍA AYALA, SHARON CRISTINA MORALE</w:t>
      </w:r>
      <w:r w:rsidR="008E74EA" w:rsidRPr="009C6925">
        <w:rPr>
          <w:rFonts w:eastAsia="Calibri" w:cs="Tahoma"/>
          <w:bCs/>
          <w:color w:val="auto"/>
          <w:lang w:eastAsia="en-US"/>
          <w14:ligatures w14:val="standardContextual"/>
        </w:rPr>
        <w:t xml:space="preserve">S MARTÍNEZ, </w:t>
      </w:r>
      <w:r w:rsidRPr="009C6925">
        <w:rPr>
          <w:rFonts w:eastAsia="Calibri" w:cs="Tahoma"/>
          <w:bCs/>
          <w:color w:val="auto"/>
          <w:lang w:eastAsia="en-US"/>
          <w14:ligatures w14:val="standardContextual"/>
        </w:rPr>
        <w:t xml:space="preserve">LUIS GUSTAVO PARRA NORIEGA Y GUADALUPE RAMÍREZ PEÑA, EN LA </w:t>
      </w:r>
      <w:r w:rsidR="00EB61E6" w:rsidRPr="009C6925">
        <w:rPr>
          <w:rFonts w:eastAsia="Calibri" w:cs="Tahoma"/>
          <w:bCs/>
          <w:color w:val="auto"/>
          <w:lang w:eastAsia="en-US"/>
          <w14:ligatures w14:val="standardContextual"/>
        </w:rPr>
        <w:t xml:space="preserve">TRIGÉSIMA SÉPTIMA </w:t>
      </w:r>
      <w:r w:rsidRPr="009C6925">
        <w:rPr>
          <w:rFonts w:eastAsia="Calibri" w:cs="Tahoma"/>
          <w:bCs/>
          <w:color w:val="auto"/>
          <w:lang w:eastAsia="en-US"/>
          <w14:ligatures w14:val="standardContextual"/>
        </w:rPr>
        <w:t>SESIÓN ORDINARIA, CE</w:t>
      </w:r>
      <w:r w:rsidR="00EB61E6" w:rsidRPr="009C6925">
        <w:rPr>
          <w:rFonts w:eastAsia="Calibri" w:cs="Tahoma"/>
          <w:bCs/>
          <w:color w:val="auto"/>
          <w:lang w:eastAsia="en-US"/>
          <w14:ligatures w14:val="standardContextual"/>
        </w:rPr>
        <w:t>LEBRADA EL DIECISÉIS  DE OCTUBRE</w:t>
      </w:r>
      <w:r w:rsidRPr="009C6925">
        <w:rPr>
          <w:rFonts w:eastAsia="Calibri" w:cs="Tahoma"/>
          <w:bCs/>
          <w:color w:val="auto"/>
          <w:lang w:eastAsia="en-US"/>
          <w14:ligatures w14:val="standardContextual"/>
        </w:rPr>
        <w:t xml:space="preserve"> DE DOS MIL VEINTICUATRO, ANTE EL SECRETARIO TÉCNICO DEL PLENO, ALEXIS TAPIA RAMÍREZ.</w:t>
      </w:r>
    </w:p>
    <w:p w14:paraId="3D6BFB62" w14:textId="77777777" w:rsidR="00434DD2" w:rsidRDefault="00434DD2" w:rsidP="005F0D52">
      <w:pPr>
        <w:spacing w:after="0" w:line="360" w:lineRule="auto"/>
        <w:contextualSpacing/>
        <w:rPr>
          <w:rFonts w:eastAsia="Calibri" w:cs="Tahoma"/>
          <w:bCs/>
          <w:color w:val="auto"/>
          <w:lang w:eastAsia="en-US"/>
          <w14:ligatures w14:val="standardContextual"/>
        </w:rPr>
      </w:pPr>
    </w:p>
    <w:p w14:paraId="7297A34F" w14:textId="77777777" w:rsidR="00434DD2" w:rsidRDefault="00434DD2" w:rsidP="005F0D52">
      <w:pPr>
        <w:spacing w:after="0" w:line="360" w:lineRule="auto"/>
        <w:contextualSpacing/>
        <w:rPr>
          <w:rFonts w:eastAsia="Calibri" w:cs="Tahoma"/>
          <w:bCs/>
          <w:color w:val="auto"/>
          <w:lang w:eastAsia="en-US"/>
          <w14:ligatures w14:val="standardContextual"/>
        </w:rPr>
      </w:pPr>
    </w:p>
    <w:p w14:paraId="3E60FD31" w14:textId="77777777" w:rsidR="00434DD2" w:rsidRDefault="00434DD2" w:rsidP="005F0D52">
      <w:pPr>
        <w:spacing w:after="0" w:line="360" w:lineRule="auto"/>
        <w:contextualSpacing/>
        <w:rPr>
          <w:rFonts w:eastAsia="Calibri" w:cs="Tahoma"/>
          <w:bCs/>
          <w:color w:val="auto"/>
          <w:lang w:eastAsia="en-US"/>
          <w14:ligatures w14:val="standardContextual"/>
        </w:rPr>
      </w:pPr>
    </w:p>
    <w:p w14:paraId="29DE256E" w14:textId="77777777" w:rsidR="00434DD2" w:rsidRPr="005F0D52" w:rsidRDefault="00434DD2" w:rsidP="005F0D52">
      <w:pPr>
        <w:spacing w:after="0" w:line="360" w:lineRule="auto"/>
        <w:contextualSpacing/>
        <w:rPr>
          <w:rFonts w:eastAsia="Calibri" w:cs="Tahoma"/>
          <w:bCs/>
          <w:color w:val="auto"/>
          <w:lang w:eastAsia="en-US"/>
          <w14:ligatures w14:val="standardContextual"/>
        </w:rPr>
      </w:pPr>
    </w:p>
    <w:p w14:paraId="6F267E5D" w14:textId="77777777" w:rsidR="005F0D52" w:rsidRPr="005F0D52" w:rsidRDefault="005F0D52" w:rsidP="005F0D52">
      <w:pPr>
        <w:spacing w:after="0" w:line="360" w:lineRule="auto"/>
        <w:rPr>
          <w:color w:val="FF0000"/>
        </w:rPr>
      </w:pPr>
    </w:p>
    <w:p w14:paraId="05ED5424" w14:textId="77777777" w:rsidR="00370F45" w:rsidRPr="00246EA2" w:rsidRDefault="00370F45" w:rsidP="0008269D">
      <w:pPr>
        <w:spacing w:after="0" w:line="360" w:lineRule="auto"/>
        <w:contextualSpacing/>
        <w:rPr>
          <w:rFonts w:eastAsia="Calibri"/>
          <w:color w:val="FF0000"/>
        </w:rPr>
      </w:pPr>
    </w:p>
    <w:sectPr w:rsidR="00370F45" w:rsidRPr="00246EA2" w:rsidSect="00055AC3">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929D" w14:textId="77777777" w:rsidR="000169CD" w:rsidRDefault="000169CD" w:rsidP="00DB3DC5">
      <w:pPr>
        <w:spacing w:after="0" w:line="240" w:lineRule="auto"/>
      </w:pPr>
      <w:r>
        <w:separator/>
      </w:r>
    </w:p>
  </w:endnote>
  <w:endnote w:type="continuationSeparator" w:id="0">
    <w:p w14:paraId="4BCEBD9E" w14:textId="77777777" w:rsidR="000169CD" w:rsidRDefault="000169CD"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271EF021" w14:textId="77777777" w:rsidR="00ED5588" w:rsidRDefault="00ED55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8EED6E3" w14:textId="77777777" w:rsidR="00ED5588" w:rsidRDefault="00ED55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4AF1A6A" w14:textId="77777777" w:rsidR="00ED5588" w:rsidRDefault="00ED55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34DD2">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34DD2">
              <w:rPr>
                <w:b/>
                <w:bCs/>
                <w:noProof/>
              </w:rPr>
              <w:t>24</w:t>
            </w:r>
            <w:r>
              <w:rPr>
                <w:b/>
                <w:bCs/>
                <w:sz w:val="24"/>
                <w:szCs w:val="24"/>
              </w:rPr>
              <w:fldChar w:fldCharType="end"/>
            </w:r>
          </w:p>
        </w:sdtContent>
      </w:sdt>
    </w:sdtContent>
  </w:sdt>
  <w:p w14:paraId="5C9540ED" w14:textId="77777777" w:rsidR="00ED5588" w:rsidRDefault="00ED55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4208A12E" w14:textId="77777777" w:rsidR="00ED5588" w:rsidRDefault="00ED55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C692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C6925">
              <w:rPr>
                <w:b/>
                <w:bCs/>
                <w:noProof/>
              </w:rPr>
              <w:t>23</w:t>
            </w:r>
            <w:r>
              <w:rPr>
                <w:b/>
                <w:bCs/>
                <w:sz w:val="24"/>
                <w:szCs w:val="24"/>
              </w:rPr>
              <w:fldChar w:fldCharType="end"/>
            </w:r>
          </w:p>
        </w:sdtContent>
      </w:sdt>
    </w:sdtContent>
  </w:sdt>
  <w:p w14:paraId="601C40B8" w14:textId="77777777" w:rsidR="00ED5588" w:rsidRDefault="00ED55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7FFD6" w14:textId="77777777" w:rsidR="000169CD" w:rsidRDefault="000169CD" w:rsidP="00DB3DC5">
      <w:pPr>
        <w:spacing w:after="0" w:line="240" w:lineRule="auto"/>
      </w:pPr>
      <w:r>
        <w:separator/>
      </w:r>
    </w:p>
  </w:footnote>
  <w:footnote w:type="continuationSeparator" w:id="0">
    <w:p w14:paraId="0E2A0DB5" w14:textId="77777777" w:rsidR="000169CD" w:rsidRDefault="000169CD"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ED5588" w:rsidRPr="00E152D8" w14:paraId="04B090CA" w14:textId="77777777" w:rsidTr="00347876">
      <w:trPr>
        <w:trHeight w:val="132"/>
      </w:trPr>
      <w:tc>
        <w:tcPr>
          <w:tcW w:w="2691" w:type="dxa"/>
        </w:tcPr>
        <w:p w14:paraId="476D4D83"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ED5588" w:rsidRPr="00EE1572" w:rsidRDefault="00ED5588" w:rsidP="00347876">
          <w:pPr>
            <w:tabs>
              <w:tab w:val="right" w:pos="8838"/>
            </w:tabs>
            <w:ind w:left="-28" w:right="-32"/>
            <w:rPr>
              <w:rFonts w:eastAsia="Calibri" w:cs="Tahoma"/>
            </w:rPr>
          </w:pPr>
          <w:r w:rsidRPr="00EE1572">
            <w:rPr>
              <w:rFonts w:eastAsia="Calibri" w:cs="Tahoma"/>
            </w:rPr>
            <w:t>03846/INFOEM/IP/RR/2020</w:t>
          </w:r>
        </w:p>
      </w:tc>
    </w:tr>
    <w:tr w:rsidR="00ED5588" w:rsidRPr="00E152D8" w14:paraId="1A944E3B" w14:textId="77777777" w:rsidTr="00347876">
      <w:trPr>
        <w:trHeight w:val="261"/>
      </w:trPr>
      <w:tc>
        <w:tcPr>
          <w:tcW w:w="2691" w:type="dxa"/>
        </w:tcPr>
        <w:p w14:paraId="04AF3D79" w14:textId="77777777" w:rsidR="00ED5588" w:rsidRPr="00E152D8" w:rsidRDefault="00ED558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ED5588" w:rsidRPr="00EE1572" w:rsidRDefault="00ED5588" w:rsidP="00347876">
          <w:pPr>
            <w:tabs>
              <w:tab w:val="right" w:pos="8838"/>
            </w:tabs>
            <w:ind w:right="-32"/>
            <w:rPr>
              <w:rFonts w:eastAsia="Calibri" w:cs="Tahoma"/>
              <w:lang w:val="es-MX"/>
            </w:rPr>
          </w:pPr>
          <w:r w:rsidRPr="00EE1572">
            <w:rPr>
              <w:rFonts w:eastAsia="Calibri" w:cs="Tahoma"/>
              <w:lang w:val="es-MX"/>
            </w:rPr>
            <w:t>Ayuntamiento de Temascalcingo</w:t>
          </w:r>
        </w:p>
      </w:tc>
    </w:tr>
    <w:tr w:rsidR="00ED5588" w:rsidRPr="00E152D8" w14:paraId="51F43EE6" w14:textId="77777777" w:rsidTr="00347876">
      <w:trPr>
        <w:trHeight w:val="261"/>
      </w:trPr>
      <w:tc>
        <w:tcPr>
          <w:tcW w:w="2691" w:type="dxa"/>
        </w:tcPr>
        <w:p w14:paraId="4689E914"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ED5588" w:rsidRPr="00E152D8" w:rsidRDefault="00ED5588"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ED5588" w:rsidRDefault="0000000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803"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ED5588" w:rsidRPr="00E152D8" w14:paraId="6AD70801" w14:textId="77777777" w:rsidTr="0052716B">
      <w:trPr>
        <w:trHeight w:val="138"/>
      </w:trPr>
      <w:tc>
        <w:tcPr>
          <w:tcW w:w="2551" w:type="dxa"/>
          <w:vAlign w:val="center"/>
        </w:tcPr>
        <w:p w14:paraId="4714C583" w14:textId="77777777" w:rsidR="00ED5588" w:rsidRPr="00E152D8" w:rsidRDefault="00ED5588"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471FEA36" w:rsidR="00ED5588" w:rsidRPr="00051642" w:rsidRDefault="00ED5588" w:rsidP="00347876">
          <w:pPr>
            <w:tabs>
              <w:tab w:val="right" w:pos="8838"/>
            </w:tabs>
            <w:ind w:left="-113" w:right="57"/>
            <w:rPr>
              <w:rFonts w:eastAsia="Calibri" w:cs="Tahoma"/>
            </w:rPr>
          </w:pPr>
          <w:r w:rsidRPr="00620A21">
            <w:rPr>
              <w:rFonts w:eastAsia="Calibri" w:cs="Tahoma"/>
            </w:rPr>
            <w:t>03296/INFOEM/IP/RR/2024</w:t>
          </w:r>
        </w:p>
      </w:tc>
    </w:tr>
    <w:tr w:rsidR="00ED5588" w:rsidRPr="00E152D8" w14:paraId="7FF5EABC" w14:textId="77777777" w:rsidTr="0052716B">
      <w:trPr>
        <w:trHeight w:val="273"/>
      </w:trPr>
      <w:tc>
        <w:tcPr>
          <w:tcW w:w="2551" w:type="dxa"/>
        </w:tcPr>
        <w:p w14:paraId="565B10D1" w14:textId="77777777" w:rsidR="00ED5588" w:rsidRPr="00E152D8" w:rsidRDefault="00ED558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2A8DDC41" w:rsidR="00ED5588" w:rsidRPr="00051642" w:rsidRDefault="00ED5588" w:rsidP="00620A21">
          <w:pPr>
            <w:tabs>
              <w:tab w:val="right" w:pos="8838"/>
            </w:tabs>
            <w:ind w:left="-113" w:right="-102"/>
            <w:rPr>
              <w:rFonts w:eastAsia="Calibri" w:cs="Tahoma"/>
              <w:lang w:val="es-MX"/>
            </w:rPr>
          </w:pPr>
          <w:r>
            <w:rPr>
              <w:rFonts w:eastAsia="Calibri" w:cs="Tahoma"/>
              <w:lang w:val="es-MX"/>
            </w:rPr>
            <w:t>Ayuntamiento de Zumpango</w:t>
          </w:r>
        </w:p>
      </w:tc>
    </w:tr>
    <w:tr w:rsidR="00ED5588" w:rsidRPr="00E152D8" w14:paraId="3156BE5F" w14:textId="77777777" w:rsidTr="0052716B">
      <w:trPr>
        <w:trHeight w:val="273"/>
      </w:trPr>
      <w:tc>
        <w:tcPr>
          <w:tcW w:w="2551" w:type="dxa"/>
        </w:tcPr>
        <w:p w14:paraId="183B2F1A"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ED5588" w:rsidRPr="00E152D8" w:rsidRDefault="00ED5588"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ED5588" w:rsidRDefault="0000000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395"/>
    </w:tblGrid>
    <w:tr w:rsidR="00ED5588" w:rsidRPr="00E152D8" w14:paraId="773597DE" w14:textId="77777777" w:rsidTr="00A863A4">
      <w:trPr>
        <w:trHeight w:val="132"/>
      </w:trPr>
      <w:tc>
        <w:tcPr>
          <w:tcW w:w="2551" w:type="dxa"/>
        </w:tcPr>
        <w:p w14:paraId="4FCB3AA3"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Recurso de Revisión:</w:t>
          </w:r>
        </w:p>
      </w:tc>
      <w:tc>
        <w:tcPr>
          <w:tcW w:w="4395" w:type="dxa"/>
        </w:tcPr>
        <w:p w14:paraId="42955DA0" w14:textId="69B50529" w:rsidR="00ED5588" w:rsidRPr="00051642" w:rsidRDefault="00ED5588" w:rsidP="00347876">
          <w:pPr>
            <w:tabs>
              <w:tab w:val="right" w:pos="8838"/>
            </w:tabs>
            <w:ind w:left="-111" w:right="-32"/>
            <w:rPr>
              <w:rFonts w:eastAsia="Calibri" w:cs="Tahoma"/>
            </w:rPr>
          </w:pPr>
          <w:r w:rsidRPr="00246EA2">
            <w:rPr>
              <w:rFonts w:eastAsia="Calibri" w:cs="Tahoma"/>
              <w:lang w:val="es-MX"/>
            </w:rPr>
            <w:t>03296/INFOEM/IP/RR/2024</w:t>
          </w:r>
        </w:p>
      </w:tc>
    </w:tr>
    <w:tr w:rsidR="00ED5588" w:rsidRPr="00E152D8" w14:paraId="202FB661" w14:textId="77777777" w:rsidTr="00A863A4">
      <w:trPr>
        <w:trHeight w:val="132"/>
      </w:trPr>
      <w:tc>
        <w:tcPr>
          <w:tcW w:w="2551" w:type="dxa"/>
          <w:shd w:val="clear" w:color="auto" w:fill="auto"/>
        </w:tcPr>
        <w:p w14:paraId="5E100A32" w14:textId="77777777" w:rsidR="00ED5588" w:rsidRPr="00E152D8" w:rsidRDefault="00ED5588"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395" w:type="dxa"/>
          <w:shd w:val="clear" w:color="auto" w:fill="auto"/>
        </w:tcPr>
        <w:p w14:paraId="28640565" w14:textId="7FB4AF99" w:rsidR="00ED5588" w:rsidRPr="00E21446" w:rsidRDefault="00731595" w:rsidP="00DB3DC5">
          <w:pPr>
            <w:tabs>
              <w:tab w:val="right" w:pos="8838"/>
            </w:tabs>
            <w:ind w:left="-113"/>
            <w:rPr>
              <w:rFonts w:eastAsia="Calibri" w:cs="Tahoma"/>
              <w:lang w:val="es-MX"/>
            </w:rPr>
          </w:pPr>
          <w:r w:rsidRPr="00731595">
            <w:rPr>
              <w:rFonts w:eastAsia="Calibri" w:cs="Tahoma"/>
              <w:highlight w:val="black"/>
              <w:lang w:val="es-MX"/>
            </w:rPr>
            <w:t>XXXXXXXXXXXXX</w:t>
          </w:r>
        </w:p>
      </w:tc>
    </w:tr>
    <w:tr w:rsidR="00ED5588" w:rsidRPr="00E152D8" w14:paraId="1BA9B09B" w14:textId="77777777" w:rsidTr="00A863A4">
      <w:trPr>
        <w:trHeight w:val="261"/>
      </w:trPr>
      <w:tc>
        <w:tcPr>
          <w:tcW w:w="2551" w:type="dxa"/>
        </w:tcPr>
        <w:p w14:paraId="6174740A" w14:textId="77777777" w:rsidR="00ED5588" w:rsidRPr="00E152D8" w:rsidRDefault="00ED558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5" w:type="dxa"/>
        </w:tcPr>
        <w:p w14:paraId="4B948471" w14:textId="5B5846E8" w:rsidR="00ED5588" w:rsidRPr="00051642" w:rsidRDefault="00ED5588" w:rsidP="00246EA2">
          <w:pPr>
            <w:tabs>
              <w:tab w:val="right" w:pos="8838"/>
            </w:tabs>
            <w:ind w:left="-111" w:right="-32"/>
            <w:rPr>
              <w:rFonts w:eastAsia="Calibri" w:cs="Tahoma"/>
              <w:lang w:val="es-MX"/>
            </w:rPr>
          </w:pPr>
          <w:r>
            <w:rPr>
              <w:rFonts w:eastAsia="Calibri" w:cs="Tahoma"/>
              <w:lang w:val="es-MX"/>
            </w:rPr>
            <w:t>Ayuntamiento de Zumpango</w:t>
          </w:r>
        </w:p>
      </w:tc>
    </w:tr>
    <w:tr w:rsidR="00ED5588" w:rsidRPr="00E152D8" w14:paraId="3F18AACD" w14:textId="77777777" w:rsidTr="00A863A4">
      <w:trPr>
        <w:trHeight w:val="261"/>
      </w:trPr>
      <w:tc>
        <w:tcPr>
          <w:tcW w:w="2551" w:type="dxa"/>
        </w:tcPr>
        <w:p w14:paraId="57E8DDB5"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Comisionado Ponente:</w:t>
          </w:r>
        </w:p>
      </w:tc>
      <w:tc>
        <w:tcPr>
          <w:tcW w:w="4395" w:type="dxa"/>
        </w:tcPr>
        <w:p w14:paraId="1B8E59D3" w14:textId="77777777" w:rsidR="00ED5588" w:rsidRPr="00E152D8" w:rsidRDefault="00ED5588"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ED5588" w:rsidRDefault="0000000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596"/>
    <w:multiLevelType w:val="hybridMultilevel"/>
    <w:tmpl w:val="2BB084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A4699"/>
    <w:multiLevelType w:val="hybridMultilevel"/>
    <w:tmpl w:val="31FA8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C6BA9"/>
    <w:multiLevelType w:val="hybridMultilevel"/>
    <w:tmpl w:val="E35CE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060087"/>
    <w:multiLevelType w:val="hybridMultilevel"/>
    <w:tmpl w:val="B74C54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6D9251B4"/>
    <w:multiLevelType w:val="hybridMultilevel"/>
    <w:tmpl w:val="4B6A9768"/>
    <w:lvl w:ilvl="0" w:tplc="B5E2199E">
      <w:start w:val="1"/>
      <w:numFmt w:val="decimal"/>
      <w:lvlText w:val="%1."/>
      <w:lvlJc w:val="left"/>
      <w:pPr>
        <w:ind w:left="720" w:hanging="360"/>
      </w:pPr>
      <w:rPr>
        <w:rFonts w:eastAsia="Palatino Linotype" w:cs="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4725220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0977922">
    <w:abstractNumId w:val="3"/>
  </w:num>
  <w:num w:numId="3" w16cid:durableId="142935618">
    <w:abstractNumId w:val="2"/>
  </w:num>
  <w:num w:numId="4" w16cid:durableId="299193073">
    <w:abstractNumId w:val="4"/>
  </w:num>
  <w:num w:numId="5" w16cid:durableId="201287574">
    <w:abstractNumId w:val="1"/>
  </w:num>
  <w:num w:numId="6" w16cid:durableId="1465392171">
    <w:abstractNumId w:val="5"/>
  </w:num>
  <w:num w:numId="7" w16cid:durableId="2590648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45A6"/>
    <w:rsid w:val="00014A75"/>
    <w:rsid w:val="000169CD"/>
    <w:rsid w:val="0002290C"/>
    <w:rsid w:val="00037181"/>
    <w:rsid w:val="00042031"/>
    <w:rsid w:val="00045728"/>
    <w:rsid w:val="00046A54"/>
    <w:rsid w:val="00047F07"/>
    <w:rsid w:val="00055AC3"/>
    <w:rsid w:val="00055E94"/>
    <w:rsid w:val="00064E91"/>
    <w:rsid w:val="0006704F"/>
    <w:rsid w:val="00070115"/>
    <w:rsid w:val="000729D1"/>
    <w:rsid w:val="0008269D"/>
    <w:rsid w:val="0008576C"/>
    <w:rsid w:val="00094584"/>
    <w:rsid w:val="0009560F"/>
    <w:rsid w:val="000A0A70"/>
    <w:rsid w:val="000A2D13"/>
    <w:rsid w:val="000A7999"/>
    <w:rsid w:val="000B2239"/>
    <w:rsid w:val="000C141F"/>
    <w:rsid w:val="000D1C9F"/>
    <w:rsid w:val="000D3E3F"/>
    <w:rsid w:val="000D634B"/>
    <w:rsid w:val="000D704A"/>
    <w:rsid w:val="000F5268"/>
    <w:rsid w:val="001023EA"/>
    <w:rsid w:val="0011051E"/>
    <w:rsid w:val="00110D4D"/>
    <w:rsid w:val="00123901"/>
    <w:rsid w:val="001334D1"/>
    <w:rsid w:val="00135F52"/>
    <w:rsid w:val="001401D3"/>
    <w:rsid w:val="0014339D"/>
    <w:rsid w:val="00144157"/>
    <w:rsid w:val="00150AD5"/>
    <w:rsid w:val="00155A01"/>
    <w:rsid w:val="001673AA"/>
    <w:rsid w:val="00170476"/>
    <w:rsid w:val="001A0582"/>
    <w:rsid w:val="001B6B60"/>
    <w:rsid w:val="001C13AE"/>
    <w:rsid w:val="001C7AC2"/>
    <w:rsid w:val="001E35CD"/>
    <w:rsid w:val="001E4F7C"/>
    <w:rsid w:val="001F3934"/>
    <w:rsid w:val="00202C9E"/>
    <w:rsid w:val="00230BC7"/>
    <w:rsid w:val="00230F5E"/>
    <w:rsid w:val="0023358B"/>
    <w:rsid w:val="00245BC3"/>
    <w:rsid w:val="00245C91"/>
    <w:rsid w:val="00246EA2"/>
    <w:rsid w:val="00250655"/>
    <w:rsid w:val="00254457"/>
    <w:rsid w:val="002631C3"/>
    <w:rsid w:val="00264675"/>
    <w:rsid w:val="00265CFE"/>
    <w:rsid w:val="0026769C"/>
    <w:rsid w:val="002705C2"/>
    <w:rsid w:val="00275938"/>
    <w:rsid w:val="00275E0B"/>
    <w:rsid w:val="00280E15"/>
    <w:rsid w:val="002846C2"/>
    <w:rsid w:val="002977E5"/>
    <w:rsid w:val="00297E98"/>
    <w:rsid w:val="002A05AF"/>
    <w:rsid w:val="002A0BE5"/>
    <w:rsid w:val="002C0400"/>
    <w:rsid w:val="002C19D9"/>
    <w:rsid w:val="002E526D"/>
    <w:rsid w:val="002F551A"/>
    <w:rsid w:val="0030462A"/>
    <w:rsid w:val="00304985"/>
    <w:rsid w:val="00305A6A"/>
    <w:rsid w:val="00306FB6"/>
    <w:rsid w:val="00330BEF"/>
    <w:rsid w:val="0033782D"/>
    <w:rsid w:val="003434BF"/>
    <w:rsid w:val="00345BB5"/>
    <w:rsid w:val="00347876"/>
    <w:rsid w:val="00363DED"/>
    <w:rsid w:val="00365137"/>
    <w:rsid w:val="00370F45"/>
    <w:rsid w:val="003723ED"/>
    <w:rsid w:val="00375E9F"/>
    <w:rsid w:val="00383BCC"/>
    <w:rsid w:val="00387E7C"/>
    <w:rsid w:val="003905B1"/>
    <w:rsid w:val="00390BA0"/>
    <w:rsid w:val="00391DFB"/>
    <w:rsid w:val="00393414"/>
    <w:rsid w:val="0039543E"/>
    <w:rsid w:val="003A123A"/>
    <w:rsid w:val="003B04E1"/>
    <w:rsid w:val="003C11B3"/>
    <w:rsid w:val="003D0FFB"/>
    <w:rsid w:val="003D1193"/>
    <w:rsid w:val="003D368F"/>
    <w:rsid w:val="003E0F60"/>
    <w:rsid w:val="003E405E"/>
    <w:rsid w:val="003F3586"/>
    <w:rsid w:val="003F46C8"/>
    <w:rsid w:val="003F595B"/>
    <w:rsid w:val="003F5EB5"/>
    <w:rsid w:val="003F63DA"/>
    <w:rsid w:val="00401FB7"/>
    <w:rsid w:val="004132B5"/>
    <w:rsid w:val="004158B1"/>
    <w:rsid w:val="004159A5"/>
    <w:rsid w:val="00430E74"/>
    <w:rsid w:val="00434DD2"/>
    <w:rsid w:val="00444157"/>
    <w:rsid w:val="004466B9"/>
    <w:rsid w:val="004500E2"/>
    <w:rsid w:val="004527A4"/>
    <w:rsid w:val="0045632B"/>
    <w:rsid w:val="00456B51"/>
    <w:rsid w:val="004610AE"/>
    <w:rsid w:val="0046316A"/>
    <w:rsid w:val="004759EE"/>
    <w:rsid w:val="00476226"/>
    <w:rsid w:val="004822CF"/>
    <w:rsid w:val="004908D0"/>
    <w:rsid w:val="0049737D"/>
    <w:rsid w:val="004A27E9"/>
    <w:rsid w:val="004A5AD5"/>
    <w:rsid w:val="004B2145"/>
    <w:rsid w:val="004B34AB"/>
    <w:rsid w:val="004B4B36"/>
    <w:rsid w:val="004B6AAC"/>
    <w:rsid w:val="004C4625"/>
    <w:rsid w:val="004C48A7"/>
    <w:rsid w:val="004E5AB1"/>
    <w:rsid w:val="005017EB"/>
    <w:rsid w:val="00503FAE"/>
    <w:rsid w:val="005166C8"/>
    <w:rsid w:val="0052716B"/>
    <w:rsid w:val="005536CF"/>
    <w:rsid w:val="00563B56"/>
    <w:rsid w:val="00572301"/>
    <w:rsid w:val="00587799"/>
    <w:rsid w:val="00595D62"/>
    <w:rsid w:val="005A64FF"/>
    <w:rsid w:val="005A6BEC"/>
    <w:rsid w:val="005A7DC1"/>
    <w:rsid w:val="005B6D7A"/>
    <w:rsid w:val="005C2558"/>
    <w:rsid w:val="005C452F"/>
    <w:rsid w:val="005C6124"/>
    <w:rsid w:val="005D04FC"/>
    <w:rsid w:val="005D447C"/>
    <w:rsid w:val="005D69E6"/>
    <w:rsid w:val="005F0D52"/>
    <w:rsid w:val="005F59BC"/>
    <w:rsid w:val="00600A07"/>
    <w:rsid w:val="0060452F"/>
    <w:rsid w:val="00606D94"/>
    <w:rsid w:val="006071FB"/>
    <w:rsid w:val="0061014C"/>
    <w:rsid w:val="00620A21"/>
    <w:rsid w:val="00637659"/>
    <w:rsid w:val="006437A8"/>
    <w:rsid w:val="00644C6D"/>
    <w:rsid w:val="00645D49"/>
    <w:rsid w:val="006633B9"/>
    <w:rsid w:val="006651F1"/>
    <w:rsid w:val="00673579"/>
    <w:rsid w:val="006760A0"/>
    <w:rsid w:val="006778B9"/>
    <w:rsid w:val="006814BC"/>
    <w:rsid w:val="006829D1"/>
    <w:rsid w:val="0068620E"/>
    <w:rsid w:val="006A0867"/>
    <w:rsid w:val="006A2044"/>
    <w:rsid w:val="006A6FCC"/>
    <w:rsid w:val="006B1B7E"/>
    <w:rsid w:val="006B2D65"/>
    <w:rsid w:val="006C3A9A"/>
    <w:rsid w:val="006C7EE1"/>
    <w:rsid w:val="006D1800"/>
    <w:rsid w:val="006D7C3C"/>
    <w:rsid w:val="0070457C"/>
    <w:rsid w:val="007146FE"/>
    <w:rsid w:val="00725C4E"/>
    <w:rsid w:val="00725F8E"/>
    <w:rsid w:val="007309C0"/>
    <w:rsid w:val="00731595"/>
    <w:rsid w:val="00733CB7"/>
    <w:rsid w:val="00763706"/>
    <w:rsid w:val="007849C0"/>
    <w:rsid w:val="00784C5C"/>
    <w:rsid w:val="007956A2"/>
    <w:rsid w:val="007A4E9C"/>
    <w:rsid w:val="007B0396"/>
    <w:rsid w:val="007B0BBD"/>
    <w:rsid w:val="007B4414"/>
    <w:rsid w:val="007B7DF0"/>
    <w:rsid w:val="007D1412"/>
    <w:rsid w:val="007D4921"/>
    <w:rsid w:val="007F08B3"/>
    <w:rsid w:val="007F0FC5"/>
    <w:rsid w:val="007F271C"/>
    <w:rsid w:val="007F466A"/>
    <w:rsid w:val="00810560"/>
    <w:rsid w:val="00814335"/>
    <w:rsid w:val="00816E16"/>
    <w:rsid w:val="00820107"/>
    <w:rsid w:val="0082097F"/>
    <w:rsid w:val="00821CCE"/>
    <w:rsid w:val="00822F0A"/>
    <w:rsid w:val="008233ED"/>
    <w:rsid w:val="0082667E"/>
    <w:rsid w:val="00826E2F"/>
    <w:rsid w:val="00843F6F"/>
    <w:rsid w:val="00861E95"/>
    <w:rsid w:val="00862F76"/>
    <w:rsid w:val="00871A36"/>
    <w:rsid w:val="00876A9F"/>
    <w:rsid w:val="00876B0D"/>
    <w:rsid w:val="008851BD"/>
    <w:rsid w:val="00887B08"/>
    <w:rsid w:val="00892867"/>
    <w:rsid w:val="0089704B"/>
    <w:rsid w:val="008A62DD"/>
    <w:rsid w:val="008A6ABF"/>
    <w:rsid w:val="008E74EA"/>
    <w:rsid w:val="008F42E3"/>
    <w:rsid w:val="00900640"/>
    <w:rsid w:val="00920C0F"/>
    <w:rsid w:val="00930CD7"/>
    <w:rsid w:val="00937303"/>
    <w:rsid w:val="00941212"/>
    <w:rsid w:val="009445B3"/>
    <w:rsid w:val="009458FD"/>
    <w:rsid w:val="00953052"/>
    <w:rsid w:val="0096032A"/>
    <w:rsid w:val="00963FF5"/>
    <w:rsid w:val="0096426C"/>
    <w:rsid w:val="00971E3E"/>
    <w:rsid w:val="00975D25"/>
    <w:rsid w:val="0098062F"/>
    <w:rsid w:val="00993137"/>
    <w:rsid w:val="009A606A"/>
    <w:rsid w:val="009B365B"/>
    <w:rsid w:val="009C1681"/>
    <w:rsid w:val="009C6925"/>
    <w:rsid w:val="009E1D6F"/>
    <w:rsid w:val="009F13CF"/>
    <w:rsid w:val="009F4AD4"/>
    <w:rsid w:val="009F66C7"/>
    <w:rsid w:val="00A119A8"/>
    <w:rsid w:val="00A15D99"/>
    <w:rsid w:val="00A17997"/>
    <w:rsid w:val="00A234A1"/>
    <w:rsid w:val="00A27E34"/>
    <w:rsid w:val="00A30AC6"/>
    <w:rsid w:val="00A32BEF"/>
    <w:rsid w:val="00A53051"/>
    <w:rsid w:val="00A555FF"/>
    <w:rsid w:val="00A6183C"/>
    <w:rsid w:val="00A70740"/>
    <w:rsid w:val="00A80795"/>
    <w:rsid w:val="00A863A4"/>
    <w:rsid w:val="00A87DB7"/>
    <w:rsid w:val="00AA0941"/>
    <w:rsid w:val="00AA6137"/>
    <w:rsid w:val="00AD3BE9"/>
    <w:rsid w:val="00AE199A"/>
    <w:rsid w:val="00AE1F48"/>
    <w:rsid w:val="00AF19B3"/>
    <w:rsid w:val="00B000C5"/>
    <w:rsid w:val="00B05FF4"/>
    <w:rsid w:val="00B12570"/>
    <w:rsid w:val="00B34D94"/>
    <w:rsid w:val="00B350DF"/>
    <w:rsid w:val="00B557DF"/>
    <w:rsid w:val="00B5644D"/>
    <w:rsid w:val="00B5725C"/>
    <w:rsid w:val="00B60D25"/>
    <w:rsid w:val="00B62E13"/>
    <w:rsid w:val="00B76EF2"/>
    <w:rsid w:val="00B83462"/>
    <w:rsid w:val="00B841F8"/>
    <w:rsid w:val="00B93087"/>
    <w:rsid w:val="00BA56CE"/>
    <w:rsid w:val="00BB36D2"/>
    <w:rsid w:val="00BC22F3"/>
    <w:rsid w:val="00BD06B4"/>
    <w:rsid w:val="00BD1C07"/>
    <w:rsid w:val="00BE3C4E"/>
    <w:rsid w:val="00C003D2"/>
    <w:rsid w:val="00C032EC"/>
    <w:rsid w:val="00C13E16"/>
    <w:rsid w:val="00C17EBF"/>
    <w:rsid w:val="00C2456C"/>
    <w:rsid w:val="00C337E5"/>
    <w:rsid w:val="00C42A98"/>
    <w:rsid w:val="00C47A4A"/>
    <w:rsid w:val="00C54015"/>
    <w:rsid w:val="00C605C9"/>
    <w:rsid w:val="00C642F5"/>
    <w:rsid w:val="00C66273"/>
    <w:rsid w:val="00C8608C"/>
    <w:rsid w:val="00C871AC"/>
    <w:rsid w:val="00CA1F62"/>
    <w:rsid w:val="00CB2FA4"/>
    <w:rsid w:val="00CB67F4"/>
    <w:rsid w:val="00CD20AC"/>
    <w:rsid w:val="00CD61E8"/>
    <w:rsid w:val="00CD7277"/>
    <w:rsid w:val="00CE4C8B"/>
    <w:rsid w:val="00CE7148"/>
    <w:rsid w:val="00CF43E6"/>
    <w:rsid w:val="00D04077"/>
    <w:rsid w:val="00D07290"/>
    <w:rsid w:val="00D33B4C"/>
    <w:rsid w:val="00D3424A"/>
    <w:rsid w:val="00D520FD"/>
    <w:rsid w:val="00D627CD"/>
    <w:rsid w:val="00D74C1C"/>
    <w:rsid w:val="00D77576"/>
    <w:rsid w:val="00D856A5"/>
    <w:rsid w:val="00D95C1D"/>
    <w:rsid w:val="00DB3DC5"/>
    <w:rsid w:val="00DC3EDC"/>
    <w:rsid w:val="00DC42DF"/>
    <w:rsid w:val="00DD3A8B"/>
    <w:rsid w:val="00DD61E6"/>
    <w:rsid w:val="00DD6EB5"/>
    <w:rsid w:val="00DE133F"/>
    <w:rsid w:val="00DE3357"/>
    <w:rsid w:val="00DF1B85"/>
    <w:rsid w:val="00DF2F11"/>
    <w:rsid w:val="00E01CE0"/>
    <w:rsid w:val="00E01D9B"/>
    <w:rsid w:val="00E045BD"/>
    <w:rsid w:val="00E05D1B"/>
    <w:rsid w:val="00E063FC"/>
    <w:rsid w:val="00E06836"/>
    <w:rsid w:val="00E07591"/>
    <w:rsid w:val="00E16F58"/>
    <w:rsid w:val="00E27BCC"/>
    <w:rsid w:val="00E43B2E"/>
    <w:rsid w:val="00E44032"/>
    <w:rsid w:val="00E4792C"/>
    <w:rsid w:val="00E52811"/>
    <w:rsid w:val="00E54314"/>
    <w:rsid w:val="00E57413"/>
    <w:rsid w:val="00E6085A"/>
    <w:rsid w:val="00E66CD6"/>
    <w:rsid w:val="00E75043"/>
    <w:rsid w:val="00E76052"/>
    <w:rsid w:val="00E85BED"/>
    <w:rsid w:val="00E866E3"/>
    <w:rsid w:val="00E86E5D"/>
    <w:rsid w:val="00E91037"/>
    <w:rsid w:val="00E93746"/>
    <w:rsid w:val="00EA0C4B"/>
    <w:rsid w:val="00EA2DF5"/>
    <w:rsid w:val="00EB5363"/>
    <w:rsid w:val="00EB61E6"/>
    <w:rsid w:val="00EC4F30"/>
    <w:rsid w:val="00ED3FD8"/>
    <w:rsid w:val="00ED5588"/>
    <w:rsid w:val="00F018AC"/>
    <w:rsid w:val="00F063F0"/>
    <w:rsid w:val="00F11FC0"/>
    <w:rsid w:val="00F12D8F"/>
    <w:rsid w:val="00F165B9"/>
    <w:rsid w:val="00F26F2D"/>
    <w:rsid w:val="00F3234B"/>
    <w:rsid w:val="00F50CAC"/>
    <w:rsid w:val="00F55B38"/>
    <w:rsid w:val="00F55BE5"/>
    <w:rsid w:val="00F56BFE"/>
    <w:rsid w:val="00F60F23"/>
    <w:rsid w:val="00F643F5"/>
    <w:rsid w:val="00F65218"/>
    <w:rsid w:val="00F75544"/>
    <w:rsid w:val="00F7760C"/>
    <w:rsid w:val="00F92554"/>
    <w:rsid w:val="00F938F7"/>
    <w:rsid w:val="00FB1B3A"/>
    <w:rsid w:val="00FB60BD"/>
    <w:rsid w:val="00FC398D"/>
    <w:rsid w:val="00FC3F8B"/>
    <w:rsid w:val="00FE2A49"/>
    <w:rsid w:val="00FE5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98"/>
    <w:pPr>
      <w:spacing w:line="256" w:lineRule="auto"/>
      <w:jc w:val="both"/>
    </w:pPr>
    <w:rPr>
      <w:rFonts w:ascii="Palatino Linotype" w:eastAsia="Palatino Linotype" w:hAnsi="Palatino Linotype" w:cs="Palatino Linotype"/>
      <w:color w:val="000000" w:themeColor="text1"/>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normaltextrun">
    <w:name w:val="normaltextrun"/>
    <w:basedOn w:val="Fuentedeprrafopredeter"/>
    <w:rsid w:val="001E4F7C"/>
  </w:style>
  <w:style w:type="character" w:customStyle="1" w:styleId="Mencinsinresolver3">
    <w:name w:val="Mención sin resolver3"/>
    <w:basedOn w:val="Fuentedeprrafopredeter"/>
    <w:uiPriority w:val="99"/>
    <w:semiHidden/>
    <w:unhideWhenUsed/>
    <w:rsid w:val="0039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0691">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3007307">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62542300">
      <w:bodyDiv w:val="1"/>
      <w:marLeft w:val="0"/>
      <w:marRight w:val="0"/>
      <w:marTop w:val="0"/>
      <w:marBottom w:val="0"/>
      <w:divBdr>
        <w:top w:val="none" w:sz="0" w:space="0" w:color="auto"/>
        <w:left w:val="none" w:sz="0" w:space="0" w:color="auto"/>
        <w:bottom w:val="none" w:sz="0" w:space="0" w:color="auto"/>
        <w:right w:val="none" w:sz="0" w:space="0" w:color="auto"/>
      </w:divBdr>
    </w:div>
    <w:div w:id="28149753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7817494">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97379981">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22937834">
      <w:bodyDiv w:val="1"/>
      <w:marLeft w:val="0"/>
      <w:marRight w:val="0"/>
      <w:marTop w:val="0"/>
      <w:marBottom w:val="0"/>
      <w:divBdr>
        <w:top w:val="none" w:sz="0" w:space="0" w:color="auto"/>
        <w:left w:val="none" w:sz="0" w:space="0" w:color="auto"/>
        <w:bottom w:val="none" w:sz="0" w:space="0" w:color="auto"/>
        <w:right w:val="none" w:sz="0" w:space="0" w:color="auto"/>
      </w:divBdr>
    </w:div>
    <w:div w:id="569774390">
      <w:bodyDiv w:val="1"/>
      <w:marLeft w:val="0"/>
      <w:marRight w:val="0"/>
      <w:marTop w:val="0"/>
      <w:marBottom w:val="0"/>
      <w:divBdr>
        <w:top w:val="none" w:sz="0" w:space="0" w:color="auto"/>
        <w:left w:val="none" w:sz="0" w:space="0" w:color="auto"/>
        <w:bottom w:val="none" w:sz="0" w:space="0" w:color="auto"/>
        <w:right w:val="none" w:sz="0" w:space="0" w:color="auto"/>
      </w:divBdr>
    </w:div>
    <w:div w:id="685714184">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30486360">
      <w:bodyDiv w:val="1"/>
      <w:marLeft w:val="0"/>
      <w:marRight w:val="0"/>
      <w:marTop w:val="0"/>
      <w:marBottom w:val="0"/>
      <w:divBdr>
        <w:top w:val="none" w:sz="0" w:space="0" w:color="auto"/>
        <w:left w:val="none" w:sz="0" w:space="0" w:color="auto"/>
        <w:bottom w:val="none" w:sz="0" w:space="0" w:color="auto"/>
        <w:right w:val="none" w:sz="0" w:space="0" w:color="auto"/>
      </w:divBdr>
    </w:div>
    <w:div w:id="1022244149">
      <w:bodyDiv w:val="1"/>
      <w:marLeft w:val="0"/>
      <w:marRight w:val="0"/>
      <w:marTop w:val="0"/>
      <w:marBottom w:val="0"/>
      <w:divBdr>
        <w:top w:val="none" w:sz="0" w:space="0" w:color="auto"/>
        <w:left w:val="none" w:sz="0" w:space="0" w:color="auto"/>
        <w:bottom w:val="none" w:sz="0" w:space="0" w:color="auto"/>
        <w:right w:val="none" w:sz="0" w:space="0" w:color="auto"/>
      </w:divBdr>
    </w:div>
    <w:div w:id="1039864956">
      <w:bodyDiv w:val="1"/>
      <w:marLeft w:val="0"/>
      <w:marRight w:val="0"/>
      <w:marTop w:val="0"/>
      <w:marBottom w:val="0"/>
      <w:divBdr>
        <w:top w:val="none" w:sz="0" w:space="0" w:color="auto"/>
        <w:left w:val="none" w:sz="0" w:space="0" w:color="auto"/>
        <w:bottom w:val="none" w:sz="0" w:space="0" w:color="auto"/>
        <w:right w:val="none" w:sz="0" w:space="0" w:color="auto"/>
      </w:divBdr>
    </w:div>
    <w:div w:id="1167092903">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6907002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22470450">
      <w:bodyDiv w:val="1"/>
      <w:marLeft w:val="0"/>
      <w:marRight w:val="0"/>
      <w:marTop w:val="0"/>
      <w:marBottom w:val="0"/>
      <w:divBdr>
        <w:top w:val="none" w:sz="0" w:space="0" w:color="auto"/>
        <w:left w:val="none" w:sz="0" w:space="0" w:color="auto"/>
        <w:bottom w:val="none" w:sz="0" w:space="0" w:color="auto"/>
        <w:right w:val="none" w:sz="0" w:space="0" w:color="auto"/>
      </w:divBdr>
    </w:div>
    <w:div w:id="158749968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18697225">
      <w:bodyDiv w:val="1"/>
      <w:marLeft w:val="0"/>
      <w:marRight w:val="0"/>
      <w:marTop w:val="0"/>
      <w:marBottom w:val="0"/>
      <w:divBdr>
        <w:top w:val="none" w:sz="0" w:space="0" w:color="auto"/>
        <w:left w:val="none" w:sz="0" w:space="0" w:color="auto"/>
        <w:bottom w:val="none" w:sz="0" w:space="0" w:color="auto"/>
        <w:right w:val="none" w:sz="0" w:space="0" w:color="auto"/>
      </w:divBdr>
    </w:div>
    <w:div w:id="1743985139">
      <w:bodyDiv w:val="1"/>
      <w:marLeft w:val="0"/>
      <w:marRight w:val="0"/>
      <w:marTop w:val="0"/>
      <w:marBottom w:val="0"/>
      <w:divBdr>
        <w:top w:val="none" w:sz="0" w:space="0" w:color="auto"/>
        <w:left w:val="none" w:sz="0" w:space="0" w:color="auto"/>
        <w:bottom w:val="none" w:sz="0" w:space="0" w:color="auto"/>
        <w:right w:val="none" w:sz="0" w:space="0" w:color="auto"/>
      </w:divBdr>
    </w:div>
    <w:div w:id="1784036732">
      <w:bodyDiv w:val="1"/>
      <w:marLeft w:val="0"/>
      <w:marRight w:val="0"/>
      <w:marTop w:val="0"/>
      <w:marBottom w:val="0"/>
      <w:divBdr>
        <w:top w:val="none" w:sz="0" w:space="0" w:color="auto"/>
        <w:left w:val="none" w:sz="0" w:space="0" w:color="auto"/>
        <w:bottom w:val="none" w:sz="0" w:space="0" w:color="auto"/>
        <w:right w:val="none" w:sz="0" w:space="0" w:color="auto"/>
      </w:divBdr>
    </w:div>
    <w:div w:id="1848520809">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8267779">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7D09-6195-4F1A-8FEE-D78842E0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5908</Words>
  <Characters>32498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Celi Gs</cp:lastModifiedBy>
  <cp:revision>2</cp:revision>
  <dcterms:created xsi:type="dcterms:W3CDTF">2024-10-21T16:57:00Z</dcterms:created>
  <dcterms:modified xsi:type="dcterms:W3CDTF">2024-10-21T16:57:00Z</dcterms:modified>
</cp:coreProperties>
</file>