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E4" w:rsidRPr="008E16D0" w:rsidRDefault="000A7EE4" w:rsidP="000A7EE4">
      <w:pPr>
        <w:spacing w:line="360" w:lineRule="auto"/>
        <w:jc w:val="both"/>
        <w:rPr>
          <w:rFonts w:ascii="Palatino Linotype" w:eastAsiaTheme="minorEastAsia" w:hAnsi="Palatino Linotype"/>
          <w:lang w:val="es-ES_tradnl" w:eastAsia="es-ES"/>
        </w:rPr>
      </w:pPr>
      <w:bookmarkStart w:id="0" w:name="_GoBack"/>
      <w:bookmarkEnd w:id="0"/>
      <w:r w:rsidRPr="008E16D0">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Pr>
          <w:rFonts w:ascii="Palatino Linotype" w:eastAsiaTheme="minorEastAsia" w:hAnsi="Palatino Linotype"/>
          <w:lang w:val="es-ES_tradnl" w:eastAsia="es-ES"/>
        </w:rPr>
        <w:t xml:space="preserve"> d</w:t>
      </w:r>
      <w:r w:rsidR="006C23DF">
        <w:rPr>
          <w:rFonts w:ascii="Palatino Linotype" w:eastAsiaTheme="minorEastAsia" w:hAnsi="Palatino Linotype"/>
          <w:lang w:val="es-ES_tradnl" w:eastAsia="es-ES"/>
        </w:rPr>
        <w:t>e México; del nueve (09) de octubre</w:t>
      </w:r>
      <w:r w:rsidRPr="008E16D0">
        <w:rPr>
          <w:rFonts w:ascii="Palatino Linotype" w:eastAsiaTheme="minorEastAsia" w:hAnsi="Palatino Linotype"/>
          <w:lang w:val="es-ES_tradnl" w:eastAsia="es-ES"/>
        </w:rPr>
        <w:t xml:space="preserve"> de dos mil veinticuatro.</w:t>
      </w:r>
    </w:p>
    <w:p w:rsidR="000A7EE4" w:rsidRPr="008E16D0" w:rsidRDefault="000A7EE4" w:rsidP="000A7EE4">
      <w:pPr>
        <w:spacing w:line="360" w:lineRule="auto"/>
        <w:jc w:val="both"/>
        <w:rPr>
          <w:rFonts w:ascii="Palatino Linotype" w:eastAsiaTheme="minorEastAsia" w:hAnsi="Palatino Linotype"/>
          <w:lang w:val="es-ES_tradnl" w:eastAsia="es-ES"/>
        </w:rPr>
      </w:pPr>
    </w:p>
    <w:p w:rsidR="000A7EE4" w:rsidRPr="008E16D0" w:rsidRDefault="000A7EE4" w:rsidP="000A7EE4">
      <w:pPr>
        <w:spacing w:line="360" w:lineRule="auto"/>
        <w:jc w:val="both"/>
        <w:rPr>
          <w:rFonts w:ascii="Palatino Linotype" w:hAnsi="Palatino Linotype"/>
        </w:rPr>
      </w:pPr>
      <w:r w:rsidRPr="008E16D0">
        <w:rPr>
          <w:rFonts w:ascii="Palatino Linotype" w:hAnsi="Palatino Linotype"/>
          <w:b/>
        </w:rPr>
        <w:t>VISTO</w:t>
      </w:r>
      <w:r w:rsidRPr="008E16D0">
        <w:rPr>
          <w:rFonts w:ascii="Palatino Linotype" w:hAnsi="Palatino Linotype"/>
        </w:rPr>
        <w:t xml:space="preserve"> el expediente electrónico formado con motivo del recurso de revisión </w:t>
      </w:r>
      <w:r w:rsidR="006C23DF">
        <w:rPr>
          <w:rFonts w:ascii="Palatino Linotype" w:hAnsi="Palatino Linotype"/>
          <w:b/>
        </w:rPr>
        <w:t>03738</w:t>
      </w:r>
      <w:r>
        <w:rPr>
          <w:rFonts w:ascii="Palatino Linotype" w:hAnsi="Palatino Linotype"/>
          <w:b/>
        </w:rPr>
        <w:t>/INFOEM/IP/RR/2024</w:t>
      </w:r>
      <w:r w:rsidRPr="008E16D0">
        <w:rPr>
          <w:rFonts w:ascii="Palatino Linotype" w:hAnsi="Palatino Linotype"/>
          <w:b/>
        </w:rPr>
        <w:t>,</w:t>
      </w:r>
      <w:r w:rsidRPr="008E16D0">
        <w:rPr>
          <w:rFonts w:ascii="Palatino Linotype" w:hAnsi="Palatino Linotype" w:cs="Arial"/>
          <w:b/>
          <w:bCs/>
        </w:rPr>
        <w:t xml:space="preserve"> </w:t>
      </w:r>
      <w:r w:rsidRPr="008E16D0">
        <w:rPr>
          <w:rFonts w:ascii="Palatino Linotype" w:eastAsiaTheme="minorEastAsia" w:hAnsi="Palatino Linotype"/>
          <w:lang w:val="es-ES_tradnl" w:eastAsia="es-ES"/>
        </w:rPr>
        <w:t xml:space="preserve">promovido por </w:t>
      </w:r>
      <w:r>
        <w:rPr>
          <w:rFonts w:ascii="Palatino Linotype" w:eastAsiaTheme="minorEastAsia" w:hAnsi="Palatino Linotype"/>
          <w:b/>
          <w:lang w:val="es-ES" w:eastAsia="es-ES"/>
        </w:rPr>
        <w:t>un usuario del Sistema de Acceso a la Información Mexiquense (SAIMEX)</w:t>
      </w:r>
      <w:r w:rsidRPr="008E16D0">
        <w:rPr>
          <w:rFonts w:ascii="Palatino Linotype" w:eastAsiaTheme="minorEastAsia" w:hAnsi="Palatino Linotype"/>
          <w:b/>
          <w:lang w:val="es-ES" w:eastAsia="es-ES"/>
        </w:rPr>
        <w:t>,</w:t>
      </w:r>
      <w:r w:rsidRPr="008E16D0">
        <w:rPr>
          <w:rFonts w:ascii="Palatino Linotype" w:eastAsiaTheme="minorEastAsia" w:hAnsi="Palatino Linotype"/>
          <w:lang w:eastAsia="es-ES"/>
        </w:rPr>
        <w:t xml:space="preserve"> quien </w:t>
      </w:r>
      <w:r w:rsidRPr="008E16D0">
        <w:rPr>
          <w:rFonts w:ascii="Palatino Linotype" w:hAnsi="Palatino Linotype"/>
        </w:rPr>
        <w:t xml:space="preserve">en lo sucesivo se identificará como </w:t>
      </w:r>
      <w:r w:rsidRPr="008E16D0">
        <w:rPr>
          <w:rFonts w:ascii="Palatino Linotype" w:hAnsi="Palatino Linotype"/>
          <w:b/>
        </w:rPr>
        <w:t xml:space="preserve">EL </w:t>
      </w:r>
      <w:r w:rsidRPr="008E16D0">
        <w:rPr>
          <w:rFonts w:ascii="Palatino Linotype" w:hAnsi="Palatino Linotype" w:cs="Arial"/>
          <w:b/>
        </w:rPr>
        <w:t>RECURRENTE</w:t>
      </w:r>
      <w:r w:rsidRPr="008E16D0">
        <w:rPr>
          <w:rFonts w:ascii="Palatino Linotype" w:hAnsi="Palatino Linotype" w:cs="Arial"/>
        </w:rPr>
        <w:t xml:space="preserve">, en contra de la respuesta del </w:t>
      </w:r>
      <w:r w:rsidR="006C23DF">
        <w:rPr>
          <w:rFonts w:ascii="Palatino Linotype" w:hAnsi="Palatino Linotype" w:cs="Arial"/>
          <w:b/>
          <w:bCs/>
        </w:rPr>
        <w:t>Ayuntamiento de Toluca</w:t>
      </w:r>
      <w:r w:rsidRPr="008E16D0">
        <w:rPr>
          <w:rFonts w:ascii="Palatino Linotype" w:hAnsi="Palatino Linotype" w:cs="Arial"/>
          <w:b/>
        </w:rPr>
        <w:t>,</w:t>
      </w:r>
      <w:r w:rsidRPr="008E16D0">
        <w:rPr>
          <w:rFonts w:ascii="Palatino Linotype" w:hAnsi="Palatino Linotype"/>
          <w:b/>
        </w:rPr>
        <w:t xml:space="preserve"> </w:t>
      </w:r>
      <w:r w:rsidRPr="008E16D0">
        <w:rPr>
          <w:rFonts w:ascii="Palatino Linotype" w:hAnsi="Palatino Linotype"/>
        </w:rPr>
        <w:t>en lo sucesivo el</w:t>
      </w:r>
      <w:r w:rsidRPr="008E16D0">
        <w:rPr>
          <w:rFonts w:ascii="Palatino Linotype" w:hAnsi="Palatino Linotype"/>
          <w:b/>
        </w:rPr>
        <w:t xml:space="preserve"> SUJETO OBLIGADO</w:t>
      </w:r>
      <w:r w:rsidRPr="008E16D0">
        <w:rPr>
          <w:rFonts w:ascii="Palatino Linotype" w:hAnsi="Palatino Linotype"/>
        </w:rPr>
        <w:t>, por lo que se procede a dictar la presente resolución, con base en los siguientes:</w:t>
      </w:r>
    </w:p>
    <w:p w:rsidR="000A7EE4" w:rsidRPr="008E16D0" w:rsidRDefault="000A7EE4" w:rsidP="000A7EE4">
      <w:pPr>
        <w:spacing w:line="360" w:lineRule="auto"/>
        <w:jc w:val="both"/>
        <w:rPr>
          <w:rFonts w:ascii="Palatino Linotype" w:hAnsi="Palatino Linotype"/>
        </w:rPr>
      </w:pPr>
    </w:p>
    <w:p w:rsidR="000A7EE4" w:rsidRPr="008E16D0" w:rsidRDefault="000A7EE4" w:rsidP="000A7EE4">
      <w:pPr>
        <w:keepNext/>
        <w:keepLines/>
        <w:spacing w:line="360" w:lineRule="auto"/>
        <w:jc w:val="center"/>
        <w:outlineLvl w:val="0"/>
        <w:rPr>
          <w:rFonts w:ascii="Palatino Linotype" w:eastAsiaTheme="majorEastAsia" w:hAnsi="Palatino Linotype" w:cstheme="majorBidi"/>
          <w:b/>
          <w:szCs w:val="32"/>
        </w:rPr>
      </w:pPr>
      <w:bookmarkStart w:id="1" w:name="_Toc83301633"/>
      <w:r w:rsidRPr="008E16D0">
        <w:rPr>
          <w:rFonts w:ascii="Palatino Linotype" w:eastAsiaTheme="majorEastAsia" w:hAnsi="Palatino Linotype" w:cstheme="majorBidi"/>
          <w:b/>
          <w:szCs w:val="32"/>
        </w:rPr>
        <w:t>ANTECEDENTES</w:t>
      </w:r>
      <w:bookmarkEnd w:id="1"/>
    </w:p>
    <w:p w:rsidR="000A7EE4" w:rsidRPr="008E16D0" w:rsidRDefault="000A7EE4" w:rsidP="000A7EE4">
      <w:pPr>
        <w:spacing w:line="360" w:lineRule="auto"/>
        <w:rPr>
          <w:rFonts w:ascii="Palatino Linotype" w:eastAsiaTheme="minorEastAsia" w:hAnsi="Palatino Linotype"/>
        </w:rPr>
      </w:pPr>
    </w:p>
    <w:p w:rsidR="000A7EE4" w:rsidRPr="008E16D0" w:rsidRDefault="000A7EE4" w:rsidP="000A7EE4">
      <w:pPr>
        <w:numPr>
          <w:ilvl w:val="0"/>
          <w:numId w:val="1"/>
        </w:numPr>
        <w:spacing w:line="360" w:lineRule="auto"/>
        <w:ind w:left="0" w:firstLine="0"/>
        <w:contextualSpacing/>
        <w:jc w:val="both"/>
        <w:rPr>
          <w:rFonts w:ascii="Palatino Linotype" w:hAnsi="Palatino Linotype" w:cs="Arial"/>
          <w:lang w:val="es-ES" w:eastAsia="es-ES"/>
        </w:rPr>
      </w:pPr>
      <w:r>
        <w:rPr>
          <w:rFonts w:ascii="Palatino Linotype" w:eastAsia="Calibri" w:hAnsi="Palatino Linotype" w:cs="Arial"/>
          <w:lang w:val="es-ES" w:eastAsia="es-ES"/>
        </w:rPr>
        <w:t xml:space="preserve">El </w:t>
      </w:r>
      <w:r w:rsidR="006C23DF">
        <w:rPr>
          <w:rFonts w:ascii="Palatino Linotype" w:eastAsia="Calibri" w:hAnsi="Palatino Linotype" w:cs="Arial"/>
          <w:lang w:val="es-ES" w:eastAsia="es-ES"/>
        </w:rPr>
        <w:t>dieciséis (16) de mayo</w:t>
      </w:r>
      <w:r>
        <w:rPr>
          <w:rFonts w:ascii="Palatino Linotype" w:eastAsia="Calibri" w:hAnsi="Palatino Linotype" w:cs="Arial"/>
          <w:lang w:val="es-ES" w:eastAsia="es-ES"/>
        </w:rPr>
        <w:t xml:space="preserve"> de dos mil veinticuatro</w:t>
      </w:r>
      <w:r w:rsidRPr="008E16D0">
        <w:rPr>
          <w:rFonts w:ascii="Palatino Linotype" w:eastAsia="Calibri" w:hAnsi="Palatino Linotype" w:cs="Arial"/>
          <w:lang w:val="es-ES" w:eastAsia="es-ES"/>
        </w:rPr>
        <w:t>,</w:t>
      </w:r>
      <w:r w:rsidRPr="008E16D0">
        <w:rPr>
          <w:rFonts w:ascii="Palatino Linotype" w:eastAsia="Calibri" w:hAnsi="Palatino Linotype"/>
          <w:lang w:val="es-ES" w:eastAsia="es-ES"/>
        </w:rPr>
        <w:t xml:space="preserve"> </w:t>
      </w:r>
      <w:r w:rsidRPr="008E16D0">
        <w:rPr>
          <w:rFonts w:ascii="Palatino Linotype" w:eastAsia="Calibri" w:hAnsi="Palatino Linotype"/>
          <w:b/>
          <w:lang w:val="es-ES" w:eastAsia="es-ES"/>
        </w:rPr>
        <w:t>EL RECURRENTE</w:t>
      </w:r>
      <w:r w:rsidRPr="008E16D0">
        <w:rPr>
          <w:rFonts w:ascii="Palatino Linotype" w:eastAsiaTheme="minorEastAsia" w:hAnsi="Palatino Linotype"/>
          <w:b/>
          <w:lang w:val="es-ES_tradnl" w:eastAsia="es-ES"/>
        </w:rPr>
        <w:t>,</w:t>
      </w:r>
      <w:r w:rsidRPr="008E16D0">
        <w:rPr>
          <w:rFonts w:ascii="Palatino Linotype" w:eastAsia="Calibri" w:hAnsi="Palatino Linotype" w:cs="Arial"/>
          <w:lang w:val="es-ES" w:eastAsia="es-ES"/>
        </w:rPr>
        <w:t xml:space="preserve"> ante el </w:t>
      </w:r>
      <w:r w:rsidRPr="008E16D0">
        <w:rPr>
          <w:rFonts w:ascii="Palatino Linotype" w:eastAsia="Calibri" w:hAnsi="Palatino Linotype" w:cs="Arial"/>
          <w:b/>
          <w:lang w:val="es-ES" w:eastAsia="es-ES"/>
        </w:rPr>
        <w:t>SUJETO OBLIGADO</w:t>
      </w:r>
      <w:r w:rsidRPr="008E16D0">
        <w:rPr>
          <w:rFonts w:ascii="Palatino Linotype" w:eastAsia="Calibri" w:hAnsi="Palatino Linotype" w:cs="Arial"/>
          <w:lang w:val="es-ES_tradnl" w:eastAsia="es-ES"/>
        </w:rPr>
        <w:t xml:space="preserve"> vía </w:t>
      </w:r>
      <w:r w:rsidRPr="008E16D0">
        <w:rPr>
          <w:rFonts w:ascii="Palatino Linotype" w:eastAsia="Calibri" w:hAnsi="Palatino Linotype" w:cs="Arial"/>
          <w:lang w:val="es-ES" w:eastAsia="es-ES"/>
        </w:rPr>
        <w:t>Sistema de Acceso a la Información Mexiquense (</w:t>
      </w:r>
      <w:r w:rsidRPr="008E16D0">
        <w:rPr>
          <w:rFonts w:ascii="Palatino Linotype" w:eastAsia="Calibri" w:hAnsi="Palatino Linotype" w:cs="Arial"/>
          <w:b/>
          <w:lang w:val="es-ES" w:eastAsia="es-ES"/>
        </w:rPr>
        <w:t>SAIMEX)</w:t>
      </w:r>
      <w:r w:rsidRPr="008E16D0">
        <w:rPr>
          <w:rFonts w:ascii="Palatino Linotype" w:eastAsia="Calibri" w:hAnsi="Palatino Linotype" w:cs="Arial"/>
          <w:lang w:val="es-ES" w:eastAsia="es-ES"/>
        </w:rPr>
        <w:t xml:space="preserve">, presentó una solicitud de información registrada con el número </w:t>
      </w:r>
      <w:r w:rsidR="006C23DF" w:rsidRPr="006C23DF">
        <w:rPr>
          <w:rFonts w:ascii="Palatino Linotype" w:hAnsi="Palatino Linotype"/>
          <w:b/>
          <w:bCs/>
        </w:rPr>
        <w:t>01172/TOLUCA/IP/2024</w:t>
      </w:r>
      <w:r w:rsidRPr="008E16D0">
        <w:rPr>
          <w:rFonts w:ascii="Palatino Linotype" w:eastAsiaTheme="minorEastAsia" w:hAnsi="Palatino Linotype"/>
          <w:b/>
          <w:lang w:val="es-ES_tradnl" w:eastAsia="es-ES"/>
        </w:rPr>
        <w:t xml:space="preserve">, </w:t>
      </w:r>
      <w:r w:rsidRPr="008E16D0">
        <w:rPr>
          <w:rFonts w:ascii="Palatino Linotype" w:eastAsia="Calibri" w:hAnsi="Palatino Linotype" w:cs="Arial"/>
          <w:lang w:val="es-ES" w:eastAsia="es-ES"/>
        </w:rPr>
        <w:t>mediante la cual solicitó lo siguiente:</w:t>
      </w:r>
    </w:p>
    <w:p w:rsidR="000A7EE4" w:rsidRPr="008E16D0" w:rsidRDefault="000A7EE4" w:rsidP="000A7EE4">
      <w:pPr>
        <w:spacing w:line="360" w:lineRule="auto"/>
        <w:contextualSpacing/>
        <w:jc w:val="both"/>
        <w:rPr>
          <w:rFonts w:ascii="Palatino Linotype" w:hAnsi="Palatino Linotype" w:cs="Arial"/>
          <w:lang w:val="es-ES" w:eastAsia="es-ES"/>
        </w:rPr>
      </w:pPr>
    </w:p>
    <w:p w:rsidR="000A7EE4" w:rsidRPr="0058422C" w:rsidRDefault="000A7EE4" w:rsidP="000A7EE4">
      <w:pPr>
        <w:tabs>
          <w:tab w:val="left" w:pos="8222"/>
        </w:tabs>
        <w:spacing w:line="360" w:lineRule="auto"/>
        <w:ind w:left="851" w:right="822"/>
        <w:jc w:val="both"/>
        <w:rPr>
          <w:rFonts w:ascii="Palatino Linotype" w:hAnsi="Palatino Linotype"/>
          <w:i/>
          <w:color w:val="000000"/>
          <w:sz w:val="22"/>
          <w:szCs w:val="14"/>
        </w:rPr>
      </w:pPr>
      <w:r>
        <w:rPr>
          <w:rFonts w:ascii="Palatino Linotype" w:hAnsi="Palatino Linotype"/>
          <w:i/>
          <w:color w:val="000000"/>
          <w:sz w:val="22"/>
          <w:szCs w:val="14"/>
        </w:rPr>
        <w:t>“</w:t>
      </w:r>
      <w:r w:rsidR="006C23DF" w:rsidRPr="006C23DF">
        <w:rPr>
          <w:rFonts w:ascii="Palatino Linotype" w:hAnsi="Palatino Linotype"/>
          <w:i/>
          <w:color w:val="000000"/>
          <w:sz w:val="22"/>
          <w:szCs w:val="14"/>
        </w:rPr>
        <w:t>Requiero saber e fundamento jurídico, la publicación en gaceta de gobierno, o cualquier normativa donde especifique el porque los vecinos estamos siendo afectados en nuestra propiedad privada y no dejarnos estacionar del lado izquierdo fuera de nuestras cocheras</w:t>
      </w:r>
      <w:r>
        <w:rPr>
          <w:rFonts w:ascii="Palatino Linotype" w:hAnsi="Palatino Linotype"/>
          <w:i/>
          <w:color w:val="000000"/>
          <w:sz w:val="22"/>
          <w:szCs w:val="14"/>
        </w:rPr>
        <w:t>” (Sic)</w:t>
      </w:r>
    </w:p>
    <w:p w:rsidR="000A7EE4" w:rsidRPr="008E16D0" w:rsidRDefault="000A7EE4" w:rsidP="000A7EE4">
      <w:pPr>
        <w:spacing w:line="360" w:lineRule="auto"/>
        <w:ind w:right="567"/>
        <w:jc w:val="both"/>
        <w:rPr>
          <w:rFonts w:ascii="Palatino Linotype" w:hAnsi="Palatino Linotype"/>
          <w:i/>
          <w:color w:val="000000"/>
        </w:rPr>
      </w:pPr>
    </w:p>
    <w:p w:rsidR="000A7EE4" w:rsidRPr="0058422C" w:rsidRDefault="000A7EE4" w:rsidP="000A7EE4">
      <w:pPr>
        <w:numPr>
          <w:ilvl w:val="0"/>
          <w:numId w:val="1"/>
        </w:numPr>
        <w:spacing w:line="360" w:lineRule="auto"/>
        <w:ind w:left="0" w:firstLine="0"/>
        <w:contextualSpacing/>
        <w:jc w:val="both"/>
        <w:rPr>
          <w:rFonts w:ascii="Palatino Linotype" w:eastAsia="Calibri" w:hAnsi="Palatino Linotype"/>
          <w:lang w:val="es-ES" w:eastAsia="es-ES"/>
        </w:rPr>
      </w:pPr>
      <w:r w:rsidRPr="008E16D0">
        <w:rPr>
          <w:rFonts w:ascii="Palatino Linotype" w:eastAsia="Calibri" w:hAnsi="Palatino Linotype"/>
          <w:lang w:val="es-ES" w:eastAsia="es-ES"/>
        </w:rPr>
        <w:t>Se eligió como modalidad de entrega a través de la plataforma digital Sistema de Acceso a la Información Mexiquen</w:t>
      </w:r>
      <w:r>
        <w:rPr>
          <w:rFonts w:ascii="Palatino Linotype" w:eastAsia="Calibri" w:hAnsi="Palatino Linotype"/>
          <w:lang w:val="es-ES" w:eastAsia="es-ES"/>
        </w:rPr>
        <w:t>se (SAIMEX)</w:t>
      </w:r>
      <w:r w:rsidRPr="008E16D0">
        <w:rPr>
          <w:rFonts w:ascii="Palatino Linotype" w:eastAsia="Calibri" w:hAnsi="Palatino Linotype"/>
          <w:lang w:val="es-ES" w:eastAsia="es-ES"/>
        </w:rPr>
        <w:t>.</w:t>
      </w:r>
    </w:p>
    <w:p w:rsidR="006C23DF" w:rsidRDefault="006C23DF" w:rsidP="000A7EE4">
      <w:pPr>
        <w:numPr>
          <w:ilvl w:val="0"/>
          <w:numId w:val="1"/>
        </w:numPr>
        <w:spacing w:line="360" w:lineRule="auto"/>
        <w:ind w:left="0" w:firstLine="0"/>
        <w:contextualSpacing/>
        <w:jc w:val="both"/>
        <w:rPr>
          <w:rFonts w:ascii="Palatino Linotype" w:eastAsia="Calibri" w:hAnsi="Palatino Linotype"/>
          <w:lang w:val="es-ES" w:eastAsia="es-ES"/>
        </w:rPr>
      </w:pPr>
      <w:r>
        <w:rPr>
          <w:rFonts w:ascii="Palatino Linotype" w:eastAsia="Calibri" w:hAnsi="Palatino Linotype"/>
          <w:lang w:val="es-ES" w:eastAsia="es-ES"/>
        </w:rPr>
        <w:lastRenderedPageBreak/>
        <w:t xml:space="preserve">El dieciséis (16) de mayo de dos mil veinticuatro, se realizó un requerimiento al servidor público habilitado. </w:t>
      </w:r>
    </w:p>
    <w:p w:rsidR="006C23DF" w:rsidRPr="006C23DF" w:rsidRDefault="006C23DF" w:rsidP="006C23DF">
      <w:pPr>
        <w:spacing w:line="360" w:lineRule="auto"/>
        <w:contextualSpacing/>
        <w:jc w:val="both"/>
        <w:rPr>
          <w:rFonts w:ascii="Palatino Linotype" w:eastAsia="Calibri" w:hAnsi="Palatino Linotype"/>
          <w:lang w:val="es-ES" w:eastAsia="es-ES"/>
        </w:rPr>
      </w:pPr>
    </w:p>
    <w:p w:rsidR="000A7EE4" w:rsidRPr="008E16D0" w:rsidRDefault="000A7EE4" w:rsidP="000A7EE4">
      <w:pPr>
        <w:numPr>
          <w:ilvl w:val="0"/>
          <w:numId w:val="1"/>
        </w:numPr>
        <w:spacing w:line="360" w:lineRule="auto"/>
        <w:ind w:left="0" w:firstLine="0"/>
        <w:contextualSpacing/>
        <w:jc w:val="both"/>
        <w:rPr>
          <w:rFonts w:ascii="Palatino Linotype" w:eastAsia="Calibri" w:hAnsi="Palatino Linotype"/>
          <w:lang w:val="es-ES" w:eastAsia="es-ES"/>
        </w:rPr>
      </w:pPr>
      <w:r>
        <w:rPr>
          <w:rFonts w:ascii="Palatino Linotype" w:eastAsiaTheme="minorEastAsia" w:hAnsi="Palatino Linotype"/>
          <w:lang w:val="es-ES_tradnl" w:eastAsia="es-ES"/>
        </w:rPr>
        <w:t xml:space="preserve">El </w:t>
      </w:r>
      <w:r w:rsidR="006C23DF">
        <w:rPr>
          <w:rFonts w:ascii="Palatino Linotype" w:eastAsiaTheme="minorEastAsia" w:hAnsi="Palatino Linotype"/>
          <w:lang w:val="es-ES_tradnl" w:eastAsia="es-ES"/>
        </w:rPr>
        <w:t>seis (06) de junio</w:t>
      </w:r>
      <w:r>
        <w:rPr>
          <w:rFonts w:ascii="Palatino Linotype" w:eastAsiaTheme="minorEastAsia" w:hAnsi="Palatino Linotype"/>
          <w:lang w:val="es-ES_tradnl" w:eastAsia="es-ES"/>
        </w:rPr>
        <w:t xml:space="preserve"> de dos mil veinticuatro</w:t>
      </w:r>
      <w:r w:rsidRPr="008E16D0">
        <w:rPr>
          <w:rFonts w:ascii="Palatino Linotype" w:eastAsiaTheme="minorEastAsia" w:hAnsi="Palatino Linotype"/>
          <w:lang w:val="es-ES_tradnl" w:eastAsia="es-ES"/>
        </w:rPr>
        <w:t xml:space="preserve">, </w:t>
      </w:r>
      <w:r w:rsidRPr="008E16D0">
        <w:rPr>
          <w:rFonts w:ascii="Palatino Linotype" w:eastAsia="Calibri" w:hAnsi="Palatino Linotype"/>
          <w:lang w:val="es-ES" w:eastAsia="es-ES"/>
        </w:rPr>
        <w:t xml:space="preserve">el </w:t>
      </w:r>
      <w:r w:rsidRPr="008E16D0">
        <w:rPr>
          <w:rFonts w:ascii="Palatino Linotype" w:eastAsia="Calibri" w:hAnsi="Palatino Linotype" w:cs="Arial"/>
          <w:b/>
          <w:lang w:val="es-AR" w:eastAsia="es-ES"/>
        </w:rPr>
        <w:t>SUJETO OBLIGADO</w:t>
      </w:r>
      <w:r w:rsidRPr="008E16D0">
        <w:rPr>
          <w:rFonts w:ascii="Palatino Linotype" w:eastAsia="Calibri" w:hAnsi="Palatino Linotype" w:cs="Arial"/>
          <w:b/>
          <w:i/>
          <w:lang w:val="es-AR" w:eastAsia="es-ES"/>
        </w:rPr>
        <w:t xml:space="preserve"> </w:t>
      </w:r>
      <w:r w:rsidRPr="008E16D0">
        <w:rPr>
          <w:rFonts w:ascii="Palatino Linotype" w:hAnsi="Palatino Linotype" w:cs="Arial"/>
          <w:lang w:val="es-ES" w:eastAsia="es-ES"/>
        </w:rPr>
        <w:t>dio respuesta a la solicitud de información en los siguientes términos:</w:t>
      </w:r>
    </w:p>
    <w:p w:rsidR="000A7EE4" w:rsidRPr="008E16D0" w:rsidRDefault="000A7EE4" w:rsidP="000A7EE4">
      <w:pPr>
        <w:spacing w:line="360" w:lineRule="auto"/>
        <w:contextualSpacing/>
        <w:jc w:val="both"/>
        <w:rPr>
          <w:rFonts w:ascii="Palatino Linotype" w:eastAsia="Calibri" w:hAnsi="Palatino Linotype"/>
          <w:lang w:val="es-ES" w:eastAsia="es-ES"/>
        </w:rPr>
      </w:pPr>
    </w:p>
    <w:tbl>
      <w:tblPr>
        <w:tblW w:w="7691" w:type="dxa"/>
        <w:jc w:val="center"/>
        <w:tblCellSpacing w:w="0" w:type="dxa"/>
        <w:tblCellMar>
          <w:left w:w="0" w:type="dxa"/>
          <w:right w:w="0" w:type="dxa"/>
        </w:tblCellMar>
        <w:tblLook w:val="04A0" w:firstRow="1" w:lastRow="0" w:firstColumn="1" w:lastColumn="0" w:noHBand="0" w:noVBand="1"/>
      </w:tblPr>
      <w:tblGrid>
        <w:gridCol w:w="7691"/>
      </w:tblGrid>
      <w:tr w:rsidR="006C23DF" w:rsidRPr="006C23DF" w:rsidTr="006C23DF">
        <w:trPr>
          <w:trHeight w:val="290"/>
          <w:tblCellSpacing w:w="0" w:type="dxa"/>
          <w:jc w:val="center"/>
        </w:trPr>
        <w:tc>
          <w:tcPr>
            <w:tcW w:w="0" w:type="auto"/>
            <w:vAlign w:val="center"/>
            <w:hideMark/>
          </w:tcPr>
          <w:p w:rsidR="006C23DF" w:rsidRPr="006C23DF" w:rsidRDefault="006C23DF" w:rsidP="006C23DF">
            <w:pPr>
              <w:jc w:val="right"/>
              <w:rPr>
                <w:rFonts w:ascii="Palatino Linotype" w:hAnsi="Palatino Linotype"/>
                <w:i/>
                <w:sz w:val="22"/>
              </w:rPr>
            </w:pPr>
            <w:r w:rsidRPr="006C23DF">
              <w:rPr>
                <w:rFonts w:ascii="Palatino Linotype" w:hAnsi="Palatino Linotype"/>
                <w:i/>
                <w:sz w:val="22"/>
                <w:szCs w:val="18"/>
              </w:rPr>
              <w:br/>
              <w:t>Toluca, México a 06 de Junio de 2024</w:t>
            </w:r>
          </w:p>
        </w:tc>
      </w:tr>
      <w:tr w:rsidR="006C23DF" w:rsidRPr="006C23DF" w:rsidTr="006C23DF">
        <w:trPr>
          <w:trHeight w:val="290"/>
          <w:tblCellSpacing w:w="0" w:type="dxa"/>
          <w:jc w:val="center"/>
        </w:trPr>
        <w:tc>
          <w:tcPr>
            <w:tcW w:w="0" w:type="auto"/>
            <w:vAlign w:val="center"/>
            <w:hideMark/>
          </w:tcPr>
          <w:p w:rsidR="006C23DF" w:rsidRPr="006C23DF" w:rsidRDefault="006C23DF" w:rsidP="006C23DF">
            <w:pPr>
              <w:jc w:val="right"/>
              <w:rPr>
                <w:rFonts w:ascii="Palatino Linotype" w:hAnsi="Palatino Linotype"/>
                <w:i/>
                <w:sz w:val="22"/>
              </w:rPr>
            </w:pPr>
            <w:r w:rsidRPr="006C23DF">
              <w:rPr>
                <w:rFonts w:ascii="Palatino Linotype" w:hAnsi="Palatino Linotype"/>
                <w:i/>
                <w:sz w:val="22"/>
                <w:szCs w:val="18"/>
              </w:rPr>
              <w:t>Nombre del solicitante: C. Solicitante</w:t>
            </w:r>
          </w:p>
        </w:tc>
      </w:tr>
      <w:tr w:rsidR="006C23DF" w:rsidRPr="006C23DF" w:rsidTr="006C23DF">
        <w:trPr>
          <w:trHeight w:val="290"/>
          <w:tblCellSpacing w:w="0" w:type="dxa"/>
          <w:jc w:val="center"/>
        </w:trPr>
        <w:tc>
          <w:tcPr>
            <w:tcW w:w="0" w:type="auto"/>
            <w:vAlign w:val="center"/>
            <w:hideMark/>
          </w:tcPr>
          <w:p w:rsidR="006C23DF" w:rsidRPr="006C23DF" w:rsidRDefault="006C23DF" w:rsidP="006C23DF">
            <w:pPr>
              <w:jc w:val="right"/>
              <w:rPr>
                <w:rFonts w:ascii="Palatino Linotype" w:hAnsi="Palatino Linotype"/>
                <w:i/>
                <w:sz w:val="22"/>
              </w:rPr>
            </w:pPr>
            <w:r w:rsidRPr="006C23DF">
              <w:rPr>
                <w:rFonts w:ascii="Palatino Linotype" w:hAnsi="Palatino Linotype"/>
                <w:i/>
                <w:sz w:val="22"/>
                <w:szCs w:val="18"/>
              </w:rPr>
              <w:t>Folio de la solicitud: 01172/TOLUCA/IP/2024</w:t>
            </w:r>
          </w:p>
        </w:tc>
      </w:tr>
      <w:tr w:rsidR="006C23DF" w:rsidRPr="006C23DF" w:rsidTr="006C23DF">
        <w:trPr>
          <w:trHeight w:val="435"/>
          <w:tblCellSpacing w:w="0" w:type="dxa"/>
          <w:jc w:val="center"/>
        </w:trPr>
        <w:tc>
          <w:tcPr>
            <w:tcW w:w="0" w:type="auto"/>
            <w:vAlign w:val="center"/>
            <w:hideMark/>
          </w:tcPr>
          <w:p w:rsidR="006C23DF" w:rsidRPr="006C23DF" w:rsidRDefault="006C23DF" w:rsidP="006C23DF">
            <w:pPr>
              <w:jc w:val="right"/>
              <w:rPr>
                <w:rFonts w:ascii="Palatino Linotype" w:hAnsi="Palatino Linotype"/>
                <w:i/>
                <w:sz w:val="22"/>
              </w:rPr>
            </w:pPr>
          </w:p>
        </w:tc>
      </w:tr>
      <w:tr w:rsidR="006C23DF" w:rsidRPr="006C23DF" w:rsidTr="006C23DF">
        <w:trPr>
          <w:trHeight w:val="145"/>
          <w:tblCellSpacing w:w="0" w:type="dxa"/>
          <w:jc w:val="center"/>
        </w:trPr>
        <w:tc>
          <w:tcPr>
            <w:tcW w:w="0" w:type="auto"/>
            <w:vAlign w:val="center"/>
            <w:hideMark/>
          </w:tcPr>
          <w:p w:rsidR="006C23DF" w:rsidRPr="006C23DF" w:rsidRDefault="006C23DF" w:rsidP="006C23DF">
            <w:pPr>
              <w:rPr>
                <w:rFonts w:ascii="Palatino Linotype" w:hAnsi="Palatino Linotype"/>
                <w:i/>
                <w:sz w:val="22"/>
              </w:rPr>
            </w:pPr>
            <w:r w:rsidRPr="006C23DF">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C23DF" w:rsidRPr="006C23DF" w:rsidTr="006C23DF">
        <w:trPr>
          <w:trHeight w:val="363"/>
          <w:tblCellSpacing w:w="0" w:type="dxa"/>
          <w:jc w:val="center"/>
        </w:trPr>
        <w:tc>
          <w:tcPr>
            <w:tcW w:w="0" w:type="auto"/>
            <w:vAlign w:val="center"/>
            <w:hideMark/>
          </w:tcPr>
          <w:p w:rsidR="006C23DF" w:rsidRPr="006C23DF" w:rsidRDefault="006C23DF" w:rsidP="006C23DF">
            <w:pPr>
              <w:rPr>
                <w:rFonts w:ascii="Palatino Linotype" w:hAnsi="Palatino Linotype"/>
                <w:i/>
                <w:sz w:val="22"/>
              </w:rPr>
            </w:pPr>
          </w:p>
        </w:tc>
      </w:tr>
      <w:tr w:rsidR="006C23DF" w:rsidRPr="006C23DF" w:rsidTr="006C23DF">
        <w:trPr>
          <w:trHeight w:val="145"/>
          <w:tblCellSpacing w:w="0" w:type="dxa"/>
          <w:jc w:val="center"/>
        </w:trPr>
        <w:tc>
          <w:tcPr>
            <w:tcW w:w="0" w:type="auto"/>
            <w:vAlign w:val="center"/>
            <w:hideMark/>
          </w:tcPr>
          <w:p w:rsidR="006C23DF" w:rsidRPr="006C23DF" w:rsidRDefault="006C23DF" w:rsidP="006C23DF">
            <w:pPr>
              <w:rPr>
                <w:rFonts w:ascii="Palatino Linotype" w:hAnsi="Palatino Linotype"/>
                <w:i/>
                <w:sz w:val="22"/>
              </w:rPr>
            </w:pPr>
            <w:r w:rsidRPr="006C23DF">
              <w:rPr>
                <w:rFonts w:ascii="Palatino Linotype" w:hAnsi="Palatino Linotype"/>
                <w:i/>
                <w:sz w:val="22"/>
                <w:szCs w:val="18"/>
              </w:rPr>
              <w:t>En atención a la solicitud con folio 01172/TOLUCA/IP/2024, me permito adjuntar al presente la respuesta correspondiente. Sin más por el momento, reciba un saludo.</w:t>
            </w:r>
          </w:p>
        </w:tc>
      </w:tr>
      <w:tr w:rsidR="006C23DF" w:rsidRPr="006C23DF" w:rsidTr="006C23DF">
        <w:trPr>
          <w:trHeight w:val="363"/>
          <w:tblCellSpacing w:w="0" w:type="dxa"/>
          <w:jc w:val="center"/>
        </w:trPr>
        <w:tc>
          <w:tcPr>
            <w:tcW w:w="0" w:type="auto"/>
            <w:vAlign w:val="center"/>
            <w:hideMark/>
          </w:tcPr>
          <w:p w:rsidR="006C23DF" w:rsidRPr="006C23DF" w:rsidRDefault="006C23DF" w:rsidP="006C23DF">
            <w:pPr>
              <w:rPr>
                <w:rFonts w:ascii="Palatino Linotype" w:hAnsi="Palatino Linotype"/>
                <w:i/>
                <w:sz w:val="22"/>
              </w:rPr>
            </w:pPr>
          </w:p>
        </w:tc>
      </w:tr>
      <w:tr w:rsidR="006C23DF" w:rsidRPr="006C23DF" w:rsidTr="006C23DF">
        <w:trPr>
          <w:trHeight w:val="145"/>
          <w:tblCellSpacing w:w="0" w:type="dxa"/>
          <w:jc w:val="center"/>
        </w:trPr>
        <w:tc>
          <w:tcPr>
            <w:tcW w:w="0" w:type="auto"/>
            <w:vAlign w:val="center"/>
            <w:hideMark/>
          </w:tcPr>
          <w:p w:rsidR="006C23DF" w:rsidRPr="006C23DF" w:rsidRDefault="006C23DF" w:rsidP="006C23DF">
            <w:pPr>
              <w:jc w:val="center"/>
              <w:rPr>
                <w:rFonts w:ascii="Palatino Linotype" w:hAnsi="Palatino Linotype"/>
                <w:i/>
                <w:sz w:val="22"/>
                <w:szCs w:val="20"/>
              </w:rPr>
            </w:pPr>
          </w:p>
        </w:tc>
      </w:tr>
      <w:tr w:rsidR="006C23DF" w:rsidRPr="006C23DF" w:rsidTr="006C23DF">
        <w:trPr>
          <w:trHeight w:val="145"/>
          <w:tblCellSpacing w:w="0" w:type="dxa"/>
          <w:jc w:val="center"/>
        </w:trPr>
        <w:tc>
          <w:tcPr>
            <w:tcW w:w="0" w:type="auto"/>
            <w:vAlign w:val="center"/>
            <w:hideMark/>
          </w:tcPr>
          <w:p w:rsidR="006C23DF" w:rsidRPr="006C23DF" w:rsidRDefault="006C23DF" w:rsidP="006C23DF">
            <w:pPr>
              <w:rPr>
                <w:rFonts w:ascii="Palatino Linotype" w:hAnsi="Palatino Linotype"/>
                <w:i/>
                <w:sz w:val="22"/>
                <w:szCs w:val="20"/>
              </w:rPr>
            </w:pPr>
          </w:p>
        </w:tc>
      </w:tr>
      <w:tr w:rsidR="006C23DF" w:rsidRPr="006C23DF" w:rsidTr="006C23DF">
        <w:trPr>
          <w:trHeight w:val="145"/>
          <w:tblCellSpacing w:w="0" w:type="dxa"/>
          <w:jc w:val="center"/>
        </w:trPr>
        <w:tc>
          <w:tcPr>
            <w:tcW w:w="0" w:type="auto"/>
            <w:vAlign w:val="center"/>
            <w:hideMark/>
          </w:tcPr>
          <w:p w:rsidR="006C23DF" w:rsidRPr="006C23DF" w:rsidRDefault="006C23DF" w:rsidP="006C23DF">
            <w:pPr>
              <w:rPr>
                <w:rFonts w:ascii="Palatino Linotype" w:hAnsi="Palatino Linotype"/>
                <w:i/>
                <w:sz w:val="22"/>
              </w:rPr>
            </w:pPr>
            <w:r w:rsidRPr="006C23DF">
              <w:rPr>
                <w:rFonts w:ascii="Palatino Linotype" w:hAnsi="Palatino Linotype"/>
                <w:i/>
                <w:sz w:val="22"/>
                <w:szCs w:val="18"/>
              </w:rPr>
              <w:t>ATENTAMENTE</w:t>
            </w:r>
          </w:p>
        </w:tc>
      </w:tr>
      <w:tr w:rsidR="006C23DF" w:rsidRPr="006C23DF" w:rsidTr="006C23DF">
        <w:trPr>
          <w:trHeight w:val="217"/>
          <w:tblCellSpacing w:w="0" w:type="dxa"/>
          <w:jc w:val="center"/>
        </w:trPr>
        <w:tc>
          <w:tcPr>
            <w:tcW w:w="0" w:type="auto"/>
            <w:vAlign w:val="center"/>
            <w:hideMark/>
          </w:tcPr>
          <w:p w:rsidR="006C23DF" w:rsidRPr="006C23DF" w:rsidRDefault="006C23DF" w:rsidP="006C23DF">
            <w:pPr>
              <w:rPr>
                <w:rFonts w:ascii="Palatino Linotype" w:hAnsi="Palatino Linotype"/>
                <w:i/>
                <w:sz w:val="22"/>
              </w:rPr>
            </w:pPr>
          </w:p>
        </w:tc>
      </w:tr>
      <w:tr w:rsidR="006C23DF" w:rsidRPr="006C23DF" w:rsidTr="006C23DF">
        <w:trPr>
          <w:trHeight w:val="145"/>
          <w:tblCellSpacing w:w="0" w:type="dxa"/>
          <w:jc w:val="center"/>
        </w:trPr>
        <w:tc>
          <w:tcPr>
            <w:tcW w:w="0" w:type="auto"/>
            <w:vAlign w:val="center"/>
            <w:hideMark/>
          </w:tcPr>
          <w:p w:rsidR="006C23DF" w:rsidRPr="006C23DF" w:rsidRDefault="006C23DF" w:rsidP="006C23DF">
            <w:pPr>
              <w:rPr>
                <w:rFonts w:ascii="Palatino Linotype" w:hAnsi="Palatino Linotype"/>
                <w:i/>
                <w:sz w:val="22"/>
              </w:rPr>
            </w:pPr>
            <w:r w:rsidRPr="006C23DF">
              <w:rPr>
                <w:rFonts w:ascii="Palatino Linotype" w:hAnsi="Palatino Linotype"/>
                <w:i/>
                <w:sz w:val="22"/>
                <w:szCs w:val="18"/>
              </w:rPr>
              <w:t>Lic. Norma Sofía Pérez Martínez</w:t>
            </w:r>
          </w:p>
        </w:tc>
      </w:tr>
    </w:tbl>
    <w:p w:rsidR="000A7EE4" w:rsidRPr="008E16D0" w:rsidRDefault="000A7EE4" w:rsidP="000A7EE4">
      <w:pPr>
        <w:spacing w:line="360" w:lineRule="auto"/>
        <w:ind w:right="567"/>
        <w:jc w:val="both"/>
        <w:rPr>
          <w:rFonts w:ascii="Palatino Linotype" w:hAnsi="Palatino Linotype"/>
          <w:i/>
          <w:sz w:val="32"/>
        </w:rPr>
      </w:pPr>
    </w:p>
    <w:p w:rsidR="006C23DF" w:rsidRDefault="000A7EE4" w:rsidP="006A4214">
      <w:pPr>
        <w:pStyle w:val="Prrafodelista"/>
        <w:numPr>
          <w:ilvl w:val="0"/>
          <w:numId w:val="3"/>
        </w:numPr>
        <w:spacing w:line="360" w:lineRule="auto"/>
        <w:ind w:left="0" w:right="822" w:firstLine="0"/>
        <w:jc w:val="both"/>
        <w:rPr>
          <w:rFonts w:ascii="Palatino Linotype" w:hAnsi="Palatino Linotype"/>
          <w:szCs w:val="22"/>
        </w:rPr>
      </w:pPr>
      <w:r w:rsidRPr="006A4214">
        <w:rPr>
          <w:rFonts w:ascii="Palatino Linotype" w:hAnsi="Palatino Linotype"/>
          <w:szCs w:val="22"/>
        </w:rPr>
        <w:t xml:space="preserve">A la respuesta se adjuntó el archivo </w:t>
      </w:r>
      <w:hyperlink r:id="rId7" w:tgtFrame="_blank" w:history="1">
        <w:hyperlink r:id="rId8" w:tgtFrame="_blank" w:history="1">
          <w:r w:rsidR="006C23DF" w:rsidRPr="006A4214">
            <w:rPr>
              <w:rStyle w:val="Hipervnculo"/>
              <w:rFonts w:ascii="Palatino Linotype" w:hAnsi="Palatino Linotype"/>
              <w:b/>
              <w:bCs/>
              <w:szCs w:val="22"/>
            </w:rPr>
            <w:t>Respuesta 01172_24.pdf</w:t>
          </w:r>
        </w:hyperlink>
      </w:hyperlink>
      <w:r w:rsidRPr="006A4214">
        <w:rPr>
          <w:rFonts w:ascii="Palatino Linotype" w:hAnsi="Palatino Linotype"/>
          <w:szCs w:val="22"/>
        </w:rPr>
        <w:t xml:space="preserve">, </w:t>
      </w:r>
      <w:r w:rsidR="006C23DF" w:rsidRPr="006A4214">
        <w:rPr>
          <w:rFonts w:ascii="Palatino Linotype" w:hAnsi="Palatino Linotype"/>
          <w:szCs w:val="22"/>
        </w:rPr>
        <w:t>en el que se advierte un documento suscrito por el Titular de la Unidad de Transparencia en el que señaló:</w:t>
      </w:r>
    </w:p>
    <w:p w:rsidR="006A4214" w:rsidRPr="006A4214" w:rsidRDefault="006A4214" w:rsidP="006A4214">
      <w:pPr>
        <w:pStyle w:val="Prrafodelista"/>
        <w:spacing w:line="360" w:lineRule="auto"/>
        <w:ind w:left="0" w:right="822"/>
        <w:jc w:val="both"/>
        <w:rPr>
          <w:rFonts w:ascii="Palatino Linotype" w:hAnsi="Palatino Linotype"/>
          <w:szCs w:val="22"/>
        </w:rPr>
      </w:pPr>
    </w:p>
    <w:p w:rsidR="006C23DF" w:rsidRPr="006C23DF" w:rsidRDefault="006C23DF" w:rsidP="006A4214">
      <w:pPr>
        <w:spacing w:line="360" w:lineRule="auto"/>
        <w:ind w:left="851" w:right="822"/>
        <w:jc w:val="both"/>
        <w:rPr>
          <w:rFonts w:ascii="Palatino Linotype" w:hAnsi="Palatino Linotype"/>
          <w:i/>
          <w:szCs w:val="22"/>
        </w:rPr>
      </w:pPr>
      <w:r w:rsidRPr="006C23DF">
        <w:rPr>
          <w:rFonts w:ascii="Palatino Linotype" w:hAnsi="Palatino Linotype"/>
          <w:i/>
          <w:szCs w:val="22"/>
        </w:rPr>
        <w:t xml:space="preserve">“…hago de su conocimiento </w:t>
      </w:r>
      <w:r>
        <w:rPr>
          <w:rFonts w:ascii="Palatino Linotype" w:hAnsi="Palatino Linotype"/>
          <w:i/>
          <w:szCs w:val="22"/>
        </w:rPr>
        <w:t xml:space="preserve">que la Dirección General de Seguridad Pública y Protección Ciudadana y Servidor Público Habilitado, informó a la que </w:t>
      </w:r>
      <w:r>
        <w:rPr>
          <w:rFonts w:ascii="Palatino Linotype" w:hAnsi="Palatino Linotype"/>
          <w:i/>
          <w:szCs w:val="22"/>
        </w:rPr>
        <w:lastRenderedPageBreak/>
        <w:t xml:space="preserve">suscribe que, a través de la Dirección se Sustentabilidad Vial, se informa que de acuerdo a la normatividad establecida en el Reglamento de Tránsito del Estado de México, Artículo 62 Bis, los conductores de vehículos no pueden obstaculizar deliberadamente la circulación </w:t>
      </w:r>
      <w:r w:rsidR="006A4214">
        <w:rPr>
          <w:rFonts w:ascii="Palatino Linotype" w:hAnsi="Palatino Linotype"/>
          <w:i/>
          <w:szCs w:val="22"/>
        </w:rPr>
        <w:t>vehicular ni pasos peatonales, en lo particular la vía pública no puede ser utilizada como zona de estacionamiento, por ellos es que los vehículos deben ser ingresados a las cocheras coadyuvando con ellos a permitir una movilidad segura en las calles y evitas conflictos viales.”</w:t>
      </w:r>
    </w:p>
    <w:p w:rsidR="000A7EE4" w:rsidRPr="008E16D0" w:rsidRDefault="000A7EE4" w:rsidP="000A7EE4">
      <w:pPr>
        <w:spacing w:line="360" w:lineRule="auto"/>
        <w:ind w:right="567"/>
        <w:jc w:val="both"/>
        <w:rPr>
          <w:rFonts w:ascii="Palatino Linotype" w:hAnsi="Palatino Linotype"/>
          <w:b/>
        </w:rPr>
      </w:pPr>
    </w:p>
    <w:p w:rsidR="000A7EE4" w:rsidRPr="008E16D0" w:rsidRDefault="000A7EE4" w:rsidP="000A7EE4">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Pr>
          <w:rFonts w:ascii="Palatino Linotype" w:eastAsia="Calibri" w:hAnsi="Palatino Linotype" w:cs="Arial"/>
          <w:lang w:val="es-AR" w:eastAsia="es-ES"/>
        </w:rPr>
        <w:t xml:space="preserve">El </w:t>
      </w:r>
      <w:r w:rsidR="006A4214">
        <w:rPr>
          <w:rFonts w:ascii="Palatino Linotype" w:eastAsia="Calibri" w:hAnsi="Palatino Linotype" w:cs="Arial"/>
          <w:lang w:val="es-AR" w:eastAsia="es-ES"/>
        </w:rPr>
        <w:t xml:space="preserve">dieciocho (18) de junio </w:t>
      </w:r>
      <w:r>
        <w:rPr>
          <w:rFonts w:ascii="Palatino Linotype" w:eastAsia="Calibri" w:hAnsi="Palatino Linotype" w:cs="Arial"/>
          <w:lang w:val="es-AR" w:eastAsia="es-ES"/>
        </w:rPr>
        <w:t>de dos mil veinticuatro</w:t>
      </w:r>
      <w:r w:rsidRPr="008E16D0">
        <w:rPr>
          <w:rFonts w:ascii="Palatino Linotype" w:hAnsi="Palatino Linotype" w:cs="Arial"/>
          <w:lang w:val="es-ES" w:eastAsia="es-ES"/>
        </w:rPr>
        <w:t xml:space="preserve">, </w:t>
      </w:r>
      <w:r w:rsidRPr="008E16D0">
        <w:rPr>
          <w:rFonts w:ascii="Palatino Linotype" w:eastAsiaTheme="minorEastAsia" w:hAnsi="Palatino Linotype"/>
          <w:b/>
          <w:lang w:val="es-ES_tradnl" w:eastAsia="es-ES"/>
        </w:rPr>
        <w:t>EL RECURRENTE</w:t>
      </w:r>
      <w:r w:rsidRPr="008E16D0">
        <w:rPr>
          <w:rFonts w:ascii="Palatino Linotype" w:hAnsi="Palatino Linotype" w:cs="Arial"/>
          <w:lang w:val="es-ES" w:eastAsia="es-ES"/>
        </w:rPr>
        <w:t xml:space="preserve"> interpuso el recurso de revisión, en contra de la respuesta, señalando como:</w:t>
      </w:r>
      <w:bookmarkStart w:id="2" w:name="_Toc462307683"/>
      <w:bookmarkStart w:id="3" w:name="_Toc472427085"/>
      <w:bookmarkStart w:id="4" w:name="_Toc472500652"/>
    </w:p>
    <w:p w:rsidR="000A7EE4" w:rsidRPr="008E16D0" w:rsidRDefault="000A7EE4" w:rsidP="000A7EE4">
      <w:pPr>
        <w:spacing w:line="360" w:lineRule="auto"/>
        <w:ind w:left="567" w:right="567"/>
        <w:contextualSpacing/>
        <w:rPr>
          <w:rFonts w:ascii="Palatino Linotype" w:eastAsiaTheme="minorEastAsia" w:hAnsi="Palatino Linotype" w:cs="Arial"/>
          <w:i/>
          <w:lang w:val="es-ES_tradnl" w:eastAsia="es-ES"/>
        </w:rPr>
      </w:pPr>
    </w:p>
    <w:p w:rsidR="000A7EE4" w:rsidRPr="006A4214" w:rsidRDefault="000A7EE4" w:rsidP="000A7EE4">
      <w:pPr>
        <w:spacing w:line="360" w:lineRule="auto"/>
        <w:ind w:left="567" w:right="567"/>
        <w:contextualSpacing/>
        <w:jc w:val="both"/>
        <w:rPr>
          <w:rFonts w:ascii="Palatino Linotype" w:eastAsia="Calibri" w:hAnsi="Palatino Linotype" w:cs="Arial"/>
          <w:i/>
          <w:sz w:val="22"/>
          <w:lang w:val="es-ES" w:eastAsia="es-ES"/>
        </w:rPr>
      </w:pPr>
      <w:r w:rsidRPr="006A4214">
        <w:rPr>
          <w:rFonts w:ascii="Palatino Linotype" w:eastAsiaTheme="minorEastAsia" w:hAnsi="Palatino Linotype"/>
          <w:b/>
          <w:sz w:val="22"/>
          <w:lang w:val="es-ES_tradnl" w:eastAsia="es-ES"/>
        </w:rPr>
        <w:t>Acto impugnado</w:t>
      </w:r>
      <w:r w:rsidRPr="006A4214">
        <w:rPr>
          <w:rFonts w:ascii="Palatino Linotype" w:eastAsiaTheme="minorEastAsia" w:hAnsi="Palatino Linotype"/>
          <w:b/>
          <w:i/>
          <w:sz w:val="22"/>
          <w:lang w:val="es-ES_tradnl" w:eastAsia="es-ES"/>
        </w:rPr>
        <w:t>:</w:t>
      </w:r>
      <w:r w:rsidRPr="006A4214">
        <w:rPr>
          <w:rFonts w:ascii="Palatino Linotype" w:hAnsi="Palatino Linotype"/>
          <w:i/>
          <w:color w:val="000000"/>
          <w:sz w:val="22"/>
        </w:rPr>
        <w:t xml:space="preserve"> “</w:t>
      </w:r>
      <w:r w:rsidR="006A4214" w:rsidRPr="006A4214">
        <w:rPr>
          <w:rFonts w:ascii="Palatino Linotype" w:hAnsi="Palatino Linotype"/>
          <w:i/>
          <w:color w:val="000000"/>
          <w:sz w:val="22"/>
        </w:rPr>
        <w:t>El artículo que se menciona no justifica el que los policías estén infraccionando un vehículo estacionado en vía pública donde no se obstaculice el libre transito como en calles de colonias sin obstruir las salidas de cocheras o rampas de discapacitados</w:t>
      </w:r>
      <w:r w:rsidRPr="006A4214">
        <w:rPr>
          <w:rFonts w:ascii="Palatino Linotype" w:hAnsi="Palatino Linotype"/>
          <w:i/>
          <w:color w:val="000000"/>
          <w:sz w:val="22"/>
        </w:rPr>
        <w:t>” (Sic)</w:t>
      </w:r>
    </w:p>
    <w:p w:rsidR="000A7EE4" w:rsidRPr="006A4214" w:rsidRDefault="000A7EE4" w:rsidP="000A7EE4">
      <w:pPr>
        <w:spacing w:line="360" w:lineRule="auto"/>
        <w:ind w:left="567" w:right="567"/>
        <w:contextualSpacing/>
        <w:jc w:val="both"/>
        <w:rPr>
          <w:rFonts w:ascii="Palatino Linotype" w:eastAsia="Calibri" w:hAnsi="Palatino Linotype" w:cs="Arial"/>
          <w:sz w:val="22"/>
          <w:lang w:val="es-ES" w:eastAsia="es-ES"/>
        </w:rPr>
      </w:pPr>
    </w:p>
    <w:p w:rsidR="000A7EE4" w:rsidRPr="006A4214" w:rsidRDefault="000A7EE4" w:rsidP="000A7EE4">
      <w:pPr>
        <w:spacing w:line="360" w:lineRule="auto"/>
        <w:ind w:left="567" w:right="567"/>
        <w:contextualSpacing/>
        <w:jc w:val="both"/>
        <w:rPr>
          <w:rFonts w:ascii="Palatino Linotype" w:hAnsi="Palatino Linotype"/>
          <w:i/>
          <w:color w:val="000000"/>
          <w:sz w:val="22"/>
        </w:rPr>
      </w:pPr>
      <w:r w:rsidRPr="006A4214">
        <w:rPr>
          <w:rFonts w:ascii="Palatino Linotype" w:eastAsiaTheme="minorEastAsia" w:hAnsi="Palatino Linotype"/>
          <w:b/>
          <w:sz w:val="22"/>
          <w:lang w:val="es-ES_tradnl" w:eastAsia="es-ES"/>
        </w:rPr>
        <w:t>Razones o Motivos de inconformidad:</w:t>
      </w:r>
      <w:r w:rsidRPr="006A4214">
        <w:rPr>
          <w:rFonts w:ascii="Palatino Linotype" w:eastAsiaTheme="majorEastAsia" w:hAnsi="Palatino Linotype" w:cstheme="majorBidi"/>
          <w:b/>
          <w:color w:val="2E74B5" w:themeColor="accent1" w:themeShade="BF"/>
          <w:szCs w:val="26"/>
          <w:lang w:val="es-ES" w:eastAsia="es-ES"/>
        </w:rPr>
        <w:t xml:space="preserve"> </w:t>
      </w:r>
      <w:r w:rsidRPr="006A4214">
        <w:rPr>
          <w:rFonts w:ascii="Palatino Linotype" w:eastAsiaTheme="majorEastAsia" w:hAnsi="Palatino Linotype" w:cstheme="majorBidi"/>
          <w:i/>
          <w:sz w:val="22"/>
          <w:lang w:val="es-ES" w:eastAsia="es-ES"/>
        </w:rPr>
        <w:t>“</w:t>
      </w:r>
      <w:r w:rsidR="006A4214" w:rsidRPr="006A4214">
        <w:rPr>
          <w:rFonts w:ascii="Palatino Linotype" w:hAnsi="Palatino Linotype"/>
          <w:i/>
          <w:color w:val="000000"/>
          <w:sz w:val="22"/>
        </w:rPr>
        <w:t>No fue aclarada mi duda</w:t>
      </w:r>
      <w:r w:rsidRPr="006A4214">
        <w:rPr>
          <w:rFonts w:ascii="Palatino Linotype" w:hAnsi="Palatino Linotype"/>
          <w:i/>
          <w:color w:val="000000"/>
          <w:sz w:val="22"/>
        </w:rPr>
        <w:t>” (Sic).</w:t>
      </w:r>
    </w:p>
    <w:bookmarkEnd w:id="2"/>
    <w:bookmarkEnd w:id="3"/>
    <w:bookmarkEnd w:id="4"/>
    <w:p w:rsidR="000A7EE4" w:rsidRPr="008E16D0" w:rsidRDefault="000A7EE4" w:rsidP="000A7EE4">
      <w:pPr>
        <w:tabs>
          <w:tab w:val="left" w:pos="6197"/>
        </w:tabs>
        <w:spacing w:line="360" w:lineRule="auto"/>
        <w:jc w:val="both"/>
        <w:rPr>
          <w:rFonts w:ascii="Palatino Linotype" w:eastAsia="Calibri" w:hAnsi="Palatino Linotype" w:cs="Arial"/>
          <w:lang w:val="es-AR" w:eastAsia="es-ES"/>
        </w:rPr>
      </w:pPr>
      <w:r w:rsidRPr="008E16D0">
        <w:rPr>
          <w:rFonts w:ascii="Palatino Linotype" w:eastAsia="Calibri" w:hAnsi="Palatino Linotype" w:cs="Arial"/>
          <w:lang w:val="es-AR" w:eastAsia="es-ES"/>
        </w:rPr>
        <w:tab/>
      </w:r>
    </w:p>
    <w:p w:rsidR="000A7EE4" w:rsidRPr="008E16D0" w:rsidRDefault="000A7EE4" w:rsidP="000A7EE4">
      <w:pPr>
        <w:numPr>
          <w:ilvl w:val="0"/>
          <w:numId w:val="1"/>
        </w:numPr>
        <w:spacing w:line="360" w:lineRule="auto"/>
        <w:ind w:left="0" w:firstLine="0"/>
        <w:contextualSpacing/>
        <w:jc w:val="both"/>
        <w:rPr>
          <w:rFonts w:ascii="Palatino Linotype" w:eastAsia="Calibri" w:hAnsi="Palatino Linotype" w:cs="Arial"/>
          <w:lang w:val="es-AR" w:eastAsia="es-ES"/>
        </w:rPr>
      </w:pPr>
      <w:r w:rsidRPr="008E16D0">
        <w:rPr>
          <w:rFonts w:ascii="Palatino Linotype" w:hAnsi="Palatino Linotype" w:cs="Arial"/>
          <w:lang w:val="es-ES" w:eastAsia="es-ES"/>
        </w:rPr>
        <w:t xml:space="preserve">Se registró el recurso de revisión bajo el número de expediente </w:t>
      </w:r>
      <w:r w:rsidRPr="008E16D0">
        <w:rPr>
          <w:rFonts w:ascii="Palatino Linotype" w:eastAsiaTheme="minorEastAsia" w:hAnsi="Palatino Linotype" w:cs="Arial"/>
          <w:bCs/>
          <w:lang w:val="es-ES_tradnl" w:eastAsia="es-ES"/>
        </w:rPr>
        <w:t xml:space="preserve">al rubro indicado, asimismo con fundamento en lo dispuesto por el </w:t>
      </w:r>
      <w:r w:rsidRPr="008E16D0">
        <w:rPr>
          <w:rFonts w:ascii="Palatino Linotype" w:eastAsia="Calibri" w:hAnsi="Palatino Linotype" w:cs="Arial"/>
          <w:lang w:val="es-ES" w:eastAsia="es-ES"/>
        </w:rPr>
        <w:t xml:space="preserve">artículo 185 fracción I de la </w:t>
      </w:r>
      <w:r w:rsidRPr="008E16D0">
        <w:rPr>
          <w:rFonts w:ascii="Palatino Linotype" w:eastAsia="Calibri" w:hAnsi="Palatino Linotype" w:cs="Arial"/>
          <w:b/>
          <w:lang w:val="es-ES" w:eastAsia="es-ES"/>
        </w:rPr>
        <w:t xml:space="preserve">Ley de Transparencia y Acceso a la Información Pública del Estado de México y Municipios </w:t>
      </w:r>
      <w:r w:rsidRPr="008E16D0">
        <w:rPr>
          <w:rFonts w:ascii="Palatino Linotype" w:hAnsi="Palatino Linotype" w:cs="Arial"/>
          <w:lang w:val="es-ES" w:eastAsia="es-ES"/>
        </w:rPr>
        <w:t xml:space="preserve">se turnó a la </w:t>
      </w:r>
      <w:r w:rsidRPr="008E16D0">
        <w:rPr>
          <w:rFonts w:ascii="Palatino Linotype" w:hAnsi="Palatino Linotype" w:cs="Arial"/>
          <w:b/>
          <w:lang w:val="es-ES" w:eastAsia="es-ES"/>
        </w:rPr>
        <w:t xml:space="preserve">Comisionada María del Rosario Mejía Ayala, </w:t>
      </w:r>
      <w:r w:rsidRPr="008E16D0">
        <w:rPr>
          <w:rFonts w:ascii="Palatino Linotype" w:hAnsi="Palatino Linotype" w:cs="Arial"/>
          <w:lang w:val="es-ES" w:eastAsia="es-ES"/>
        </w:rPr>
        <w:t xml:space="preserve">con el objeto de </w:t>
      </w:r>
      <w:r w:rsidRPr="008E16D0">
        <w:rPr>
          <w:rFonts w:ascii="Palatino Linotype" w:hAnsi="Palatino Linotype" w:cs="Arial"/>
          <w:lang w:eastAsia="es-ES"/>
        </w:rPr>
        <w:t xml:space="preserve">su análisis. </w:t>
      </w:r>
    </w:p>
    <w:p w:rsidR="000A7EE4" w:rsidRPr="008E16D0" w:rsidRDefault="000A7EE4" w:rsidP="000A7EE4">
      <w:pPr>
        <w:spacing w:line="360" w:lineRule="auto"/>
        <w:contextualSpacing/>
        <w:jc w:val="both"/>
        <w:rPr>
          <w:rFonts w:ascii="Palatino Linotype" w:eastAsia="Calibri" w:hAnsi="Palatino Linotype" w:cs="Arial"/>
          <w:lang w:val="es-AR" w:eastAsia="es-ES"/>
        </w:rPr>
      </w:pPr>
    </w:p>
    <w:p w:rsidR="000A7EE4" w:rsidRPr="008E16D0" w:rsidRDefault="000A7EE4" w:rsidP="000A7EE4">
      <w:pPr>
        <w:numPr>
          <w:ilvl w:val="0"/>
          <w:numId w:val="1"/>
        </w:numPr>
        <w:spacing w:line="360" w:lineRule="auto"/>
        <w:ind w:left="0" w:firstLine="0"/>
        <w:contextualSpacing/>
        <w:jc w:val="both"/>
        <w:rPr>
          <w:rFonts w:ascii="Palatino Linotype" w:eastAsiaTheme="minorEastAsia" w:hAnsi="Palatino Linotype" w:cstheme="minorBidi"/>
          <w:i/>
          <w:color w:val="000000"/>
          <w:sz w:val="22"/>
          <w:szCs w:val="22"/>
          <w:lang w:val="es-ES_tradnl" w:eastAsia="es-ES"/>
        </w:rPr>
      </w:pPr>
      <w:r w:rsidRPr="008E16D0">
        <w:rPr>
          <w:rFonts w:ascii="Palatino Linotype" w:eastAsia="Calibri" w:hAnsi="Palatino Linotype" w:cs="Arial"/>
          <w:lang w:val="es-ES" w:eastAsia="es-ES"/>
        </w:rPr>
        <w:lastRenderedPageBreak/>
        <w:t xml:space="preserve">El Comisionado Ponente con fundamento en lo dispuesto por el artículo 185 fracción II de la ley de la materia, a través del acuerdo de admisión del </w:t>
      </w:r>
      <w:r w:rsidR="006A4214">
        <w:rPr>
          <w:rFonts w:ascii="Palatino Linotype" w:eastAsia="Calibri" w:hAnsi="Palatino Linotype" w:cs="Arial"/>
          <w:lang w:val="es-ES" w:eastAsia="es-ES"/>
        </w:rPr>
        <w:t>veinticuatro (24) de junio</w:t>
      </w:r>
      <w:r>
        <w:rPr>
          <w:rFonts w:ascii="Palatino Linotype" w:eastAsia="Calibri" w:hAnsi="Palatino Linotype" w:cs="Arial"/>
          <w:lang w:val="es-ES" w:eastAsia="es-ES"/>
        </w:rPr>
        <w:t xml:space="preserve"> de dos mil veinticuatro</w:t>
      </w:r>
      <w:r w:rsidRPr="008E16D0">
        <w:rPr>
          <w:rFonts w:ascii="Palatino Linotype" w:eastAsia="Calibri" w:hAnsi="Palatino Linotype" w:cs="Arial"/>
          <w:lang w:val="es-ES" w:eastAsia="es-ES"/>
        </w:rPr>
        <w:t xml:space="preserve">, puso a disposición de las partes el expediente electrónico </w:t>
      </w:r>
      <w:r w:rsidRPr="008E16D0">
        <w:rPr>
          <w:rFonts w:ascii="Palatino Linotype" w:eastAsia="Calibri" w:hAnsi="Palatino Linotype" w:cs="Arial"/>
          <w:lang w:val="es-ES_tradnl" w:eastAsia="es-ES"/>
        </w:rPr>
        <w:t xml:space="preserve">vía </w:t>
      </w:r>
      <w:r w:rsidRPr="008E16D0">
        <w:rPr>
          <w:rFonts w:ascii="Palatino Linotype" w:eastAsia="Calibri" w:hAnsi="Palatino Linotype" w:cs="Arial"/>
          <w:b/>
          <w:lang w:val="es-ES" w:eastAsia="es-ES"/>
        </w:rPr>
        <w:t xml:space="preserve">SAIMEX </w:t>
      </w:r>
      <w:r w:rsidRPr="008E16D0">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8E16D0">
        <w:rPr>
          <w:rFonts w:ascii="Palatino Linotype" w:eastAsia="Calibri" w:hAnsi="Palatino Linotype" w:cs="Arial"/>
          <w:b/>
          <w:lang w:val="es-ES" w:eastAsia="es-ES"/>
        </w:rPr>
        <w:t>SUJETO OBLIGADO</w:t>
      </w:r>
      <w:r w:rsidRPr="008E16D0">
        <w:rPr>
          <w:rFonts w:ascii="Palatino Linotype" w:eastAsia="Calibri" w:hAnsi="Palatino Linotype" w:cs="Arial"/>
          <w:lang w:val="es-ES" w:eastAsia="es-ES"/>
        </w:rPr>
        <w:t xml:space="preserve"> presentara el informe justificado procedente. </w:t>
      </w:r>
    </w:p>
    <w:p w:rsidR="000A7EE4" w:rsidRPr="008E16D0" w:rsidRDefault="000A7EE4" w:rsidP="000A7EE4">
      <w:pPr>
        <w:spacing w:line="360" w:lineRule="auto"/>
        <w:contextualSpacing/>
        <w:jc w:val="both"/>
        <w:rPr>
          <w:rFonts w:ascii="Palatino Linotype" w:eastAsiaTheme="minorEastAsia" w:hAnsi="Palatino Linotype" w:cstheme="minorBidi"/>
          <w:i/>
          <w:color w:val="000000"/>
          <w:sz w:val="22"/>
          <w:szCs w:val="22"/>
          <w:lang w:val="es-ES_tradnl" w:eastAsia="es-ES"/>
        </w:rPr>
      </w:pPr>
    </w:p>
    <w:p w:rsidR="000A7EE4" w:rsidRPr="003F7304" w:rsidRDefault="000A7EE4" w:rsidP="000A7EE4">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CA272F">
        <w:rPr>
          <w:rFonts w:ascii="Palatino Linotype" w:eastAsia="Calibri" w:hAnsi="Palatino Linotype" w:cs="Arial"/>
          <w:lang w:val="es-ES" w:eastAsia="es-ES"/>
        </w:rPr>
        <w:t>De las constancias en el expediente electrónico SAIMEX, se advierte que el particular no realizó manifestaciones, no ofreció pruebas o alegatos que a su derecho convinieran; por su parte, el Sujeto Obliga</w:t>
      </w:r>
      <w:r>
        <w:rPr>
          <w:rFonts w:ascii="Palatino Linotype" w:eastAsia="Calibri" w:hAnsi="Palatino Linotype" w:cs="Arial"/>
          <w:lang w:val="es-ES" w:eastAsia="es-ES"/>
        </w:rPr>
        <w:t xml:space="preserve">do </w:t>
      </w:r>
      <w:r w:rsidR="006A4214">
        <w:rPr>
          <w:rFonts w:ascii="Palatino Linotype" w:eastAsia="Calibri" w:hAnsi="Palatino Linotype" w:cs="Arial"/>
          <w:lang w:val="es-ES" w:eastAsia="es-ES"/>
        </w:rPr>
        <w:t xml:space="preserve">entregó informe justificado el tres (03) de julio de dos mil veinticuatro, a través del archivo </w:t>
      </w:r>
      <w:hyperlink r:id="rId9" w:history="1">
        <w:r w:rsidR="006A4214" w:rsidRPr="003F7304">
          <w:rPr>
            <w:rStyle w:val="Hipervnculo"/>
            <w:rFonts w:ascii="Palatino Linotype" w:eastAsiaTheme="majorEastAsia" w:hAnsi="Palatino Linotype" w:cs="Arial"/>
            <w:b/>
            <w:bCs/>
            <w:color w:val="auto"/>
          </w:rPr>
          <w:t>3738.pdf</w:t>
        </w:r>
      </w:hyperlink>
      <w:r w:rsidR="006A4214" w:rsidRPr="003F7304">
        <w:rPr>
          <w:rFonts w:ascii="Palatino Linotype" w:hAnsi="Palatino Linotype"/>
        </w:rPr>
        <w:t xml:space="preserve">, en el que se confirmó la respuesta y que fue puesto a la vista del particular el </w:t>
      </w:r>
      <w:r w:rsidR="003F7304" w:rsidRPr="003F7304">
        <w:rPr>
          <w:rFonts w:ascii="Palatino Linotype" w:hAnsi="Palatino Linotype"/>
        </w:rPr>
        <w:t xml:space="preserve">cinco (05) de septiembre de dos mil veinticuatro. </w:t>
      </w:r>
    </w:p>
    <w:p w:rsidR="000A7EE4" w:rsidRPr="00CA272F" w:rsidRDefault="000A7EE4" w:rsidP="000A7EE4">
      <w:pPr>
        <w:spacing w:line="360" w:lineRule="auto"/>
        <w:contextualSpacing/>
        <w:jc w:val="both"/>
        <w:rPr>
          <w:rFonts w:ascii="Palatino Linotype" w:eastAsiaTheme="minorEastAsia" w:hAnsi="Palatino Linotype"/>
          <w:b/>
          <w:u w:val="single"/>
          <w:lang w:val="es-ES_tradnl" w:eastAsia="es-ES"/>
        </w:rPr>
      </w:pPr>
    </w:p>
    <w:p w:rsidR="003F7304" w:rsidRDefault="003F7304" w:rsidP="003F7304">
      <w:pPr>
        <w:pStyle w:val="Prrafodelista"/>
        <w:numPr>
          <w:ilvl w:val="0"/>
          <w:numId w:val="1"/>
        </w:numPr>
        <w:spacing w:line="360" w:lineRule="auto"/>
        <w:ind w:left="0" w:right="113" w:firstLine="0"/>
        <w:jc w:val="both"/>
        <w:rPr>
          <w:rFonts w:ascii="Palatino Linotype" w:hAnsi="Palatino Linotype"/>
          <w:sz w:val="24"/>
        </w:rPr>
      </w:pPr>
      <w:r>
        <w:rPr>
          <w:rFonts w:ascii="Palatino Linotype" w:hAnsi="Palatino Linotype"/>
          <w:sz w:val="24"/>
        </w:rPr>
        <w:t xml:space="preserve">El cinco (05) de septiembre de dos mil veinticuatro, se notificó el acuerdo a través del cual se aprobó la ampliación de plazo para emitir resolución. </w:t>
      </w:r>
    </w:p>
    <w:p w:rsidR="003F7304" w:rsidRPr="003F7304" w:rsidRDefault="003F7304" w:rsidP="003F7304">
      <w:pPr>
        <w:pStyle w:val="Prrafodelista"/>
        <w:rPr>
          <w:rFonts w:ascii="Palatino Linotype" w:eastAsia="Palatino Linotype" w:hAnsi="Palatino Linotype" w:cs="Palatino Linotype"/>
        </w:rPr>
      </w:pPr>
    </w:p>
    <w:p w:rsidR="003F7304" w:rsidRPr="003F7304" w:rsidRDefault="003F7304" w:rsidP="003F7304">
      <w:pPr>
        <w:pStyle w:val="Prrafodelista"/>
        <w:numPr>
          <w:ilvl w:val="0"/>
          <w:numId w:val="1"/>
        </w:numPr>
        <w:spacing w:line="360" w:lineRule="auto"/>
        <w:ind w:left="0" w:right="113" w:firstLine="0"/>
        <w:jc w:val="both"/>
        <w:rPr>
          <w:rFonts w:ascii="Palatino Linotype" w:hAnsi="Palatino Linotype"/>
          <w:sz w:val="28"/>
        </w:rPr>
      </w:pPr>
      <w:r w:rsidRPr="003F7304">
        <w:rPr>
          <w:rFonts w:ascii="Palatino Linotype" w:eastAsia="Palatino Linotype" w:hAnsi="Palatino Linotype" w:cs="Palatino Linotype"/>
          <w:sz w:val="24"/>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3F7304" w:rsidRPr="003F7304" w:rsidRDefault="003F7304" w:rsidP="003F7304">
      <w:pPr>
        <w:pStyle w:val="Prrafodelista"/>
        <w:rPr>
          <w:rFonts w:ascii="Palatino Linotype" w:eastAsia="Palatino Linotype" w:hAnsi="Palatino Linotype" w:cs="Palatino Linotype"/>
        </w:rPr>
      </w:pPr>
    </w:p>
    <w:p w:rsidR="003F7304" w:rsidRPr="003F7304" w:rsidRDefault="003F7304" w:rsidP="003F7304">
      <w:pPr>
        <w:pStyle w:val="Prrafodelista"/>
        <w:numPr>
          <w:ilvl w:val="0"/>
          <w:numId w:val="1"/>
        </w:numPr>
        <w:spacing w:line="360" w:lineRule="auto"/>
        <w:ind w:left="0" w:right="113" w:firstLine="0"/>
        <w:jc w:val="both"/>
        <w:rPr>
          <w:rFonts w:ascii="Palatino Linotype" w:hAnsi="Palatino Linotype"/>
          <w:sz w:val="24"/>
        </w:rPr>
      </w:pPr>
      <w:r w:rsidRPr="003F7304">
        <w:rPr>
          <w:rFonts w:ascii="Palatino Linotype" w:eastAsia="Palatino Linotype" w:hAnsi="Palatino Linotype" w:cs="Palatino Linotype"/>
          <w:sz w:val="24"/>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F7304" w:rsidRPr="003F7304" w:rsidRDefault="003F7304" w:rsidP="003F7304">
      <w:pPr>
        <w:spacing w:line="360" w:lineRule="auto"/>
        <w:rPr>
          <w:rFonts w:ascii="Palatino Linotype" w:eastAsia="Palatino Linotype" w:hAnsi="Palatino Linotype" w:cs="Palatino Linotype"/>
        </w:rPr>
      </w:pPr>
    </w:p>
    <w:p w:rsidR="003F7304" w:rsidRPr="003F7304" w:rsidRDefault="003F7304" w:rsidP="003F7304">
      <w:pPr>
        <w:pStyle w:val="Prrafodelista"/>
        <w:numPr>
          <w:ilvl w:val="0"/>
          <w:numId w:val="1"/>
        </w:numPr>
        <w:spacing w:line="360" w:lineRule="auto"/>
        <w:ind w:left="0" w:firstLine="0"/>
        <w:jc w:val="both"/>
        <w:rPr>
          <w:rFonts w:ascii="Palatino Linotype" w:eastAsia="Palatino Linotype" w:hAnsi="Palatino Linotype" w:cs="Palatino Linotype"/>
          <w:b/>
          <w:sz w:val="24"/>
        </w:rPr>
      </w:pPr>
      <w:r w:rsidRPr="003F7304">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F7304" w:rsidRPr="003F7304" w:rsidRDefault="003F7304" w:rsidP="003F7304">
      <w:pPr>
        <w:spacing w:line="360" w:lineRule="auto"/>
        <w:rPr>
          <w:rFonts w:ascii="Palatino Linotype" w:eastAsia="Palatino Linotype" w:hAnsi="Palatino Linotype" w:cs="Palatino Linotype"/>
        </w:rPr>
      </w:pPr>
    </w:p>
    <w:p w:rsidR="003F7304" w:rsidRPr="003F7304" w:rsidRDefault="003F7304" w:rsidP="003F7304">
      <w:pPr>
        <w:numPr>
          <w:ilvl w:val="0"/>
          <w:numId w:val="1"/>
        </w:numPr>
        <w:spacing w:line="360" w:lineRule="auto"/>
        <w:ind w:left="0" w:firstLine="0"/>
        <w:jc w:val="both"/>
        <w:rPr>
          <w:rFonts w:ascii="Palatino Linotype" w:eastAsia="Palatino Linotype" w:hAnsi="Palatino Linotype" w:cs="Palatino Linotype"/>
          <w:b/>
        </w:rPr>
      </w:pPr>
      <w:r w:rsidRPr="003F730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F7304" w:rsidRPr="003F7304" w:rsidRDefault="003F7304" w:rsidP="003F7304">
      <w:pPr>
        <w:spacing w:line="360" w:lineRule="auto"/>
        <w:jc w:val="both"/>
        <w:rPr>
          <w:rFonts w:ascii="Palatino Linotype" w:eastAsia="Palatino Linotype" w:hAnsi="Palatino Linotype" w:cs="Palatino Linotype"/>
          <w:b/>
        </w:rPr>
      </w:pPr>
    </w:p>
    <w:p w:rsidR="003F7304" w:rsidRPr="003F7304" w:rsidRDefault="003F7304" w:rsidP="003F7304">
      <w:pPr>
        <w:numPr>
          <w:ilvl w:val="0"/>
          <w:numId w:val="1"/>
        </w:numPr>
        <w:spacing w:line="360" w:lineRule="auto"/>
        <w:ind w:left="0" w:firstLine="0"/>
        <w:jc w:val="both"/>
        <w:rPr>
          <w:rFonts w:ascii="Palatino Linotype" w:eastAsia="Palatino Linotype" w:hAnsi="Palatino Linotype" w:cs="Palatino Linotype"/>
          <w:b/>
        </w:rPr>
      </w:pPr>
      <w:r w:rsidRPr="003F7304">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3F7304" w:rsidRPr="003F7304" w:rsidRDefault="003F7304" w:rsidP="003F7304">
      <w:pPr>
        <w:spacing w:line="360" w:lineRule="auto"/>
        <w:jc w:val="both"/>
        <w:rPr>
          <w:rFonts w:ascii="Palatino Linotype" w:eastAsia="Palatino Linotype" w:hAnsi="Palatino Linotype" w:cs="Palatino Linotype"/>
          <w:b/>
        </w:rPr>
      </w:pPr>
    </w:p>
    <w:p w:rsidR="003F7304" w:rsidRPr="003F7304" w:rsidRDefault="003F7304" w:rsidP="003F730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F7304">
        <w:rPr>
          <w:rFonts w:ascii="Palatino Linotype" w:eastAsia="Palatino Linotype" w:hAnsi="Palatino Linotype" w:cs="Palatino Linotype"/>
          <w:color w:val="000000"/>
        </w:rPr>
        <w:t xml:space="preserve">Complejidad del </w:t>
      </w:r>
      <w:r w:rsidRPr="003F7304">
        <w:rPr>
          <w:rFonts w:ascii="Palatino Linotype" w:eastAsia="Palatino Linotype" w:hAnsi="Palatino Linotype" w:cs="Palatino Linotype"/>
        </w:rPr>
        <w:t>asunto</w:t>
      </w:r>
      <w:r w:rsidRPr="003F7304">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3F7304" w:rsidRPr="003F7304" w:rsidRDefault="003F7304" w:rsidP="003F730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F7304">
        <w:rPr>
          <w:rFonts w:ascii="Palatino Linotype" w:eastAsia="Palatino Linotype" w:hAnsi="Palatino Linotype" w:cs="Palatino Linotype"/>
          <w:color w:val="000000"/>
        </w:rPr>
        <w:t>Actividad Procesal del interesado. Acciones u omisiones del interesado.</w:t>
      </w:r>
    </w:p>
    <w:p w:rsidR="003F7304" w:rsidRPr="003F7304" w:rsidRDefault="003F7304" w:rsidP="003F730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F7304">
        <w:rPr>
          <w:rFonts w:ascii="Palatino Linotype" w:eastAsia="Palatino Linotype" w:hAnsi="Palatino Linotype" w:cs="Palatino Linotype"/>
          <w:color w:val="000000"/>
        </w:rPr>
        <w:lastRenderedPageBreak/>
        <w:t>Conducta de la Autoridad: Las Acciones u omisiones realizadas en el procedimiento. Así como si la autoridad actuó con la debida diligencia.</w:t>
      </w:r>
    </w:p>
    <w:p w:rsidR="003F7304" w:rsidRPr="003F7304" w:rsidRDefault="003F7304" w:rsidP="003F7304">
      <w:pPr>
        <w:spacing w:line="360" w:lineRule="auto"/>
        <w:ind w:left="567"/>
        <w:jc w:val="both"/>
        <w:rPr>
          <w:rFonts w:ascii="Palatino Linotype" w:eastAsia="Palatino Linotype" w:hAnsi="Palatino Linotype" w:cs="Palatino Linotype"/>
        </w:rPr>
      </w:pPr>
      <w:r w:rsidRPr="003F7304">
        <w:rPr>
          <w:rFonts w:ascii="Palatino Linotype" w:eastAsia="Palatino Linotype" w:hAnsi="Palatino Linotype" w:cs="Palatino Linotype"/>
        </w:rPr>
        <w:t>d) La afectación generada en la situación jurídica de la persona involucrada en el proceso: Violación a sus derechos humanos.</w:t>
      </w:r>
    </w:p>
    <w:p w:rsidR="003F7304" w:rsidRPr="003F7304" w:rsidRDefault="003F7304" w:rsidP="003F7304">
      <w:pPr>
        <w:spacing w:line="360" w:lineRule="auto"/>
        <w:rPr>
          <w:rFonts w:ascii="Palatino Linotype" w:eastAsia="Palatino Linotype" w:hAnsi="Palatino Linotype" w:cs="Palatino Linotype"/>
        </w:rPr>
      </w:pPr>
    </w:p>
    <w:p w:rsidR="003F7304" w:rsidRPr="003F7304" w:rsidRDefault="003F7304" w:rsidP="003F7304">
      <w:pPr>
        <w:numPr>
          <w:ilvl w:val="0"/>
          <w:numId w:val="1"/>
        </w:numPr>
        <w:spacing w:line="360" w:lineRule="auto"/>
        <w:ind w:left="0" w:firstLine="0"/>
        <w:jc w:val="both"/>
        <w:rPr>
          <w:rFonts w:ascii="Palatino Linotype" w:eastAsia="Palatino Linotype" w:hAnsi="Palatino Linotype" w:cs="Palatino Linotype"/>
          <w:b/>
        </w:rPr>
      </w:pPr>
      <w:r w:rsidRPr="003F730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F7304" w:rsidRPr="003F7304" w:rsidRDefault="003F7304" w:rsidP="003F7304">
      <w:pPr>
        <w:spacing w:line="360" w:lineRule="auto"/>
        <w:jc w:val="both"/>
        <w:rPr>
          <w:rFonts w:ascii="Palatino Linotype" w:eastAsia="Palatino Linotype" w:hAnsi="Palatino Linotype" w:cs="Palatino Linotype"/>
          <w:b/>
        </w:rPr>
      </w:pPr>
    </w:p>
    <w:p w:rsidR="003F7304" w:rsidRPr="003F7304" w:rsidRDefault="003F7304" w:rsidP="003F7304">
      <w:pPr>
        <w:numPr>
          <w:ilvl w:val="0"/>
          <w:numId w:val="1"/>
        </w:numPr>
        <w:spacing w:line="360" w:lineRule="auto"/>
        <w:ind w:left="0" w:firstLine="0"/>
        <w:jc w:val="both"/>
        <w:rPr>
          <w:rFonts w:ascii="Palatino Linotype" w:eastAsia="Palatino Linotype" w:hAnsi="Palatino Linotype" w:cs="Palatino Linotype"/>
          <w:b/>
        </w:rPr>
      </w:pPr>
      <w:r w:rsidRPr="003F730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F7304">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F7304">
        <w:rPr>
          <w:rFonts w:ascii="Palatino Linotype" w:eastAsia="Palatino Linotype" w:hAnsi="Palatino Linotype" w:cs="Palatino Linotype"/>
        </w:rPr>
        <w:t>, visible en la Gaceta del Seminario Judicial de la Federación con el registro digital 205635.</w:t>
      </w:r>
    </w:p>
    <w:p w:rsidR="003F7304" w:rsidRPr="003F7304" w:rsidRDefault="003F7304" w:rsidP="003F7304">
      <w:pPr>
        <w:spacing w:line="360" w:lineRule="auto"/>
        <w:rPr>
          <w:rFonts w:ascii="Palatino Linotype" w:eastAsia="Palatino Linotype" w:hAnsi="Palatino Linotype" w:cs="Palatino Linotype"/>
        </w:rPr>
      </w:pPr>
    </w:p>
    <w:p w:rsidR="003F7304" w:rsidRPr="003F7304" w:rsidRDefault="003F7304" w:rsidP="003F7304">
      <w:pPr>
        <w:numPr>
          <w:ilvl w:val="0"/>
          <w:numId w:val="1"/>
        </w:numPr>
        <w:spacing w:line="360" w:lineRule="auto"/>
        <w:ind w:left="0" w:firstLine="0"/>
        <w:jc w:val="both"/>
        <w:rPr>
          <w:rFonts w:ascii="Palatino Linotype" w:eastAsia="Palatino Linotype" w:hAnsi="Palatino Linotype" w:cs="Palatino Linotype"/>
          <w:b/>
        </w:rPr>
      </w:pPr>
      <w:r w:rsidRPr="003F7304">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3F7304">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rsidR="003F7304" w:rsidRPr="003F7304" w:rsidRDefault="003F7304" w:rsidP="003F7304">
      <w:pPr>
        <w:spacing w:line="360" w:lineRule="auto"/>
        <w:rPr>
          <w:rFonts w:ascii="Palatino Linotype" w:eastAsia="Palatino Linotype" w:hAnsi="Palatino Linotype" w:cs="Palatino Linotype"/>
        </w:rPr>
      </w:pPr>
    </w:p>
    <w:p w:rsidR="003F7304" w:rsidRPr="003F7304" w:rsidRDefault="003F7304" w:rsidP="003F7304">
      <w:pPr>
        <w:numPr>
          <w:ilvl w:val="0"/>
          <w:numId w:val="1"/>
        </w:numPr>
        <w:spacing w:line="360" w:lineRule="auto"/>
        <w:ind w:left="0" w:firstLine="0"/>
        <w:jc w:val="both"/>
        <w:rPr>
          <w:rFonts w:ascii="Palatino Linotype" w:eastAsia="Palatino Linotype" w:hAnsi="Palatino Linotype" w:cs="Palatino Linotype"/>
          <w:b/>
        </w:rPr>
      </w:pPr>
      <w:r w:rsidRPr="003F730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3F7304" w:rsidRPr="003F7304" w:rsidRDefault="003F7304" w:rsidP="003F7304">
      <w:pPr>
        <w:spacing w:line="360" w:lineRule="auto"/>
        <w:rPr>
          <w:rFonts w:ascii="Palatino Linotype" w:eastAsia="Palatino Linotype" w:hAnsi="Palatino Linotype" w:cs="Palatino Linotype"/>
        </w:rPr>
      </w:pPr>
    </w:p>
    <w:p w:rsidR="003F7304" w:rsidRPr="003F7304" w:rsidRDefault="003F7304" w:rsidP="003F7304">
      <w:pPr>
        <w:numPr>
          <w:ilvl w:val="0"/>
          <w:numId w:val="1"/>
        </w:numPr>
        <w:spacing w:line="360" w:lineRule="auto"/>
        <w:ind w:left="0" w:firstLine="0"/>
        <w:jc w:val="both"/>
        <w:rPr>
          <w:rFonts w:ascii="Palatino Linotype" w:eastAsia="Palatino Linotype" w:hAnsi="Palatino Linotype" w:cs="Palatino Linotype"/>
          <w:b/>
        </w:rPr>
      </w:pPr>
      <w:r w:rsidRPr="003F730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3F7304" w:rsidRPr="003F7304" w:rsidRDefault="003F7304" w:rsidP="003F7304">
      <w:pPr>
        <w:spacing w:line="360" w:lineRule="auto"/>
        <w:ind w:left="851" w:right="822"/>
        <w:jc w:val="both"/>
        <w:rPr>
          <w:rFonts w:ascii="Palatino Linotype" w:eastAsia="Palatino Linotype" w:hAnsi="Palatino Linotype" w:cs="Palatino Linotype"/>
        </w:rPr>
      </w:pPr>
      <w:r w:rsidRPr="003F7304">
        <w:rPr>
          <w:rFonts w:ascii="Palatino Linotype" w:eastAsia="Palatino Linotype" w:hAnsi="Palatino Linotype" w:cs="Palatino Linotype"/>
        </w:rPr>
        <w:t xml:space="preserve"> </w:t>
      </w:r>
      <w:r w:rsidRPr="003F7304">
        <w:rPr>
          <w:rFonts w:ascii="Palatino Linotype" w:eastAsia="Palatino Linotype" w:hAnsi="Palatino Linotype" w:cs="Palatino Linotype"/>
          <w:i/>
        </w:rPr>
        <w:t>“PLAZO RAZONABLE PARA RESOLVER. DIMENSIÓN Y EFECTOS DE ESTE CONCEPTO CUANDO SE ADUCE EXCESIVA CARGA DE TRABAJO.”</w:t>
      </w:r>
      <w:r w:rsidRPr="003F7304">
        <w:rPr>
          <w:rFonts w:ascii="Palatino Linotype" w:eastAsia="Palatino Linotype" w:hAnsi="Palatino Linotype" w:cs="Palatino Linotype"/>
        </w:rPr>
        <w:t xml:space="preserve"> consultable en el Seminario Judicial de la Federación y su gaceta, con el registro digital 2002351.</w:t>
      </w:r>
    </w:p>
    <w:p w:rsidR="003F7304" w:rsidRPr="003F7304" w:rsidRDefault="003F7304" w:rsidP="003F7304">
      <w:pPr>
        <w:spacing w:line="360" w:lineRule="auto"/>
        <w:ind w:left="851" w:right="822"/>
        <w:jc w:val="both"/>
        <w:rPr>
          <w:rFonts w:ascii="Palatino Linotype" w:eastAsia="Palatino Linotype" w:hAnsi="Palatino Linotype" w:cs="Palatino Linotype"/>
          <w:b/>
        </w:rPr>
      </w:pPr>
    </w:p>
    <w:p w:rsidR="003F7304" w:rsidRPr="003F7304" w:rsidRDefault="003F7304" w:rsidP="003F7304">
      <w:pPr>
        <w:spacing w:line="360" w:lineRule="auto"/>
        <w:ind w:left="851" w:right="822"/>
        <w:jc w:val="both"/>
        <w:rPr>
          <w:rFonts w:ascii="Palatino Linotype" w:eastAsia="Palatino Linotype" w:hAnsi="Palatino Linotype" w:cs="Palatino Linotype"/>
        </w:rPr>
      </w:pPr>
      <w:r w:rsidRPr="003F7304">
        <w:rPr>
          <w:rFonts w:ascii="Palatino Linotype" w:eastAsia="Palatino Linotype" w:hAnsi="Palatino Linotype" w:cs="Palatino Linotype"/>
          <w:i/>
        </w:rPr>
        <w:t>“PLAZO RAZONABLE PARA RESOLVER. CONCEPTO Y ELEMENTOS QUE LO INTEGRAN A LA LUZ DEL DERECHO INTERNACIONAL DE LOS DERECHOS HUMANOS.”</w:t>
      </w:r>
      <w:r w:rsidRPr="003F7304">
        <w:rPr>
          <w:rFonts w:ascii="Palatino Linotype" w:eastAsia="Palatino Linotype" w:hAnsi="Palatino Linotype" w:cs="Palatino Linotype"/>
        </w:rPr>
        <w:t>, visible en el Seminario Judicial de la Federación y su gaceta, con el registro digital 2002350.</w:t>
      </w:r>
    </w:p>
    <w:p w:rsidR="003F7304" w:rsidRDefault="003F7304" w:rsidP="003F7304">
      <w:pPr>
        <w:spacing w:line="360" w:lineRule="auto"/>
        <w:ind w:right="822"/>
        <w:jc w:val="both"/>
        <w:rPr>
          <w:rFonts w:ascii="Palatino Linotype" w:eastAsia="Palatino Linotype" w:hAnsi="Palatino Linotype" w:cs="Palatino Linotype"/>
          <w:i/>
        </w:rPr>
      </w:pPr>
    </w:p>
    <w:p w:rsidR="003F7304" w:rsidRPr="003F7304" w:rsidRDefault="003F7304" w:rsidP="003F7304">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 plazo legal para resolver el presente asunto, resulta de carácter excepcional. </w:t>
      </w:r>
    </w:p>
    <w:p w:rsidR="003F7304" w:rsidRPr="003F7304" w:rsidRDefault="003F7304" w:rsidP="003F7304">
      <w:pPr>
        <w:pStyle w:val="Prrafodelista"/>
        <w:rPr>
          <w:rFonts w:ascii="Palatino Linotype" w:hAnsi="Palatino Linotype"/>
          <w:sz w:val="24"/>
        </w:rPr>
      </w:pPr>
    </w:p>
    <w:p w:rsidR="000A7EE4" w:rsidRPr="00CA272F" w:rsidRDefault="000A7EE4" w:rsidP="000A7EE4">
      <w:pPr>
        <w:pStyle w:val="Prrafodelista"/>
        <w:numPr>
          <w:ilvl w:val="0"/>
          <w:numId w:val="1"/>
        </w:numPr>
        <w:spacing w:line="360" w:lineRule="auto"/>
        <w:ind w:left="0" w:right="113" w:firstLine="0"/>
        <w:jc w:val="both"/>
        <w:rPr>
          <w:rFonts w:ascii="Palatino Linotype" w:hAnsi="Palatino Linotype"/>
          <w:sz w:val="24"/>
        </w:rPr>
      </w:pPr>
      <w:r>
        <w:rPr>
          <w:rFonts w:ascii="Palatino Linotype" w:hAnsi="Palatino Linotype"/>
          <w:sz w:val="24"/>
        </w:rPr>
        <w:t xml:space="preserve">El </w:t>
      </w:r>
      <w:r w:rsidR="003F7304">
        <w:rPr>
          <w:rFonts w:ascii="Palatino Linotype" w:hAnsi="Palatino Linotype"/>
          <w:sz w:val="24"/>
        </w:rPr>
        <w:t>once (11) de septiembre</w:t>
      </w:r>
      <w:r w:rsidRPr="00CA272F">
        <w:rPr>
          <w:rFonts w:ascii="Palatino Linotype" w:hAnsi="Palatino Linotype"/>
          <w:sz w:val="24"/>
        </w:rPr>
        <w:t xml:space="preserve"> de dos mil veinticuatro, se notificó el acuerdo a través de cual se decretó el cierre de instrucción. </w:t>
      </w:r>
    </w:p>
    <w:p w:rsidR="000A7EE4" w:rsidRPr="008E16D0" w:rsidRDefault="000A7EE4" w:rsidP="000A7EE4">
      <w:pPr>
        <w:spacing w:line="360" w:lineRule="auto"/>
        <w:contextualSpacing/>
        <w:jc w:val="both"/>
        <w:rPr>
          <w:rFonts w:ascii="Palatino Linotype" w:eastAsiaTheme="minorEastAsia" w:hAnsi="Palatino Linotype"/>
          <w:b/>
          <w:u w:val="single"/>
          <w:lang w:val="es-ES_tradnl" w:eastAsia="es-ES"/>
        </w:rPr>
      </w:pPr>
    </w:p>
    <w:p w:rsidR="000A7EE4" w:rsidRPr="008E16D0" w:rsidRDefault="000A7EE4" w:rsidP="000A7EE4">
      <w:pPr>
        <w:keepNext/>
        <w:keepLines/>
        <w:spacing w:line="360" w:lineRule="auto"/>
        <w:jc w:val="center"/>
        <w:outlineLvl w:val="0"/>
        <w:rPr>
          <w:rFonts w:ascii="Palatino Linotype" w:eastAsiaTheme="majorEastAsia" w:hAnsi="Palatino Linotype" w:cstheme="majorBidi"/>
        </w:rPr>
      </w:pPr>
      <w:bookmarkStart w:id="5" w:name="_Toc83301634"/>
      <w:r w:rsidRPr="008E16D0">
        <w:rPr>
          <w:rFonts w:ascii="Palatino Linotype" w:eastAsiaTheme="majorEastAsia" w:hAnsi="Palatino Linotype" w:cstheme="majorBidi"/>
          <w:b/>
        </w:rPr>
        <w:t>CONSIDERANDO</w:t>
      </w:r>
      <w:bookmarkEnd w:id="5"/>
      <w:r w:rsidRPr="008E16D0">
        <w:rPr>
          <w:rFonts w:ascii="Palatino Linotype" w:eastAsiaTheme="majorEastAsia" w:hAnsi="Palatino Linotype" w:cstheme="majorBidi"/>
          <w:b/>
        </w:rPr>
        <w:t xml:space="preserve"> </w:t>
      </w:r>
    </w:p>
    <w:p w:rsidR="000A7EE4" w:rsidRPr="008E16D0" w:rsidRDefault="000A7EE4" w:rsidP="000A7EE4">
      <w:pPr>
        <w:spacing w:line="360" w:lineRule="auto"/>
        <w:rPr>
          <w:rFonts w:ascii="Palatino Linotype" w:eastAsiaTheme="minorEastAsia" w:hAnsi="Palatino Linotype"/>
        </w:rPr>
      </w:pPr>
    </w:p>
    <w:p w:rsidR="000A7EE4" w:rsidRPr="008E16D0" w:rsidRDefault="000A7EE4" w:rsidP="000A7EE4">
      <w:pPr>
        <w:keepNext/>
        <w:keepLines/>
        <w:spacing w:line="360" w:lineRule="auto"/>
        <w:outlineLvl w:val="1"/>
        <w:rPr>
          <w:rFonts w:ascii="Palatino Linotype" w:eastAsiaTheme="majorEastAsia" w:hAnsi="Palatino Linotype" w:cstheme="majorBidi"/>
          <w:b/>
          <w:szCs w:val="26"/>
        </w:rPr>
      </w:pPr>
      <w:bookmarkStart w:id="6" w:name="_Toc83301635"/>
      <w:r w:rsidRPr="008E16D0">
        <w:rPr>
          <w:rFonts w:ascii="Palatino Linotype" w:eastAsiaTheme="majorEastAsia" w:hAnsi="Palatino Linotype" w:cstheme="majorBidi"/>
          <w:b/>
          <w:szCs w:val="26"/>
        </w:rPr>
        <w:t>PRIMERO. De la competencia</w:t>
      </w:r>
      <w:bookmarkEnd w:id="6"/>
    </w:p>
    <w:p w:rsidR="000A7EE4" w:rsidRPr="008E16D0" w:rsidRDefault="000A7EE4" w:rsidP="000A7EE4">
      <w:pPr>
        <w:keepNext/>
        <w:keepLines/>
        <w:spacing w:line="360" w:lineRule="auto"/>
        <w:outlineLvl w:val="1"/>
        <w:rPr>
          <w:rFonts w:ascii="Palatino Linotype" w:eastAsiaTheme="majorEastAsia" w:hAnsi="Palatino Linotype" w:cstheme="majorBidi"/>
          <w:b/>
          <w:bCs/>
          <w:spacing w:val="60"/>
          <w:szCs w:val="26"/>
        </w:rPr>
      </w:pPr>
    </w:p>
    <w:p w:rsidR="000A7EE4" w:rsidRPr="008E16D0" w:rsidRDefault="000A7EE4" w:rsidP="000A7EE4">
      <w:pPr>
        <w:numPr>
          <w:ilvl w:val="0"/>
          <w:numId w:val="1"/>
        </w:numPr>
        <w:spacing w:line="360" w:lineRule="auto"/>
        <w:ind w:left="0" w:firstLine="0"/>
        <w:contextualSpacing/>
        <w:jc w:val="both"/>
        <w:rPr>
          <w:rFonts w:ascii="Palatino Linotype" w:eastAsia="Calibri" w:hAnsi="Palatino Linotype"/>
          <w:lang w:eastAsia="es-ES"/>
        </w:rPr>
      </w:pPr>
      <w:r w:rsidRPr="008E16D0">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3F7304">
        <w:rPr>
          <w:rFonts w:ascii="Palatino Linotype" w:hAnsi="Palatino Linotype"/>
        </w:rPr>
        <w:t>pios; y 7, 9 fracciones I y XXIII</w:t>
      </w:r>
      <w:r w:rsidRPr="008E16D0">
        <w:rPr>
          <w:rFonts w:ascii="Palatino Linotype" w:hAnsi="Palatino Linotype"/>
        </w:rPr>
        <w:t>, y 11 del Reglamento Interior del Instituto de Transparencia, Acceso a la Información Pública y Protección de Datos Personales del Estado de México y Municipios.</w:t>
      </w:r>
    </w:p>
    <w:p w:rsidR="000A7EE4" w:rsidRDefault="000A7EE4" w:rsidP="000A7EE4">
      <w:pPr>
        <w:spacing w:line="360" w:lineRule="auto"/>
        <w:contextualSpacing/>
        <w:jc w:val="both"/>
        <w:rPr>
          <w:rFonts w:ascii="Palatino Linotype" w:eastAsiaTheme="minorEastAsia" w:hAnsi="Palatino Linotype"/>
          <w:lang w:val="es-ES_tradnl" w:eastAsia="es-ES"/>
        </w:rPr>
      </w:pPr>
    </w:p>
    <w:p w:rsidR="003F7304" w:rsidRDefault="003F7304" w:rsidP="000A7EE4">
      <w:pPr>
        <w:spacing w:line="360" w:lineRule="auto"/>
        <w:contextualSpacing/>
        <w:jc w:val="both"/>
        <w:rPr>
          <w:rFonts w:ascii="Palatino Linotype" w:eastAsiaTheme="minorEastAsia" w:hAnsi="Palatino Linotype"/>
          <w:lang w:val="es-ES_tradnl" w:eastAsia="es-ES"/>
        </w:rPr>
      </w:pPr>
    </w:p>
    <w:p w:rsidR="003F7304" w:rsidRPr="008E16D0" w:rsidRDefault="003F7304" w:rsidP="000A7EE4">
      <w:pPr>
        <w:spacing w:line="360" w:lineRule="auto"/>
        <w:contextualSpacing/>
        <w:jc w:val="both"/>
        <w:rPr>
          <w:rFonts w:ascii="Palatino Linotype" w:eastAsiaTheme="minorEastAsia" w:hAnsi="Palatino Linotype"/>
          <w:lang w:val="es-ES_tradnl" w:eastAsia="es-ES"/>
        </w:rPr>
      </w:pPr>
    </w:p>
    <w:p w:rsidR="000A7EE4" w:rsidRPr="008E16D0" w:rsidRDefault="000A7EE4" w:rsidP="000A7EE4">
      <w:pPr>
        <w:keepNext/>
        <w:keepLines/>
        <w:spacing w:line="360" w:lineRule="auto"/>
        <w:outlineLvl w:val="1"/>
        <w:rPr>
          <w:rFonts w:ascii="Palatino Linotype" w:eastAsiaTheme="majorEastAsia" w:hAnsi="Palatino Linotype" w:cstheme="majorBidi"/>
          <w:b/>
          <w:szCs w:val="26"/>
        </w:rPr>
      </w:pPr>
      <w:bookmarkStart w:id="7" w:name="_Toc83301636"/>
      <w:r w:rsidRPr="008E16D0">
        <w:rPr>
          <w:rFonts w:ascii="Palatino Linotype" w:eastAsiaTheme="majorEastAsia" w:hAnsi="Palatino Linotype" w:cstheme="majorBidi"/>
          <w:b/>
          <w:szCs w:val="26"/>
        </w:rPr>
        <w:lastRenderedPageBreak/>
        <w:t>SEGUNDO. De la oportunidad y procedencia.</w:t>
      </w:r>
      <w:bookmarkEnd w:id="7"/>
    </w:p>
    <w:p w:rsidR="000A7EE4" w:rsidRPr="008E16D0" w:rsidRDefault="000A7EE4" w:rsidP="000A7EE4">
      <w:pPr>
        <w:spacing w:line="360" w:lineRule="auto"/>
        <w:rPr>
          <w:rFonts w:ascii="Palatino Linotype" w:eastAsiaTheme="minorEastAsia" w:hAnsi="Palatino Linotype"/>
        </w:rPr>
      </w:pPr>
    </w:p>
    <w:p w:rsidR="000A7EE4" w:rsidRPr="00BC0257" w:rsidRDefault="000A7EE4" w:rsidP="000A7EE4">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E16D0">
        <w:rPr>
          <w:rFonts w:ascii="Palatino Linotype" w:eastAsia="Calibri" w:hAnsi="Palatino Linotype" w:cs="Arial"/>
          <w:lang w:val="es-ES_tradnl" w:eastAsia="es-ES"/>
        </w:rPr>
        <w:t xml:space="preserve">El medio de impugnación fue presentado a través del </w:t>
      </w:r>
      <w:r w:rsidRPr="008E16D0">
        <w:rPr>
          <w:rFonts w:ascii="Palatino Linotype" w:eastAsia="Calibri" w:hAnsi="Palatino Linotype" w:cs="Arial"/>
          <w:b/>
          <w:lang w:val="es-ES_tradnl" w:eastAsia="es-ES"/>
        </w:rPr>
        <w:t>SAIMEX,</w:t>
      </w:r>
      <w:r w:rsidRPr="008E16D0">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8E16D0">
        <w:rPr>
          <w:rFonts w:ascii="Palatino Linotype" w:eastAsia="Calibri" w:hAnsi="Palatino Linotype" w:cs="Arial"/>
          <w:b/>
          <w:lang w:val="es-ES_tradnl" w:eastAsia="es-ES"/>
        </w:rPr>
        <w:t>SUJETO OBLIGADO</w:t>
      </w:r>
      <w:r w:rsidRPr="008E16D0">
        <w:rPr>
          <w:rFonts w:ascii="Palatino Linotype" w:eastAsia="Calibri" w:hAnsi="Palatino Linotype" w:cs="Arial"/>
          <w:lang w:val="es-ES_tradnl" w:eastAsia="es-ES"/>
        </w:rPr>
        <w:t xml:space="preserve"> entregó respuesta a la solicitud el día </w:t>
      </w:r>
      <w:r w:rsidR="003F7304">
        <w:rPr>
          <w:rFonts w:ascii="Palatino Linotype" w:eastAsia="Calibri" w:hAnsi="Palatino Linotype" w:cs="Arial"/>
          <w:lang w:val="es-ES_tradnl" w:eastAsia="es-ES"/>
        </w:rPr>
        <w:t>seis (06) de junio</w:t>
      </w:r>
      <w:r>
        <w:rPr>
          <w:rFonts w:ascii="Palatino Linotype" w:eastAsia="Calibri" w:hAnsi="Palatino Linotype" w:cs="Arial"/>
          <w:lang w:val="es-ES_tradnl" w:eastAsia="es-ES"/>
        </w:rPr>
        <w:t xml:space="preserve"> de dos mil veinticuatro</w:t>
      </w:r>
      <w:r w:rsidRPr="00BC0257">
        <w:rPr>
          <w:rFonts w:ascii="Palatino Linotype" w:eastAsia="Calibri" w:hAnsi="Palatino Linotype" w:cs="Arial"/>
          <w:lang w:val="es-ES_tradnl" w:eastAsia="es-ES"/>
        </w:rPr>
        <w:t xml:space="preserve">, </w:t>
      </w:r>
      <w:r w:rsidRPr="00BC0257">
        <w:rPr>
          <w:rFonts w:ascii="Palatino Linotype" w:eastAsiaTheme="minorEastAsia" w:hAnsi="Palatino Linotype" w:cs="Arial"/>
          <w:lang w:val="es-ES_tradnl" w:eastAsia="es-ES"/>
        </w:rPr>
        <w:t xml:space="preserve">de tal forma que el plazo para interponer el recurso de revisión transcurrió del </w:t>
      </w:r>
      <w:r w:rsidR="003F7304">
        <w:rPr>
          <w:rFonts w:ascii="Palatino Linotype" w:eastAsiaTheme="minorEastAsia" w:hAnsi="Palatino Linotype" w:cs="Arial"/>
          <w:lang w:val="es-ES_tradnl" w:eastAsia="es-ES"/>
        </w:rPr>
        <w:t>siete veintisiete (27) de junio</w:t>
      </w:r>
      <w:r>
        <w:rPr>
          <w:rFonts w:ascii="Palatino Linotype" w:eastAsiaTheme="minorEastAsia" w:hAnsi="Palatino Linotype" w:cs="Arial"/>
          <w:lang w:val="es-ES_tradnl" w:eastAsia="es-ES"/>
        </w:rPr>
        <w:t xml:space="preserve"> de dos mil veinticuatro</w:t>
      </w:r>
      <w:r w:rsidRPr="00BC0257">
        <w:rPr>
          <w:rFonts w:ascii="Palatino Linotype" w:eastAsiaTheme="minorEastAsia" w:hAnsi="Palatino Linotype" w:cs="Arial"/>
          <w:lang w:val="es-ES_tradnl" w:eastAsia="es-ES"/>
        </w:rPr>
        <w:t xml:space="preserve">; en consecuencia, presentó su inconformidad el día </w:t>
      </w:r>
      <w:r w:rsidR="003F7304">
        <w:rPr>
          <w:rFonts w:ascii="Palatino Linotype" w:eastAsiaTheme="minorEastAsia" w:hAnsi="Palatino Linotype" w:cs="Arial"/>
          <w:lang w:val="es-ES_tradnl" w:eastAsia="es-ES"/>
        </w:rPr>
        <w:t>dieciocho (18) de junio</w:t>
      </w:r>
      <w:r>
        <w:rPr>
          <w:rFonts w:ascii="Palatino Linotype" w:eastAsiaTheme="minorEastAsia" w:hAnsi="Palatino Linotype" w:cs="Arial"/>
          <w:lang w:val="es-ES_tradnl" w:eastAsia="es-ES"/>
        </w:rPr>
        <w:t xml:space="preserve"> de dos mil veinticuatro</w:t>
      </w:r>
      <w:r w:rsidRPr="00BC0257">
        <w:rPr>
          <w:rFonts w:ascii="Palatino Linotype" w:eastAsiaTheme="minorEastAsia" w:hAnsi="Palatino Linotype" w:cs="Arial"/>
          <w:lang w:val="es-ES_tradnl" w:eastAsia="es-ES"/>
        </w:rPr>
        <w:t xml:space="preserve">, por lo que se encuentra dentro de los márgenes temporales previstos en el artículo 178 de la </w:t>
      </w:r>
      <w:r w:rsidRPr="00BC0257">
        <w:rPr>
          <w:rFonts w:ascii="Palatino Linotype" w:eastAsiaTheme="minorEastAsia" w:hAnsi="Palatino Linotype" w:cs="Arial"/>
          <w:b/>
          <w:lang w:val="es-ES_tradnl" w:eastAsia="es-ES"/>
        </w:rPr>
        <w:t xml:space="preserve">Ley de Transparencia y Acceso a la Información Pública del Estado de México y Municipios </w:t>
      </w:r>
      <w:r w:rsidRPr="00BC0257">
        <w:rPr>
          <w:rFonts w:ascii="Palatino Linotype" w:eastAsiaTheme="minorEastAsia" w:hAnsi="Palatino Linotype" w:cs="Arial"/>
          <w:lang w:val="es-ES_tradnl" w:eastAsia="es-ES"/>
        </w:rPr>
        <w:t>vigente.</w:t>
      </w:r>
    </w:p>
    <w:p w:rsidR="000A7EE4" w:rsidRPr="00BC0257" w:rsidRDefault="000A7EE4" w:rsidP="000A7EE4">
      <w:pPr>
        <w:spacing w:line="360" w:lineRule="auto"/>
        <w:ind w:right="49"/>
        <w:contextualSpacing/>
        <w:jc w:val="both"/>
        <w:rPr>
          <w:rFonts w:ascii="Palatino Linotype" w:eastAsiaTheme="minorEastAsia" w:hAnsi="Palatino Linotype"/>
          <w:lang w:val="es-ES_tradnl" w:eastAsia="es-ES"/>
        </w:rPr>
      </w:pPr>
    </w:p>
    <w:p w:rsidR="000A7EE4" w:rsidRPr="00BC0257" w:rsidRDefault="000A7EE4" w:rsidP="000A7EE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C0257">
        <w:rPr>
          <w:rFonts w:ascii="Palatino Linotype" w:eastAsia="Calibri" w:hAnsi="Palatino Linotype" w:cs="Arial"/>
          <w:lang w:val="es-ES_tradnl" w:eastAsia="es-ES"/>
        </w:rPr>
        <w:t xml:space="preserve">Por otra parte, de la revisión al expediente electrónico del </w:t>
      </w:r>
      <w:r w:rsidRPr="00BC0257">
        <w:rPr>
          <w:rFonts w:ascii="Palatino Linotype" w:eastAsia="Calibri" w:hAnsi="Palatino Linotype" w:cs="Arial"/>
          <w:b/>
          <w:lang w:val="es-ES_tradnl" w:eastAsia="es-ES"/>
        </w:rPr>
        <w:t>SAIMEX</w:t>
      </w:r>
      <w:r w:rsidRPr="00BC0257">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0A7EE4" w:rsidRPr="00BC0257" w:rsidRDefault="000A7EE4" w:rsidP="000A7EE4">
      <w:pPr>
        <w:pStyle w:val="Prrafodelista"/>
        <w:ind w:left="0"/>
        <w:rPr>
          <w:rFonts w:ascii="Palatino Linotype" w:eastAsia="Calibri" w:hAnsi="Palatino Linotype" w:cs="Arial"/>
          <w:sz w:val="24"/>
          <w:lang w:val="es-ES_tradnl" w:eastAsia="es-ES"/>
        </w:rPr>
      </w:pPr>
    </w:p>
    <w:p w:rsidR="000A7EE4" w:rsidRPr="00BC0257" w:rsidRDefault="000A7EE4" w:rsidP="000A7EE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C0257">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BC0257">
        <w:rPr>
          <w:rFonts w:ascii="Palatino Linotype" w:eastAsia="Calibri" w:hAnsi="Palatino Linotype" w:cs="Arial"/>
          <w:bCs/>
          <w:lang w:val="es-ES" w:eastAsia="es-ES"/>
        </w:rPr>
        <w:t xml:space="preserve">5, párrafos vigésimo, vigésimo primero y vigésimo </w:t>
      </w:r>
      <w:r w:rsidR="007316A5" w:rsidRPr="00BC0257">
        <w:rPr>
          <w:rFonts w:ascii="Palatino Linotype" w:eastAsia="Calibri" w:hAnsi="Palatino Linotype" w:cs="Arial"/>
          <w:bCs/>
          <w:lang w:val="es-ES" w:eastAsia="es-ES"/>
        </w:rPr>
        <w:t>segundo</w:t>
      </w:r>
      <w:r w:rsidR="007D5FC7">
        <w:rPr>
          <w:rFonts w:ascii="Palatino Linotype" w:eastAsia="Calibri" w:hAnsi="Palatino Linotype" w:cs="Arial"/>
          <w:bCs/>
          <w:lang w:val="es-ES" w:eastAsia="es-ES"/>
        </w:rPr>
        <w:t>L</w:t>
      </w:r>
      <w:r w:rsidRPr="00BC0257">
        <w:rPr>
          <w:rFonts w:ascii="Palatino Linotype" w:eastAsia="Calibri" w:hAnsi="Palatino Linotype" w:cs="Arial"/>
          <w:bCs/>
          <w:lang w:val="es-ES" w:eastAsia="es-ES"/>
        </w:rPr>
        <w:t> fracciones IV y V </w:t>
      </w:r>
      <w:r w:rsidRPr="00BC0257">
        <w:rPr>
          <w:rFonts w:ascii="Palatino Linotype" w:eastAsia="Calibri" w:hAnsi="Palatino Linotype" w:cs="Arial"/>
          <w:lang w:val="es-ES_tradnl" w:eastAsia="es-ES"/>
        </w:rPr>
        <w:t xml:space="preserve">de la </w:t>
      </w:r>
      <w:r w:rsidRPr="00BC0257">
        <w:rPr>
          <w:rFonts w:ascii="Palatino Linotype" w:eastAsia="Calibri" w:hAnsi="Palatino Linotype" w:cs="Arial"/>
          <w:lang w:val="es-ES_tradnl" w:eastAsia="es-ES"/>
        </w:rPr>
        <w:lastRenderedPageBreak/>
        <w:t>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0A7EE4" w:rsidRPr="00BC0257" w:rsidRDefault="000A7EE4" w:rsidP="000A7EE4">
      <w:pPr>
        <w:pStyle w:val="Prrafodelista"/>
        <w:ind w:left="0"/>
        <w:rPr>
          <w:rFonts w:ascii="Palatino Linotype" w:eastAsia="Calibri" w:hAnsi="Palatino Linotype" w:cs="Arial"/>
          <w:sz w:val="24"/>
          <w:lang w:val="es-ES_tradnl" w:eastAsia="es-ES"/>
        </w:rPr>
      </w:pPr>
    </w:p>
    <w:p w:rsidR="000A7EE4" w:rsidRPr="00BC0257" w:rsidRDefault="000A7EE4" w:rsidP="000A7EE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C0257">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0A7EE4" w:rsidRPr="00BC0257" w:rsidRDefault="000A7EE4" w:rsidP="000A7EE4">
      <w:pPr>
        <w:pStyle w:val="Prrafodelista"/>
        <w:ind w:left="0"/>
        <w:rPr>
          <w:rFonts w:ascii="Palatino Linotype" w:eastAsia="Calibri" w:hAnsi="Palatino Linotype" w:cs="Arial"/>
          <w:sz w:val="24"/>
          <w:lang w:val="es-ES_tradnl" w:eastAsia="es-ES"/>
        </w:rPr>
      </w:pPr>
    </w:p>
    <w:p w:rsidR="000A7EE4" w:rsidRPr="00BC0257" w:rsidRDefault="000A7EE4" w:rsidP="000A7EE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C0257">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0A7EE4" w:rsidRPr="00BC0257" w:rsidRDefault="000A7EE4" w:rsidP="000A7EE4">
      <w:pPr>
        <w:pStyle w:val="Prrafodelista"/>
        <w:ind w:left="0"/>
        <w:rPr>
          <w:rFonts w:ascii="Palatino Linotype" w:eastAsia="Calibri" w:hAnsi="Palatino Linotype" w:cs="Arial"/>
          <w:sz w:val="24"/>
          <w:lang w:val="es-ES_tradnl" w:eastAsia="es-ES"/>
        </w:rPr>
      </w:pPr>
    </w:p>
    <w:p w:rsidR="000A7EE4" w:rsidRPr="00BC0257" w:rsidRDefault="000A7EE4" w:rsidP="000A7EE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C0257">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rsidR="000A7EE4" w:rsidRPr="00BC0257" w:rsidRDefault="000A7EE4" w:rsidP="000A7EE4">
      <w:pPr>
        <w:spacing w:line="360" w:lineRule="auto"/>
        <w:contextualSpacing/>
        <w:jc w:val="both"/>
        <w:rPr>
          <w:rFonts w:ascii="Palatino Linotype" w:eastAsia="Calibri" w:hAnsi="Palatino Linotype" w:cs="Arial"/>
          <w:highlight w:val="cyan"/>
          <w:lang w:val="es-ES_tradnl" w:eastAsia="es-ES"/>
        </w:rPr>
      </w:pPr>
    </w:p>
    <w:p w:rsidR="000A7EE4" w:rsidRPr="008E16D0" w:rsidRDefault="000A7EE4" w:rsidP="000A7EE4">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E16D0">
        <w:rPr>
          <w:rFonts w:ascii="Palatino Linotype" w:eastAsia="Calibri" w:hAnsi="Palatino Linotype" w:cs="Arial"/>
          <w:lang w:val="es-ES_tradnl" w:eastAsia="es-ES"/>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8" w:name="_Toc452722829"/>
      <w:bookmarkStart w:id="9" w:name="_Toc454373811"/>
      <w:bookmarkStart w:id="10" w:name="_Toc476675991"/>
    </w:p>
    <w:p w:rsidR="000A7EE4" w:rsidRPr="008E16D0" w:rsidRDefault="000A7EE4" w:rsidP="000A7EE4">
      <w:pPr>
        <w:spacing w:line="360" w:lineRule="auto"/>
        <w:ind w:right="49"/>
        <w:contextualSpacing/>
        <w:jc w:val="both"/>
        <w:rPr>
          <w:rFonts w:ascii="Palatino Linotype" w:eastAsia="MS Gothic" w:hAnsi="Palatino Linotype" w:cstheme="majorBidi"/>
          <w:lang w:eastAsia="es-ES"/>
        </w:rPr>
      </w:pPr>
      <w:bookmarkStart w:id="11" w:name="_Toc65713731"/>
      <w:bookmarkStart w:id="12" w:name="_Toc94119614"/>
    </w:p>
    <w:p w:rsidR="000A7EE4" w:rsidRPr="008E16D0" w:rsidRDefault="000A7EE4" w:rsidP="000A7EE4">
      <w:pPr>
        <w:spacing w:line="360" w:lineRule="auto"/>
        <w:ind w:right="49"/>
        <w:contextualSpacing/>
        <w:jc w:val="both"/>
        <w:rPr>
          <w:rFonts w:ascii="Palatino Linotype" w:eastAsia="MS Gothic" w:hAnsi="Palatino Linotype" w:cstheme="majorBidi"/>
          <w:b/>
          <w:lang w:eastAsia="es-ES"/>
        </w:rPr>
      </w:pPr>
      <w:r w:rsidRPr="008E16D0">
        <w:rPr>
          <w:rFonts w:ascii="Palatino Linotype" w:eastAsia="MS Gothic" w:hAnsi="Palatino Linotype" w:cstheme="majorBidi"/>
          <w:b/>
          <w:lang w:val="es-ES_tradnl" w:eastAsia="es-ES"/>
        </w:rPr>
        <w:t>TERCERO. Planteamiento de la Litis</w:t>
      </w:r>
      <w:r w:rsidRPr="008E16D0">
        <w:rPr>
          <w:rFonts w:ascii="Palatino Linotype" w:eastAsia="MS Gothic" w:hAnsi="Palatino Linotype" w:cstheme="majorBidi"/>
          <w:b/>
          <w:lang w:eastAsia="es-ES"/>
        </w:rPr>
        <w:t>.</w:t>
      </w:r>
      <w:bookmarkEnd w:id="11"/>
      <w:bookmarkEnd w:id="12"/>
    </w:p>
    <w:p w:rsidR="000A7EE4" w:rsidRPr="008E16D0" w:rsidRDefault="000A7EE4" w:rsidP="000A7EE4">
      <w:pPr>
        <w:spacing w:line="360" w:lineRule="auto"/>
        <w:ind w:right="49"/>
        <w:contextualSpacing/>
        <w:jc w:val="both"/>
        <w:rPr>
          <w:rFonts w:ascii="Palatino Linotype" w:eastAsia="MS Gothic" w:hAnsi="Palatino Linotype" w:cstheme="majorBidi"/>
          <w:b/>
          <w:lang w:eastAsia="es-ES"/>
        </w:rPr>
      </w:pPr>
    </w:p>
    <w:p w:rsidR="000A7EE4" w:rsidRPr="007D5FC7" w:rsidRDefault="000A7EE4" w:rsidP="007D5FC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7D5FC7">
        <w:rPr>
          <w:rFonts w:ascii="Palatino Linotype" w:eastAsia="MS Gothic" w:hAnsi="Palatino Linotype" w:cstheme="majorBidi"/>
          <w:lang w:eastAsia="es-ES"/>
        </w:rPr>
        <w:t xml:space="preserve">El particular solicitó </w:t>
      </w:r>
      <w:r w:rsidR="007D5FC7">
        <w:rPr>
          <w:rFonts w:ascii="Palatino Linotype" w:eastAsia="MS Gothic" w:hAnsi="Palatino Linotype" w:cstheme="majorBidi"/>
          <w:lang w:eastAsia="es-ES"/>
        </w:rPr>
        <w:t xml:space="preserve">fundamento jurídico, publicación en la gaceta de gobierno o cualquier normatividad donde se especifique </w:t>
      </w:r>
      <w:r w:rsidR="00AE4C7F">
        <w:rPr>
          <w:rFonts w:ascii="Palatino Linotype" w:eastAsia="MS Gothic" w:hAnsi="Palatino Linotype" w:cstheme="majorBidi"/>
          <w:lang w:eastAsia="es-ES"/>
        </w:rPr>
        <w:t>por qué</w:t>
      </w:r>
      <w:r w:rsidR="007D5FC7">
        <w:rPr>
          <w:rFonts w:ascii="Palatino Linotype" w:eastAsia="MS Gothic" w:hAnsi="Palatino Linotype" w:cstheme="majorBidi"/>
          <w:lang w:eastAsia="es-ES"/>
        </w:rPr>
        <w:t xml:space="preserve"> los vecinos están siendo afectados en su propiedad privada y no poder estacionarse en el lado izquierdo fuera de sus cocheras. </w:t>
      </w:r>
    </w:p>
    <w:p w:rsidR="007D5FC7" w:rsidRPr="007D5FC7" w:rsidRDefault="007D5FC7" w:rsidP="007D5FC7">
      <w:pPr>
        <w:spacing w:line="360" w:lineRule="auto"/>
        <w:ind w:right="49"/>
        <w:contextualSpacing/>
        <w:jc w:val="both"/>
        <w:rPr>
          <w:rFonts w:ascii="Palatino Linotype" w:eastAsia="MS Gothic" w:hAnsi="Palatino Linotype" w:cstheme="majorBidi"/>
          <w:i/>
          <w:lang w:val="es-ES_tradnl" w:eastAsia="es-ES"/>
        </w:rPr>
      </w:pPr>
    </w:p>
    <w:p w:rsidR="00AE4C7F" w:rsidRPr="00AE4C7F" w:rsidRDefault="000A7EE4" w:rsidP="00AE4C7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E16D0">
        <w:rPr>
          <w:rFonts w:ascii="Palatino Linotype" w:eastAsia="MS Gothic" w:hAnsi="Palatino Linotype" w:cstheme="majorBidi"/>
          <w:lang w:eastAsia="es-ES"/>
        </w:rPr>
        <w:t xml:space="preserve">En respuesta, el Sujeto Obligado </w:t>
      </w:r>
      <w:r w:rsidR="00AE4C7F">
        <w:rPr>
          <w:rFonts w:ascii="Palatino Linotype" w:eastAsia="MS Gothic" w:hAnsi="Palatino Linotype" w:cstheme="majorBidi"/>
          <w:lang w:eastAsia="es-ES"/>
        </w:rPr>
        <w:t xml:space="preserve">a través de la Dirección de Sustentabilidad vial señaló que </w:t>
      </w:r>
      <w:r w:rsidR="00AE4C7F" w:rsidRPr="00AE4C7F">
        <w:rPr>
          <w:rFonts w:ascii="Palatino Linotype" w:eastAsia="MS Gothic" w:hAnsi="Palatino Linotype" w:cstheme="majorBidi"/>
          <w:lang w:eastAsia="es-ES"/>
        </w:rPr>
        <w:t>de acuerdo a la normatividad establecida en el Reglamento de Tránsito del Estado de México, Artículo 62 Bis, los conductores de vehículos no pueden obstaculizar deliberadamente la circulación vehicular ni pasos peatonales, en lo particular la vía pública no puede ser utilizada como zona de estacionamiento, por ellos es que los vehículos deben ser ingresados a las cocheras coadyuvando con ellos a permitir una movilidad segura en las calles y evitas conflictos viales</w:t>
      </w:r>
      <w:r w:rsidR="00AE4C7F">
        <w:rPr>
          <w:rFonts w:ascii="Palatino Linotype" w:eastAsia="MS Gothic" w:hAnsi="Palatino Linotype" w:cstheme="majorBidi"/>
          <w:lang w:eastAsia="es-ES"/>
        </w:rPr>
        <w:t>.</w:t>
      </w:r>
    </w:p>
    <w:p w:rsidR="00AE4C7F" w:rsidRDefault="00AE4C7F" w:rsidP="00AE4C7F">
      <w:pPr>
        <w:pStyle w:val="Prrafodelista"/>
        <w:rPr>
          <w:rFonts w:ascii="Palatino Linotype" w:eastAsia="MS Gothic" w:hAnsi="Palatino Linotype" w:cstheme="majorBidi"/>
          <w:i/>
          <w:lang w:val="es-ES_tradnl" w:eastAsia="es-ES"/>
        </w:rPr>
      </w:pPr>
    </w:p>
    <w:p w:rsidR="00AE4C7F" w:rsidRPr="00AE4C7F" w:rsidRDefault="00AE4C7F" w:rsidP="00AE4C7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Pr>
          <w:rFonts w:ascii="Palatino Linotype" w:eastAsia="MS Gothic" w:hAnsi="Palatino Linotype" w:cstheme="majorBidi"/>
          <w:lang w:val="es-ES_tradnl" w:eastAsia="es-ES"/>
        </w:rPr>
        <w:t xml:space="preserve">Posteriormente, el particular interpuso recurso de revisión en el que señaló su inconformidad, de forma medular, por la negativa de la información. </w:t>
      </w:r>
    </w:p>
    <w:p w:rsidR="000A7EE4" w:rsidRDefault="000A7EE4" w:rsidP="000A7EE4">
      <w:pPr>
        <w:pStyle w:val="Prrafodelista"/>
        <w:rPr>
          <w:rFonts w:ascii="Palatino Linotype" w:eastAsia="MS Gothic" w:hAnsi="Palatino Linotype" w:cstheme="majorBidi"/>
          <w:lang w:eastAsia="es-ES"/>
        </w:rPr>
      </w:pPr>
    </w:p>
    <w:p w:rsidR="000A7EE4" w:rsidRPr="008E16D0" w:rsidRDefault="000A7EE4" w:rsidP="000A7EE4">
      <w:pPr>
        <w:spacing w:line="360" w:lineRule="auto"/>
        <w:ind w:right="49"/>
        <w:contextualSpacing/>
        <w:jc w:val="both"/>
        <w:rPr>
          <w:rFonts w:ascii="Palatino Linotype" w:eastAsia="MS Gothic" w:hAnsi="Palatino Linotype" w:cstheme="majorBidi"/>
          <w:lang w:eastAsia="es-ES"/>
        </w:rPr>
      </w:pPr>
    </w:p>
    <w:p w:rsidR="000A7EE4" w:rsidRPr="008E16D0" w:rsidRDefault="000A7EE4" w:rsidP="000A7EE4">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8E16D0">
        <w:rPr>
          <w:rFonts w:ascii="Palatino Linotype" w:eastAsia="MS Gothic" w:hAnsi="Palatino Linotype" w:cstheme="majorBidi"/>
          <w:lang w:eastAsia="es-ES"/>
        </w:rPr>
        <w:lastRenderedPageBreak/>
        <w:t xml:space="preserve">En consecuencia, la Litis a resolver en este recurso, se circunscribe a determinar si la respuesta colma con lo </w:t>
      </w:r>
      <w:r w:rsidR="00AE4C7F">
        <w:rPr>
          <w:rFonts w:ascii="Palatino Linotype" w:eastAsia="MS Gothic" w:hAnsi="Palatino Linotype" w:cstheme="majorBidi"/>
          <w:lang w:eastAsia="es-ES"/>
        </w:rPr>
        <w:t>solicitado o si se actualiza la causal</w:t>
      </w:r>
      <w:r w:rsidRPr="008E16D0">
        <w:rPr>
          <w:rFonts w:ascii="Palatino Linotype" w:eastAsia="MS Gothic" w:hAnsi="Palatino Linotype" w:cstheme="majorBidi"/>
          <w:lang w:eastAsia="es-ES"/>
        </w:rPr>
        <w:t xml:space="preserve"> de procedencia previstas en el artí</w:t>
      </w:r>
      <w:r w:rsidR="00AE4C7F">
        <w:rPr>
          <w:rFonts w:ascii="Palatino Linotype" w:eastAsia="MS Gothic" w:hAnsi="Palatino Linotype" w:cstheme="majorBidi"/>
          <w:lang w:eastAsia="es-ES"/>
        </w:rPr>
        <w:t xml:space="preserve">culo 179, fracción I </w:t>
      </w:r>
      <w:r w:rsidRPr="008E16D0">
        <w:rPr>
          <w:rFonts w:ascii="Palatino Linotype" w:eastAsia="MS Gothic" w:hAnsi="Palatino Linotype" w:cstheme="majorBidi"/>
          <w:lang w:eastAsia="es-ES"/>
        </w:rPr>
        <w:t>de la Ley de Transparencia y Acceso a la Información Pública del Estado de México y Municipios; que establece la negativa de la información</w:t>
      </w:r>
      <w:r>
        <w:rPr>
          <w:rFonts w:ascii="Palatino Linotype" w:eastAsia="MS Gothic" w:hAnsi="Palatino Linotype" w:cstheme="majorBidi"/>
          <w:lang w:eastAsia="es-ES"/>
        </w:rPr>
        <w:t xml:space="preserve">. </w:t>
      </w:r>
    </w:p>
    <w:p w:rsidR="000A7EE4" w:rsidRPr="008E16D0" w:rsidRDefault="000A7EE4" w:rsidP="000A7EE4">
      <w:pPr>
        <w:spacing w:line="360" w:lineRule="auto"/>
        <w:ind w:right="49"/>
        <w:contextualSpacing/>
        <w:jc w:val="both"/>
        <w:rPr>
          <w:rFonts w:ascii="Palatino Linotype" w:eastAsia="MS Gothic" w:hAnsi="Palatino Linotype"/>
        </w:rPr>
      </w:pPr>
    </w:p>
    <w:p w:rsidR="000A7EE4" w:rsidRPr="008E16D0" w:rsidRDefault="000A7EE4" w:rsidP="000A7EE4">
      <w:pPr>
        <w:keepNext/>
        <w:keepLines/>
        <w:spacing w:line="360" w:lineRule="auto"/>
        <w:ind w:right="48"/>
        <w:outlineLvl w:val="0"/>
        <w:rPr>
          <w:rFonts w:ascii="Palatino Linotype" w:eastAsia="MS Gothic" w:hAnsi="Palatino Linotype" w:cstheme="majorBidi"/>
          <w:b/>
          <w:lang w:val="es-ES_tradnl" w:eastAsia="es-ES"/>
        </w:rPr>
      </w:pPr>
      <w:bookmarkStart w:id="13" w:name="_Toc70417466"/>
      <w:bookmarkStart w:id="14" w:name="_Toc80812775"/>
      <w:bookmarkStart w:id="15" w:name="_Toc83301638"/>
      <w:r w:rsidRPr="008E16D0">
        <w:rPr>
          <w:rFonts w:ascii="Palatino Linotype" w:eastAsia="MS Gothic" w:hAnsi="Palatino Linotype" w:cstheme="majorBidi"/>
          <w:b/>
          <w:lang w:val="es-ES_tradnl" w:eastAsia="es-ES"/>
        </w:rPr>
        <w:t>CUARTO. Del estudio y resolución del recurso de revisión.</w:t>
      </w:r>
      <w:bookmarkEnd w:id="13"/>
      <w:bookmarkEnd w:id="14"/>
      <w:bookmarkEnd w:id="15"/>
    </w:p>
    <w:p w:rsidR="000A7EE4" w:rsidRPr="008E16D0" w:rsidRDefault="000A7EE4" w:rsidP="000A7EE4">
      <w:pPr>
        <w:spacing w:line="360" w:lineRule="auto"/>
        <w:ind w:right="49"/>
        <w:contextualSpacing/>
        <w:jc w:val="both"/>
        <w:rPr>
          <w:rFonts w:ascii="Palatino Linotype" w:eastAsiaTheme="minorEastAsia" w:hAnsi="Palatino Linotype" w:cs="Arial"/>
          <w:lang w:val="es-ES_tradnl" w:eastAsia="es-ES"/>
        </w:rPr>
      </w:pPr>
    </w:p>
    <w:p w:rsidR="000A7EE4" w:rsidRPr="008E16D0" w:rsidRDefault="000A7EE4" w:rsidP="000A7EE4">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E16D0">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8E16D0">
        <w:rPr>
          <w:rFonts w:ascii="Palatino Linotype" w:eastAsia="Calibri" w:hAnsi="Palatino Linotype" w:cs="Arial"/>
          <w:lang w:val="es-ES"/>
        </w:rPr>
        <w:t>Ley de Transparencia y Acceso a la Información Pública del Estado de México y Municipios</w:t>
      </w:r>
      <w:r w:rsidRPr="008E16D0">
        <w:rPr>
          <w:rFonts w:ascii="Palatino Linotype" w:hAnsi="Palatino Linotype" w:cs="Arial"/>
          <w:lang w:val="es-ES"/>
        </w:rPr>
        <w:t>.</w:t>
      </w:r>
    </w:p>
    <w:p w:rsidR="000A7EE4" w:rsidRPr="008E16D0" w:rsidRDefault="000A7EE4" w:rsidP="000A7EE4">
      <w:pPr>
        <w:spacing w:line="360" w:lineRule="auto"/>
        <w:ind w:right="49"/>
        <w:contextualSpacing/>
        <w:jc w:val="both"/>
        <w:rPr>
          <w:rFonts w:ascii="Palatino Linotype" w:eastAsiaTheme="minorEastAsia" w:hAnsi="Palatino Linotype"/>
          <w:lang w:val="es-ES_tradnl" w:eastAsia="es-ES"/>
        </w:rPr>
      </w:pPr>
    </w:p>
    <w:p w:rsidR="000A7EE4" w:rsidRDefault="000A7EE4" w:rsidP="000A7EE4">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51525B">
        <w:rPr>
          <w:rFonts w:ascii="Palatino Linotype" w:hAnsi="Palatino Linotype" w:cs="Arial"/>
          <w:lang w:val="es-ES"/>
        </w:rPr>
        <w:t xml:space="preserve">En este caso, el particular </w:t>
      </w:r>
      <w:r w:rsidRPr="0051525B">
        <w:rPr>
          <w:rFonts w:ascii="Palatino Linotype" w:eastAsia="MS Gothic" w:hAnsi="Palatino Linotype" w:cstheme="majorBidi"/>
          <w:lang w:eastAsia="es-ES"/>
        </w:rPr>
        <w:t xml:space="preserve">solicitó </w:t>
      </w:r>
      <w:r w:rsidR="00AE4C7F" w:rsidRPr="00AE4C7F">
        <w:rPr>
          <w:rFonts w:ascii="Palatino Linotype" w:eastAsia="MS Gothic" w:hAnsi="Palatino Linotype" w:cstheme="majorBidi"/>
          <w:lang w:eastAsia="es-ES"/>
        </w:rPr>
        <w:t xml:space="preserve">fundamento jurídico, publicación en la gaceta de gobierno o cualquier normatividad donde se especifique por qué los vecinos están siendo afectados en su propiedad privada y no poder estacionarse en el lado izquierdo fuera de sus cocheras. </w:t>
      </w:r>
    </w:p>
    <w:p w:rsidR="00AE4C7F" w:rsidRPr="00AE4C7F" w:rsidRDefault="00AE4C7F" w:rsidP="00AE4C7F">
      <w:pPr>
        <w:spacing w:line="360" w:lineRule="auto"/>
        <w:ind w:right="49"/>
        <w:contextualSpacing/>
        <w:jc w:val="both"/>
        <w:rPr>
          <w:rFonts w:ascii="Palatino Linotype" w:eastAsia="MS Gothic" w:hAnsi="Palatino Linotype" w:cstheme="majorBidi"/>
          <w:lang w:eastAsia="es-ES"/>
        </w:rPr>
      </w:pPr>
    </w:p>
    <w:p w:rsidR="000A7EE4" w:rsidRPr="00AB128B" w:rsidRDefault="000A7EE4" w:rsidP="000A7EE4">
      <w:pPr>
        <w:pStyle w:val="Prrafodelista"/>
        <w:numPr>
          <w:ilvl w:val="0"/>
          <w:numId w:val="1"/>
        </w:numPr>
        <w:spacing w:line="360" w:lineRule="auto"/>
        <w:ind w:left="0" w:firstLine="0"/>
        <w:jc w:val="both"/>
        <w:rPr>
          <w:rFonts w:ascii="Palatino Linotype" w:eastAsia="MS Mincho" w:hAnsi="Palatino Linotype"/>
          <w:sz w:val="24"/>
        </w:rPr>
      </w:pPr>
      <w:r w:rsidRPr="00AB128B">
        <w:rPr>
          <w:rFonts w:ascii="Palatino Linotype" w:eastAsia="MS Mincho" w:hAnsi="Palatino Linotype"/>
          <w:sz w:val="24"/>
        </w:rPr>
        <w:t xml:space="preserve">En este contexto, debemos mencionar que el acceso a la información es un derecho humano constitucional y convencionalmente reconocido y para tal efecto </w:t>
      </w:r>
      <w:r w:rsidRPr="00AB128B">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AB128B">
        <w:rPr>
          <w:rFonts w:ascii="Palatino Linotype" w:eastAsia="Calibri" w:hAnsi="Palatino Linotype"/>
          <w:i/>
          <w:sz w:val="24"/>
          <w:lang w:val="es-ES"/>
        </w:rPr>
        <w:t xml:space="preserve">en el ámbito de sus atribuciones, de promover, respetar, proteger y </w:t>
      </w:r>
      <w:r w:rsidRPr="00AB128B">
        <w:rPr>
          <w:rFonts w:ascii="Palatino Linotype" w:eastAsia="Calibri" w:hAnsi="Palatino Linotype"/>
          <w:b/>
          <w:i/>
          <w:sz w:val="24"/>
          <w:lang w:val="es-ES"/>
        </w:rPr>
        <w:t>garantizar</w:t>
      </w:r>
      <w:r w:rsidRPr="00AB128B">
        <w:rPr>
          <w:rFonts w:ascii="Palatino Linotype" w:eastAsia="Calibri" w:hAnsi="Palatino Linotype"/>
          <w:i/>
          <w:sz w:val="24"/>
          <w:lang w:val="es-ES"/>
        </w:rPr>
        <w:t xml:space="preserve"> los derechos humanos. </w:t>
      </w:r>
      <w:r w:rsidRPr="00AB128B">
        <w:rPr>
          <w:rFonts w:ascii="Palatino Linotype" w:eastAsia="Calibri" w:hAnsi="Palatino Linotype"/>
          <w:b/>
          <w:i/>
          <w:sz w:val="24"/>
          <w:lang w:val="es-ES"/>
        </w:rPr>
        <w:t xml:space="preserve">En cuanto al derecho de acceso a la información, la Ley de Transparencia y Acceso a la </w:t>
      </w:r>
      <w:r w:rsidRPr="00AB128B">
        <w:rPr>
          <w:rFonts w:ascii="Palatino Linotype" w:eastAsia="Calibri" w:hAnsi="Palatino Linotype"/>
          <w:b/>
          <w:i/>
          <w:sz w:val="24"/>
          <w:lang w:val="es-ES"/>
        </w:rPr>
        <w:lastRenderedPageBreak/>
        <w:t>Información Pública del Estado de México y Municipios prevé establece que e</w:t>
      </w:r>
      <w:r w:rsidRPr="00AB128B">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AB128B">
        <w:rPr>
          <w:rStyle w:val="Refdenotaalpie"/>
          <w:rFonts w:ascii="Palatino Linotype" w:hAnsi="Palatino Linotype"/>
          <w:i/>
          <w:sz w:val="24"/>
        </w:rPr>
        <w:footnoteReference w:id="1"/>
      </w:r>
      <w:r w:rsidRPr="00AB128B">
        <w:rPr>
          <w:rFonts w:ascii="Palatino Linotype" w:hAnsi="Palatino Linotype"/>
          <w:i/>
          <w:sz w:val="24"/>
        </w:rPr>
        <w:t xml:space="preserve">, </w:t>
      </w:r>
      <w:r w:rsidRPr="00AB128B">
        <w:rPr>
          <w:rFonts w:ascii="Palatino Linotype" w:hAnsi="Palatino Linotype"/>
          <w:sz w:val="24"/>
        </w:rPr>
        <w:t>asimismo establece</w:t>
      </w:r>
      <w:r w:rsidRPr="00AB128B">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0A7EE4" w:rsidRPr="00AB128B" w:rsidRDefault="000A7EE4" w:rsidP="000A7EE4">
      <w:pPr>
        <w:pStyle w:val="Prrafodelista"/>
        <w:rPr>
          <w:rFonts w:ascii="Palatino Linotype" w:eastAsia="Calibri" w:hAnsi="Palatino Linotype" w:cs="Arial"/>
          <w:sz w:val="24"/>
        </w:rPr>
      </w:pPr>
    </w:p>
    <w:p w:rsidR="000A7EE4" w:rsidRPr="00AB128B" w:rsidRDefault="000A7EE4" w:rsidP="000A7EE4">
      <w:pPr>
        <w:pStyle w:val="Prrafodelista"/>
        <w:numPr>
          <w:ilvl w:val="0"/>
          <w:numId w:val="1"/>
        </w:numPr>
        <w:spacing w:line="360" w:lineRule="auto"/>
        <w:ind w:left="0" w:firstLine="0"/>
        <w:jc w:val="both"/>
        <w:rPr>
          <w:rFonts w:ascii="Palatino Linotype" w:eastAsia="Calibri" w:hAnsi="Palatino Linotype" w:cs="Arial"/>
          <w:sz w:val="24"/>
        </w:rPr>
      </w:pPr>
      <w:r w:rsidRPr="00AB128B">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0A7EE4" w:rsidRPr="00AB128B" w:rsidRDefault="000A7EE4" w:rsidP="000A7EE4">
      <w:pPr>
        <w:pStyle w:val="Prrafodelista"/>
        <w:rPr>
          <w:rFonts w:ascii="Palatino Linotype" w:hAnsi="Palatino Linotype"/>
          <w:sz w:val="24"/>
        </w:rPr>
      </w:pPr>
    </w:p>
    <w:p w:rsidR="000A7EE4" w:rsidRPr="00AB128B" w:rsidRDefault="000A7EE4" w:rsidP="000A7EE4">
      <w:pPr>
        <w:pStyle w:val="Prrafodelista"/>
        <w:numPr>
          <w:ilvl w:val="0"/>
          <w:numId w:val="1"/>
        </w:numPr>
        <w:spacing w:line="360" w:lineRule="auto"/>
        <w:ind w:left="0" w:firstLine="0"/>
        <w:jc w:val="both"/>
        <w:rPr>
          <w:rFonts w:ascii="Palatino Linotype" w:eastAsia="Calibri" w:hAnsi="Palatino Linotype" w:cs="Arial"/>
          <w:sz w:val="24"/>
        </w:rPr>
      </w:pPr>
      <w:r w:rsidRPr="00AB128B">
        <w:rPr>
          <w:rFonts w:ascii="Palatino Linotype" w:hAnsi="Palatino Linotype"/>
          <w:sz w:val="24"/>
        </w:rPr>
        <w:t xml:space="preserve">Es así que, su obligación es </w:t>
      </w:r>
      <w:r w:rsidRPr="00AB128B">
        <w:rPr>
          <w:rFonts w:ascii="Palatino Linotype" w:hAnsi="Palatino Linotype"/>
          <w:i/>
          <w:sz w:val="24"/>
        </w:rPr>
        <w:t>realizar, con efectividad, los trámites internos necesarios para la atención de las solicitudes de información</w:t>
      </w:r>
      <w:r w:rsidRPr="00AB128B">
        <w:rPr>
          <w:rStyle w:val="Refdenotaalpie"/>
          <w:rFonts w:ascii="Palatino Linotype" w:hAnsi="Palatino Linotype"/>
          <w:sz w:val="24"/>
        </w:rPr>
        <w:footnoteReference w:id="2"/>
      </w:r>
      <w:r w:rsidRPr="00AB128B">
        <w:rPr>
          <w:rFonts w:ascii="Palatino Linotype" w:hAnsi="Palatino Linotype"/>
          <w:sz w:val="24"/>
        </w:rPr>
        <w:t>, es decir, deben otorgar respuestas concisas, contundentes y sobre todo que den la certeza de los actos que realizan.</w:t>
      </w:r>
    </w:p>
    <w:p w:rsidR="000A7EE4" w:rsidRPr="00AB128B" w:rsidRDefault="000A7EE4" w:rsidP="000A7EE4">
      <w:pPr>
        <w:pStyle w:val="Prrafodelista"/>
        <w:rPr>
          <w:rFonts w:ascii="Palatino Linotype" w:eastAsia="Calibri" w:hAnsi="Palatino Linotype" w:cs="Arial"/>
          <w:sz w:val="24"/>
        </w:rPr>
      </w:pPr>
    </w:p>
    <w:p w:rsidR="000A7EE4" w:rsidRPr="00AB128B" w:rsidRDefault="000A7EE4" w:rsidP="000A7EE4">
      <w:pPr>
        <w:pStyle w:val="Prrafodelista"/>
        <w:numPr>
          <w:ilvl w:val="0"/>
          <w:numId w:val="1"/>
        </w:numPr>
        <w:spacing w:line="360" w:lineRule="auto"/>
        <w:ind w:left="0" w:firstLine="0"/>
        <w:jc w:val="both"/>
        <w:rPr>
          <w:rFonts w:ascii="Palatino Linotype" w:eastAsia="MS Mincho" w:hAnsi="Palatino Linotype"/>
          <w:sz w:val="24"/>
        </w:rPr>
      </w:pPr>
      <w:r w:rsidRPr="00AB128B">
        <w:rPr>
          <w:rFonts w:ascii="Palatino Linotype" w:eastAsia="Palatino Linotype" w:hAnsi="Palatino Linotype" w:cs="Palatino Linotype"/>
          <w:sz w:val="24"/>
        </w:rPr>
        <w:t xml:space="preserve">Al respecto, es menester hacer referencia a lo establecido en los artículos 50, 53 fracciones II, IV y V, 58, 59 fracciones I y II, y 162 </w:t>
      </w:r>
      <w:r w:rsidRPr="00AB128B">
        <w:rPr>
          <w:rFonts w:ascii="Palatino Linotype" w:eastAsia="Arial Unicode MS" w:hAnsi="Palatino Linotype" w:cs="Arial"/>
          <w:sz w:val="24"/>
          <w:lang w:eastAsia="en-US"/>
        </w:rPr>
        <w:t xml:space="preserve">de la Ley de Transparencia y Acceso </w:t>
      </w:r>
      <w:r w:rsidRPr="00AB128B">
        <w:rPr>
          <w:rFonts w:ascii="Palatino Linotype" w:eastAsia="Arial Unicode MS" w:hAnsi="Palatino Linotype" w:cs="Arial"/>
          <w:sz w:val="24"/>
          <w:lang w:eastAsia="en-US"/>
        </w:rPr>
        <w:lastRenderedPageBreak/>
        <w:t>a la Información del Estado de México y Municipios, que a la letra estipulan lo siguiente:</w:t>
      </w:r>
    </w:p>
    <w:p w:rsidR="000A7EE4" w:rsidRPr="00DB5E71" w:rsidRDefault="000A7EE4" w:rsidP="000A7EE4">
      <w:pPr>
        <w:spacing w:line="360" w:lineRule="auto"/>
        <w:jc w:val="both"/>
        <w:rPr>
          <w:rFonts w:ascii="Palatino Linotype" w:eastAsia="Arial Unicode MS" w:hAnsi="Palatino Linotype" w:cs="Arial"/>
          <w:lang w:eastAsia="en-US"/>
        </w:rPr>
      </w:pP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i/>
          <w:iCs/>
          <w:sz w:val="22"/>
        </w:rPr>
        <w:t xml:space="preserve">Artículo 50. </w:t>
      </w:r>
      <w:r w:rsidRPr="00AB128B">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rsidR="000A7EE4" w:rsidRPr="00AB128B" w:rsidRDefault="000A7EE4" w:rsidP="000A7EE4">
      <w:pPr>
        <w:ind w:left="567" w:right="616"/>
        <w:jc w:val="both"/>
        <w:rPr>
          <w:rFonts w:ascii="Palatino Linotype" w:eastAsia="Palatino Linotype" w:hAnsi="Palatino Linotype" w:cs="Palatino Linotype"/>
          <w:i/>
          <w:iCs/>
          <w:sz w:val="22"/>
        </w:rPr>
      </w:pP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i/>
          <w:iCs/>
          <w:sz w:val="22"/>
        </w:rPr>
        <w:t xml:space="preserve">Artículo 53. </w:t>
      </w:r>
      <w:r w:rsidRPr="00AB128B">
        <w:rPr>
          <w:rFonts w:ascii="Palatino Linotype" w:eastAsia="Palatino Linotype" w:hAnsi="Palatino Linotype" w:cs="Palatino Linotype"/>
          <w:i/>
          <w:iCs/>
          <w:sz w:val="22"/>
        </w:rPr>
        <w:t>Las Unidades de Transparencia tendrán las siguientes funciones:</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i/>
          <w:iCs/>
          <w:sz w:val="22"/>
        </w:rPr>
        <w:t>(…)</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bCs/>
          <w:i/>
          <w:iCs/>
          <w:sz w:val="22"/>
        </w:rPr>
        <w:t>II.</w:t>
      </w:r>
      <w:r w:rsidRPr="00AB128B">
        <w:rPr>
          <w:rFonts w:ascii="Palatino Linotype" w:eastAsia="Palatino Linotype" w:hAnsi="Palatino Linotype" w:cs="Palatino Linotype"/>
          <w:i/>
          <w:iCs/>
          <w:sz w:val="22"/>
        </w:rPr>
        <w:t xml:space="preserve"> Recibir, tramitar y dar respuesta a las solicitudes de acceso a la información;</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i/>
          <w:iCs/>
          <w:sz w:val="22"/>
        </w:rPr>
        <w:t>(…)</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bCs/>
          <w:i/>
          <w:iCs/>
          <w:sz w:val="22"/>
        </w:rPr>
        <w:t>IV.</w:t>
      </w:r>
      <w:r w:rsidRPr="00AB128B">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bCs/>
          <w:i/>
          <w:iCs/>
          <w:sz w:val="22"/>
        </w:rPr>
        <w:t>V.</w:t>
      </w:r>
      <w:r w:rsidRPr="00AB128B">
        <w:rPr>
          <w:rFonts w:ascii="Palatino Linotype" w:eastAsia="Palatino Linotype" w:hAnsi="Palatino Linotype" w:cs="Palatino Linotype"/>
          <w:i/>
          <w:iCs/>
          <w:sz w:val="22"/>
        </w:rPr>
        <w:t xml:space="preserve"> Entregar, en su caso, a los particulares la información solicitada;</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i/>
          <w:iCs/>
          <w:sz w:val="22"/>
        </w:rPr>
        <w:t>(…)</w:t>
      </w:r>
    </w:p>
    <w:p w:rsidR="000A7EE4" w:rsidRPr="00AB128B" w:rsidRDefault="000A7EE4" w:rsidP="000A7EE4">
      <w:pPr>
        <w:ind w:left="567" w:right="616"/>
        <w:jc w:val="both"/>
        <w:rPr>
          <w:rFonts w:ascii="Palatino Linotype" w:eastAsia="Palatino Linotype" w:hAnsi="Palatino Linotype" w:cs="Palatino Linotype"/>
          <w:i/>
          <w:iCs/>
          <w:sz w:val="22"/>
        </w:rPr>
      </w:pP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i/>
          <w:iCs/>
          <w:sz w:val="22"/>
        </w:rPr>
        <w:t xml:space="preserve">Artículo 58. </w:t>
      </w:r>
      <w:r w:rsidRPr="00AB128B">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rsidR="000A7EE4" w:rsidRPr="00AB128B" w:rsidRDefault="000A7EE4" w:rsidP="000A7EE4">
      <w:pPr>
        <w:ind w:left="567" w:right="616"/>
        <w:jc w:val="both"/>
        <w:rPr>
          <w:rFonts w:ascii="Palatino Linotype" w:eastAsia="Palatino Linotype" w:hAnsi="Palatino Linotype" w:cs="Palatino Linotype"/>
          <w:i/>
          <w:iCs/>
          <w:sz w:val="22"/>
        </w:rPr>
      </w:pP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i/>
          <w:iCs/>
          <w:sz w:val="22"/>
        </w:rPr>
        <w:t xml:space="preserve">Artículo 59. </w:t>
      </w:r>
      <w:r w:rsidRPr="00AB128B">
        <w:rPr>
          <w:rFonts w:ascii="Palatino Linotype" w:eastAsia="Palatino Linotype" w:hAnsi="Palatino Linotype" w:cs="Palatino Linotype"/>
          <w:i/>
          <w:iCs/>
          <w:sz w:val="22"/>
        </w:rPr>
        <w:t>Los servidores públicos habilitados tendrán las funciones siguientes:</w:t>
      </w:r>
    </w:p>
    <w:p w:rsidR="000A7EE4" w:rsidRPr="00AB128B" w:rsidRDefault="000A7EE4" w:rsidP="000A7EE4">
      <w:pPr>
        <w:ind w:left="567" w:right="616"/>
        <w:jc w:val="both"/>
        <w:rPr>
          <w:rFonts w:ascii="Palatino Linotype" w:eastAsia="Palatino Linotype" w:hAnsi="Palatino Linotype" w:cs="Palatino Linotype"/>
          <w:i/>
          <w:iCs/>
          <w:sz w:val="22"/>
        </w:rPr>
      </w:pP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bCs/>
          <w:i/>
          <w:iCs/>
          <w:sz w:val="22"/>
        </w:rPr>
        <w:t>I.</w:t>
      </w:r>
      <w:r w:rsidRPr="00AB128B">
        <w:rPr>
          <w:rFonts w:ascii="Palatino Linotype" w:eastAsia="Palatino Linotype" w:hAnsi="Palatino Linotype" w:cs="Palatino Linotype"/>
          <w:i/>
          <w:iCs/>
          <w:sz w:val="22"/>
        </w:rPr>
        <w:t xml:space="preserve"> Localizar la información que le solicite la Unidad de Transparencia;</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bCs/>
          <w:i/>
          <w:iCs/>
          <w:sz w:val="22"/>
        </w:rPr>
        <w:t>II.</w:t>
      </w:r>
      <w:r w:rsidRPr="00AB128B">
        <w:rPr>
          <w:rFonts w:ascii="Palatino Linotype" w:eastAsia="Palatino Linotype" w:hAnsi="Palatino Linotype" w:cs="Palatino Linotype"/>
          <w:i/>
          <w:iCs/>
          <w:sz w:val="22"/>
        </w:rPr>
        <w:t xml:space="preserve"> Proporcionar la información que obre en los archivos y que le sea solicitada por la Unidad de Transparencia;</w:t>
      </w: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i/>
          <w:iCs/>
          <w:sz w:val="22"/>
        </w:rPr>
        <w:t>(...)</w:t>
      </w:r>
    </w:p>
    <w:p w:rsidR="000A7EE4" w:rsidRPr="00AB128B" w:rsidRDefault="000A7EE4" w:rsidP="000A7EE4">
      <w:pPr>
        <w:ind w:left="567" w:right="616"/>
        <w:jc w:val="both"/>
        <w:rPr>
          <w:rFonts w:ascii="Palatino Linotype" w:eastAsia="Palatino Linotype" w:hAnsi="Palatino Linotype" w:cs="Palatino Linotype"/>
          <w:i/>
          <w:iCs/>
          <w:sz w:val="22"/>
        </w:rPr>
      </w:pPr>
    </w:p>
    <w:p w:rsidR="000A7EE4" w:rsidRPr="00AB128B" w:rsidRDefault="000A7EE4" w:rsidP="000A7EE4">
      <w:pPr>
        <w:ind w:left="567" w:right="616"/>
        <w:jc w:val="both"/>
        <w:rPr>
          <w:rFonts w:ascii="Palatino Linotype" w:eastAsia="Palatino Linotype" w:hAnsi="Palatino Linotype" w:cs="Palatino Linotype"/>
          <w:i/>
          <w:iCs/>
          <w:sz w:val="22"/>
        </w:rPr>
      </w:pPr>
      <w:r w:rsidRPr="00AB128B">
        <w:rPr>
          <w:rFonts w:ascii="Palatino Linotype" w:eastAsia="Palatino Linotype" w:hAnsi="Palatino Linotype" w:cs="Palatino Linotype"/>
          <w:b/>
          <w:i/>
          <w:iCs/>
          <w:sz w:val="22"/>
        </w:rPr>
        <w:t xml:space="preserve">Artículo 162. </w:t>
      </w:r>
      <w:r w:rsidRPr="00AB128B">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0A7EE4" w:rsidRPr="00DB5E71" w:rsidRDefault="000A7EE4" w:rsidP="000A7EE4">
      <w:pPr>
        <w:spacing w:line="360" w:lineRule="auto"/>
        <w:jc w:val="both"/>
        <w:rPr>
          <w:rFonts w:ascii="Palatino Linotype" w:eastAsia="Palatino Linotype" w:hAnsi="Palatino Linotype" w:cs="Palatino Linotype"/>
        </w:rPr>
      </w:pPr>
    </w:p>
    <w:p w:rsidR="000A7EE4" w:rsidRPr="00AB128B" w:rsidRDefault="000A7EE4" w:rsidP="000A7EE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AB128B">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AB128B">
        <w:rPr>
          <w:rFonts w:ascii="Palatino Linotype" w:eastAsia="Arial Unicode MS" w:hAnsi="Palatino Linotype" w:cs="Arial"/>
          <w:sz w:val="24"/>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w:t>
      </w:r>
      <w:r w:rsidRPr="00AB128B">
        <w:rPr>
          <w:rFonts w:ascii="Palatino Linotype" w:eastAsia="Arial Unicode MS" w:hAnsi="Palatino Linotype" w:cs="Arial"/>
          <w:sz w:val="24"/>
          <w:lang w:eastAsia="en-US"/>
        </w:rPr>
        <w:lastRenderedPageBreak/>
        <w:t>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las áreas que se consideren competentes para que realicen una búsqueda exhaustiva y razonable de la información solicitada a fin de que ésta sea entregada a los solicitantes.</w:t>
      </w:r>
    </w:p>
    <w:p w:rsidR="000A7EE4" w:rsidRPr="00AB128B" w:rsidRDefault="000A7EE4" w:rsidP="000A7EE4">
      <w:pPr>
        <w:pStyle w:val="Prrafodelista"/>
        <w:spacing w:line="360" w:lineRule="auto"/>
        <w:ind w:left="0"/>
        <w:jc w:val="both"/>
        <w:rPr>
          <w:rFonts w:ascii="Palatino Linotype" w:eastAsia="Arial Unicode MS" w:hAnsi="Palatino Linotype" w:cs="Arial"/>
          <w:sz w:val="24"/>
          <w:lang w:eastAsia="en-US"/>
        </w:rPr>
      </w:pPr>
    </w:p>
    <w:p w:rsidR="000A7EE4" w:rsidRPr="00AB128B" w:rsidRDefault="000A7EE4" w:rsidP="000A7EE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AB128B">
        <w:rPr>
          <w:rFonts w:ascii="Palatino Linotype" w:eastAsia="Arial Unicode MS" w:hAnsi="Palatino Linotype" w:cs="Arial"/>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0A7EE4" w:rsidRPr="00AB128B" w:rsidRDefault="000A7EE4" w:rsidP="000A7EE4">
      <w:pPr>
        <w:pStyle w:val="Prrafodelista"/>
        <w:rPr>
          <w:rFonts w:ascii="Palatino Linotype" w:eastAsia="Arial Unicode MS" w:hAnsi="Palatino Linotype" w:cs="Arial"/>
          <w:sz w:val="24"/>
          <w:lang w:eastAsia="en-US"/>
        </w:rPr>
      </w:pPr>
    </w:p>
    <w:p w:rsidR="000A7EE4" w:rsidRPr="005B7605" w:rsidRDefault="000A7EE4" w:rsidP="002F1AA4">
      <w:pPr>
        <w:pStyle w:val="Prrafodelista"/>
        <w:numPr>
          <w:ilvl w:val="0"/>
          <w:numId w:val="1"/>
        </w:numPr>
        <w:spacing w:line="360" w:lineRule="auto"/>
        <w:ind w:left="0" w:firstLine="0"/>
        <w:jc w:val="both"/>
        <w:rPr>
          <w:rFonts w:ascii="Palatino Linotype" w:eastAsia="MS Gothic" w:hAnsi="Palatino Linotype" w:cstheme="majorBidi"/>
          <w:i/>
          <w:lang w:val="es-ES_tradnl" w:eastAsia="es-ES"/>
        </w:rPr>
      </w:pPr>
      <w:r w:rsidRPr="00AB128B">
        <w:rPr>
          <w:rFonts w:ascii="Palatino Linotype" w:eastAsia="Arial Unicode MS" w:hAnsi="Palatino Linotype" w:cs="Arial"/>
          <w:sz w:val="24"/>
          <w:lang w:eastAsia="en-US"/>
        </w:rPr>
        <w:t xml:space="preserve">En el caso que se resuelve, </w:t>
      </w:r>
      <w:r w:rsidR="002F1AA4">
        <w:rPr>
          <w:rFonts w:ascii="Palatino Linotype" w:eastAsia="Arial Unicode MS" w:hAnsi="Palatino Linotype" w:cs="Arial"/>
          <w:sz w:val="24"/>
          <w:lang w:eastAsia="en-US"/>
        </w:rPr>
        <w:t xml:space="preserve">la respuesta fue emitida por el servidor público habilitado de la Dirección de Sustentabilidad Vial, quien de acuerdo al </w:t>
      </w:r>
      <w:r w:rsidR="005B7605">
        <w:rPr>
          <w:rFonts w:ascii="Palatino Linotype" w:eastAsia="Arial Unicode MS" w:hAnsi="Palatino Linotype" w:cs="Arial"/>
          <w:sz w:val="24"/>
          <w:lang w:eastAsia="en-US"/>
        </w:rPr>
        <w:t>Bando Municipal de Toluca 2022-2024, tiene las siguientes atribuciones:</w:t>
      </w:r>
    </w:p>
    <w:p w:rsidR="005B7605" w:rsidRPr="005B7605" w:rsidRDefault="005B7605" w:rsidP="005B7605">
      <w:pPr>
        <w:pStyle w:val="Prrafodelista"/>
        <w:rPr>
          <w:rFonts w:ascii="Palatino Linotype" w:eastAsia="MS Gothic" w:hAnsi="Palatino Linotype" w:cstheme="majorBidi"/>
          <w:i/>
          <w:lang w:val="es-ES_tradnl" w:eastAsia="es-ES"/>
        </w:rPr>
      </w:pP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 xml:space="preserve">“Artículo 3.39 bis. La o el titular de La Dirección de Sustentabilidad Vial, tendrá las siguientes atribuciones: </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 xml:space="preserve">I. Planear y estructurar proyectos de infraestructura vial e ingeniería de tránsito, atendiendo a las disposiciones de la Ley General de Movilidad y Seguridad Vial; </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 xml:space="preserve">V. Vigilar y aplicar las medidas de seguridad y restrictivas en materia de tránsito vehicular en la vía pública, que sirvan para mejorar la movilidad, preservar el medio ambiente, salvaguardar la integridad física de las personas, sus bienes y el patrimonio municipal, aprovechando el monitoreo a través del sistema automatizado </w:t>
      </w:r>
      <w:r w:rsidRPr="005B7605">
        <w:rPr>
          <w:rFonts w:ascii="Palatino Linotype" w:hAnsi="Palatino Linotype"/>
          <w:i/>
        </w:rPr>
        <w:lastRenderedPageBreak/>
        <w:t xml:space="preserve">de semáforos, detectores vehiculares y dando aviso oportuno a la población mediante sistemas tecnológicos; </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 xml:space="preserve">VI. Promover la difusión de las medidas para la seguridad vial y concientización de ésta, como parte de las acciones conjuntas con autoridades estatales, federales e internacionales derivado del Decenio de Acción para la Seguridad Vial 2021-2030 implementado por la Organización de las Naciones Unidas, siempre alineado a la estrategia Visión Cero y Sistema Seguro; </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 xml:space="preserve">VIII. Analizar y proponer las alternativas de mejora para los operativos, acciones y planes orientados a la mejora de la seguridad vial en el municipio, incluidas las reformas normativas relativas y proyectos tecnológicos ad-hoc; </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 xml:space="preserve">X. Analizar y proponer mecanismos de cambio estructural relacionados con la infraestructura vial, de tránsito vehicular, vías ciclistas y zonas peatonales del municipio de Toluca, alineado con la Pirámide de Jerarquía de la Movilidad Urbana; </w:t>
      </w:r>
    </w:p>
    <w:p w:rsidR="005B7605" w:rsidRPr="005B7605" w:rsidRDefault="005B7605" w:rsidP="005B7605">
      <w:pPr>
        <w:pStyle w:val="Prrafodelista"/>
        <w:spacing w:line="360" w:lineRule="auto"/>
        <w:ind w:left="851" w:right="822"/>
        <w:jc w:val="both"/>
        <w:rPr>
          <w:rFonts w:ascii="Palatino Linotype" w:hAnsi="Palatino Linotype"/>
          <w:i/>
        </w:rPr>
      </w:pPr>
      <w:r w:rsidRPr="005B7605">
        <w:rPr>
          <w:rFonts w:ascii="Palatino Linotype" w:hAnsi="Palatino Linotype"/>
          <w:i/>
        </w:rPr>
        <w:t>…”</w:t>
      </w:r>
    </w:p>
    <w:p w:rsidR="002F1AA4" w:rsidRPr="005B7605" w:rsidRDefault="002F1AA4" w:rsidP="005B7605">
      <w:pPr>
        <w:pStyle w:val="Prrafodelista"/>
        <w:ind w:left="851" w:right="822"/>
        <w:rPr>
          <w:rFonts w:ascii="Palatino Linotype" w:eastAsia="MS Gothic" w:hAnsi="Palatino Linotype" w:cstheme="majorBidi"/>
          <w:i/>
          <w:lang w:val="es-ES_tradnl" w:eastAsia="es-ES"/>
        </w:rPr>
      </w:pPr>
    </w:p>
    <w:p w:rsidR="002F1AA4" w:rsidRPr="002F1AA4" w:rsidRDefault="002F1AA4" w:rsidP="002F1AA4">
      <w:pPr>
        <w:spacing w:line="360" w:lineRule="auto"/>
        <w:jc w:val="both"/>
        <w:rPr>
          <w:rFonts w:ascii="Palatino Linotype" w:eastAsia="MS Gothic" w:hAnsi="Palatino Linotype" w:cstheme="majorBidi"/>
          <w:i/>
          <w:lang w:val="es-ES_tradnl" w:eastAsia="es-ES"/>
        </w:rPr>
      </w:pPr>
    </w:p>
    <w:p w:rsidR="005B7605" w:rsidRPr="0031036A" w:rsidRDefault="000A7EE4" w:rsidP="005B7605">
      <w:pPr>
        <w:pStyle w:val="Prrafodelista"/>
        <w:numPr>
          <w:ilvl w:val="0"/>
          <w:numId w:val="1"/>
        </w:numPr>
        <w:spacing w:line="360" w:lineRule="auto"/>
        <w:ind w:left="0" w:firstLine="0"/>
        <w:jc w:val="both"/>
        <w:rPr>
          <w:rFonts w:ascii="Palatino Linotype" w:eastAsia="Arial Unicode MS" w:hAnsi="Palatino Linotype" w:cs="Arial"/>
          <w:i/>
          <w:sz w:val="24"/>
          <w:lang w:eastAsia="en-US"/>
        </w:rPr>
      </w:pPr>
      <w:r w:rsidRPr="005B7605">
        <w:rPr>
          <w:rFonts w:ascii="Palatino Linotype" w:eastAsia="Arial Unicode MS" w:hAnsi="Palatino Linotype" w:cs="Arial"/>
          <w:sz w:val="24"/>
          <w:lang w:eastAsia="en-US"/>
        </w:rPr>
        <w:t>Tal y como se aprecia, el área a la cual se turnó la solicitud cuenta con atribuciones para generar, poseer y adminis</w:t>
      </w:r>
      <w:r w:rsidR="005B7605" w:rsidRPr="005B7605">
        <w:rPr>
          <w:rFonts w:ascii="Palatino Linotype" w:eastAsia="Arial Unicode MS" w:hAnsi="Palatino Linotype" w:cs="Arial"/>
          <w:sz w:val="24"/>
          <w:lang w:eastAsia="en-US"/>
        </w:rPr>
        <w:t xml:space="preserve">trar la información solicitada. Ahora bien, el Sujeto Obligado señaló en respuesta </w:t>
      </w:r>
      <w:r w:rsidR="005B7605">
        <w:rPr>
          <w:rFonts w:ascii="Palatino Linotype" w:eastAsia="Arial Unicode MS" w:hAnsi="Palatino Linotype" w:cs="Arial"/>
          <w:sz w:val="24"/>
          <w:lang w:eastAsia="en-US"/>
        </w:rPr>
        <w:t>lo siguiente</w:t>
      </w:r>
      <w:r w:rsidR="005B7605" w:rsidRPr="005B7605">
        <w:rPr>
          <w:rFonts w:ascii="Palatino Linotype" w:eastAsia="Arial Unicode MS" w:hAnsi="Palatino Linotype" w:cs="Arial"/>
          <w:i/>
          <w:sz w:val="24"/>
          <w:lang w:eastAsia="en-US"/>
        </w:rPr>
        <w:t xml:space="preserve">“…hago de su conocimiento que la Dirección General de Seguridad Pública y Protección Ciudadana y Servidor Público Habilitado, informó a la que suscribe que, a través de la Dirección se Sustentabilidad Vial, se informa que de acuerdo a la normatividad establecida en el Reglamento de Tránsito del Estado de México, Artículo 62 Bis, los conductores de vehículos no pueden obstaculizar deliberadamente la circulación vehicular ni pasos peatonales, en lo particular la vía pública no puede ser utilizada como zona de estacionamiento, por ellos es que los vehículos deben ser </w:t>
      </w:r>
      <w:r w:rsidR="005B7605" w:rsidRPr="005B7605">
        <w:rPr>
          <w:rFonts w:ascii="Palatino Linotype" w:eastAsia="Arial Unicode MS" w:hAnsi="Palatino Linotype" w:cs="Arial"/>
          <w:i/>
          <w:sz w:val="24"/>
          <w:lang w:eastAsia="en-US"/>
        </w:rPr>
        <w:lastRenderedPageBreak/>
        <w:t>ingresados a las cocheras coadyuvando con ellos a permitir una movilidad segura en las calles y evitas conflictos viales.”</w:t>
      </w:r>
      <w:r w:rsidR="005B7605">
        <w:rPr>
          <w:rFonts w:ascii="Palatino Linotype" w:eastAsia="Arial Unicode MS" w:hAnsi="Palatino Linotype" w:cs="Arial"/>
          <w:sz w:val="24"/>
          <w:lang w:eastAsia="en-US"/>
        </w:rPr>
        <w:t xml:space="preserve">, en ese sentido, el fundamento legal que señaló por el Sujeto Obligado establece </w:t>
      </w:r>
      <w:r w:rsidR="0031036A" w:rsidRPr="0031036A">
        <w:rPr>
          <w:rFonts w:ascii="Palatino Linotype" w:eastAsia="Arial Unicode MS" w:hAnsi="Palatino Linotype" w:cs="Arial"/>
          <w:i/>
          <w:sz w:val="24"/>
          <w:lang w:eastAsia="en-US"/>
        </w:rPr>
        <w:t>“Se prohíbe interferir, obstaculizar o impedir, deliberadamente, la circulación de vehículos en las vías públicas del Estado”</w:t>
      </w:r>
      <w:r w:rsidR="0031036A">
        <w:rPr>
          <w:rFonts w:ascii="Palatino Linotype" w:eastAsia="Arial Unicode MS" w:hAnsi="Palatino Linotype" w:cs="Arial"/>
          <w:i/>
          <w:sz w:val="24"/>
          <w:lang w:eastAsia="en-US"/>
        </w:rPr>
        <w:t xml:space="preserve">, </w:t>
      </w:r>
      <w:r w:rsidR="0031036A">
        <w:rPr>
          <w:rFonts w:ascii="Palatino Linotype" w:eastAsia="Arial Unicode MS" w:hAnsi="Palatino Linotype" w:cs="Arial"/>
          <w:sz w:val="24"/>
          <w:lang w:eastAsia="en-US"/>
        </w:rPr>
        <w:t xml:space="preserve"> por lo tanto, la información entrega en respuesta colma con la solicitud de información del particular. </w:t>
      </w:r>
    </w:p>
    <w:p w:rsidR="0031036A" w:rsidRPr="005B7605" w:rsidRDefault="0031036A" w:rsidP="0031036A">
      <w:pPr>
        <w:pStyle w:val="Prrafodelista"/>
        <w:spacing w:line="360" w:lineRule="auto"/>
        <w:ind w:left="0"/>
        <w:jc w:val="both"/>
        <w:rPr>
          <w:rFonts w:ascii="Palatino Linotype" w:eastAsia="Arial Unicode MS" w:hAnsi="Palatino Linotype" w:cs="Arial"/>
          <w:i/>
          <w:sz w:val="24"/>
          <w:lang w:eastAsia="en-US"/>
        </w:rPr>
      </w:pPr>
    </w:p>
    <w:p w:rsidR="000A7EE4" w:rsidRPr="0031036A" w:rsidRDefault="000A7EE4" w:rsidP="0031036A">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31036A">
        <w:rPr>
          <w:rFonts w:ascii="Palatino Linotype" w:hAnsi="Palatino Linotype" w:cs="Arial"/>
          <w:sz w:val="24"/>
        </w:rPr>
        <w:t xml:space="preserve">Así mismo, la </w:t>
      </w:r>
      <w:r w:rsidRPr="0031036A">
        <w:rPr>
          <w:rFonts w:ascii="Palatino Linotype" w:hAnsi="Palatino Linotype" w:cs="Arial"/>
          <w:b/>
          <w:sz w:val="24"/>
        </w:rPr>
        <w:t>Ley de Transparencia y Acceso a la Información Pública del Estado de México y Municipios</w:t>
      </w:r>
      <w:r w:rsidRPr="0031036A">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0A7EE4" w:rsidRPr="009B5E38" w:rsidRDefault="000A7EE4" w:rsidP="000A7EE4">
      <w:pPr>
        <w:pStyle w:val="Prrafodelista"/>
        <w:spacing w:line="360" w:lineRule="auto"/>
        <w:ind w:left="644"/>
        <w:jc w:val="both"/>
        <w:rPr>
          <w:rFonts w:ascii="Palatino Linotype" w:hAnsi="Palatino Linotype" w:cs="Arial"/>
        </w:rPr>
      </w:pPr>
    </w:p>
    <w:p w:rsidR="0031036A" w:rsidRDefault="0031036A" w:rsidP="0031036A">
      <w:pPr>
        <w:pStyle w:val="Prrafodelista"/>
        <w:spacing w:line="360" w:lineRule="auto"/>
        <w:ind w:left="851" w:right="822"/>
        <w:jc w:val="both"/>
        <w:rPr>
          <w:rFonts w:ascii="Palatino Linotype" w:hAnsi="Palatino Linotype" w:cs="Arial"/>
          <w:i/>
        </w:rPr>
      </w:pPr>
      <w:r>
        <w:rPr>
          <w:rFonts w:ascii="Palatino Linotype" w:hAnsi="Palatino Linotype" w:cs="Arial"/>
          <w:i/>
        </w:rPr>
        <w:t>“Artículo 4</w:t>
      </w:r>
      <w:r w:rsidR="000A7EE4" w:rsidRPr="00D51E15">
        <w:rPr>
          <w:rFonts w:ascii="Palatino Linotype" w:hAnsi="Palatino Linotype" w:cs="Arial"/>
          <w:i/>
        </w:rPr>
        <w:t xml:space="preserve">.- </w:t>
      </w:r>
    </w:p>
    <w:p w:rsidR="0031036A" w:rsidRDefault="0031036A" w:rsidP="0031036A">
      <w:pPr>
        <w:pStyle w:val="Prrafodelista"/>
        <w:spacing w:line="360" w:lineRule="auto"/>
        <w:ind w:left="851" w:right="822"/>
        <w:jc w:val="both"/>
        <w:rPr>
          <w:rFonts w:ascii="Palatino Linotype" w:hAnsi="Palatino Linotype" w:cs="Arial"/>
          <w:i/>
        </w:rPr>
      </w:pPr>
      <w:r>
        <w:rPr>
          <w:rFonts w:ascii="Palatino Linotype" w:hAnsi="Palatino Linotype" w:cs="Arial"/>
          <w:i/>
        </w:rPr>
        <w:t>…</w:t>
      </w:r>
    </w:p>
    <w:p w:rsidR="000A7EE4" w:rsidRDefault="0031036A" w:rsidP="0031036A">
      <w:pPr>
        <w:pStyle w:val="Prrafodelista"/>
        <w:spacing w:line="360" w:lineRule="auto"/>
        <w:ind w:left="851" w:right="822"/>
        <w:jc w:val="both"/>
        <w:rPr>
          <w:rFonts w:ascii="Palatino Linotype" w:hAnsi="Palatino Linotype" w:cs="Arial"/>
          <w:i/>
        </w:rPr>
      </w:pPr>
      <w:r w:rsidRPr="0031036A">
        <w:rPr>
          <w:rFonts w:ascii="Palatino Linotype" w:hAnsi="Palatino Linotype" w:cs="Arial"/>
          <w:i/>
        </w:rPr>
        <w:t>Los sujetos obligados deben poner en práctica, políticas y programas de acceso a la información que se apeguen a criterios de publicidad, veracidad, oportunidad, precisión y suficiencia en beneficio de los solicitantes.</w:t>
      </w:r>
      <w:r>
        <w:rPr>
          <w:rFonts w:ascii="Palatino Linotype" w:hAnsi="Palatino Linotype" w:cs="Arial"/>
          <w:i/>
        </w:rPr>
        <w:t>”</w:t>
      </w:r>
    </w:p>
    <w:p w:rsidR="0031036A" w:rsidRPr="009B5E38" w:rsidRDefault="0031036A" w:rsidP="0031036A">
      <w:pPr>
        <w:pStyle w:val="Prrafodelista"/>
        <w:spacing w:line="360" w:lineRule="auto"/>
        <w:ind w:left="851" w:right="822"/>
        <w:jc w:val="both"/>
        <w:rPr>
          <w:rFonts w:ascii="Palatino Linotype" w:hAnsi="Palatino Linotype" w:cs="Arial"/>
          <w:noProof/>
        </w:rPr>
      </w:pPr>
    </w:p>
    <w:p w:rsidR="000A7EE4" w:rsidRPr="00AB128B" w:rsidRDefault="000A7EE4" w:rsidP="000A7EE4">
      <w:pPr>
        <w:pStyle w:val="Prrafodelista"/>
        <w:numPr>
          <w:ilvl w:val="0"/>
          <w:numId w:val="1"/>
        </w:numPr>
        <w:tabs>
          <w:tab w:val="left" w:pos="709"/>
        </w:tabs>
        <w:spacing w:line="360" w:lineRule="auto"/>
        <w:ind w:left="0" w:right="51" w:firstLine="0"/>
        <w:jc w:val="both"/>
        <w:rPr>
          <w:rFonts w:ascii="Palatino Linotype" w:hAnsi="Palatino Linotype" w:cs="Arial"/>
          <w:noProof/>
          <w:sz w:val="24"/>
        </w:rPr>
      </w:pPr>
      <w:r w:rsidRPr="009B5E38">
        <w:rPr>
          <w:rFonts w:ascii="Palatino Linotype" w:hAnsi="Palatino Linotype" w:cs="Arial"/>
          <w:noProof/>
          <w:sz w:val="24"/>
        </w:rPr>
        <w:t xml:space="preserve">Numerales que compelen al </w:t>
      </w:r>
      <w:r w:rsidRPr="009B5E38">
        <w:rPr>
          <w:rFonts w:ascii="Palatino Linotype" w:hAnsi="Palatino Linotype" w:cs="Arial"/>
          <w:b/>
          <w:noProof/>
          <w:sz w:val="24"/>
        </w:rPr>
        <w:t>SUJETO OBLIGADO</w:t>
      </w:r>
      <w:r w:rsidRPr="009B5E38">
        <w:rPr>
          <w:rFonts w:ascii="Palatino Linotype" w:hAnsi="Palatino Linotype" w:cs="Arial"/>
          <w:noProof/>
          <w:sz w:val="24"/>
        </w:rPr>
        <w:t xml:space="preserve"> a apegarse en todo momento a los criterios ya expuestos, imipidiendo a este Órgano Colegiado cuestionar la veracidad de la información.</w:t>
      </w:r>
    </w:p>
    <w:p w:rsidR="000A7EE4" w:rsidRPr="009B5E38" w:rsidRDefault="000A7EE4" w:rsidP="000A7EE4">
      <w:pPr>
        <w:spacing w:line="360" w:lineRule="auto"/>
        <w:ind w:right="49"/>
        <w:contextualSpacing/>
        <w:jc w:val="both"/>
        <w:rPr>
          <w:rFonts w:ascii="Palatino Linotype" w:eastAsia="MS Gothic" w:hAnsi="Palatino Linotype" w:cstheme="majorBidi"/>
          <w:i/>
          <w:lang w:val="es-ES_tradnl" w:eastAsia="es-ES"/>
        </w:rPr>
      </w:pPr>
    </w:p>
    <w:p w:rsidR="000A7EE4" w:rsidRPr="00A974C5" w:rsidRDefault="000A7EE4" w:rsidP="000A7EE4">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9B5E38">
        <w:rPr>
          <w:rFonts w:ascii="Palatino Linotype" w:hAnsi="Palatino Linotype"/>
          <w:lang w:val="es-ES"/>
        </w:rPr>
        <w:lastRenderedPageBreak/>
        <w:t>Por otra parte, se aprecia que el Sujeto Obligado, no remitió las documentales tal cual obran en sus archivos, sin embargo</w:t>
      </w:r>
      <w:r>
        <w:rPr>
          <w:rFonts w:ascii="Palatino Linotype" w:hAnsi="Palatino Linotype"/>
          <w:lang w:val="es-ES"/>
        </w:rPr>
        <w:t>,</w:t>
      </w:r>
      <w:r w:rsidRPr="009B5E38">
        <w:rPr>
          <w:rFonts w:ascii="Palatino Linotype" w:hAnsi="Palatino Linotype"/>
          <w:lang w:val="es-ES"/>
        </w:rPr>
        <w:t xml:space="preserve"> elaboró un documento ad hoc para dar cabal cumplimiento al derecho de acceso a la información del particular aún y </w:t>
      </w:r>
      <w:r w:rsidRPr="009B5E38">
        <w:rPr>
          <w:rFonts w:ascii="Palatino Linotype" w:hAnsi="Palatino Linotype"/>
          <w:b/>
          <w:lang w:val="es-ES"/>
        </w:rPr>
        <w:t>cuando no es una obligación de las autoridades</w:t>
      </w:r>
      <w:r w:rsidRPr="009B5E38">
        <w:rPr>
          <w:rFonts w:ascii="Palatino Linotype" w:hAnsi="Palatino Linotype"/>
          <w:lang w:val="es-ES"/>
        </w:rPr>
        <w:t xml:space="preserve"> tal y como lo señala </w:t>
      </w:r>
      <w:r w:rsidRPr="009B5E38">
        <w:rPr>
          <w:rFonts w:ascii="Palatino Linotype" w:hAnsi="Palatino Linotype" w:cs="Arial"/>
        </w:rPr>
        <w:t xml:space="preserve">el Criterio 09-10, emitido por </w:t>
      </w:r>
      <w:r w:rsidRPr="009B5E38">
        <w:rPr>
          <w:rFonts w:ascii="Palatino Linotype" w:eastAsia="Arial Unicode MS" w:hAnsi="Palatino Linotype" w:cs="Arial"/>
        </w:rPr>
        <w:t xml:space="preserve">el Pleno del entonces </w:t>
      </w:r>
      <w:r w:rsidRPr="009B5E38">
        <w:rPr>
          <w:rFonts w:ascii="Palatino Linotype" w:eastAsia="Arial Unicode MS" w:hAnsi="Palatino Linotype" w:cs="Arial"/>
          <w:bCs/>
        </w:rPr>
        <w:t xml:space="preserve">Instituto Federal de Acceso a la Información y Protección de Datos, </w:t>
      </w:r>
      <w:r w:rsidRPr="009B5E38">
        <w:rPr>
          <w:rFonts w:ascii="Palatino Linotype" w:eastAsia="Arial Unicode MS" w:hAnsi="Palatino Linotype" w:cs="Arial"/>
        </w:rPr>
        <w:t>ahora Instituto Nacional de Transparencia, Acceso a la Información y Protección de Datos Personales,</w:t>
      </w:r>
      <w:r w:rsidRPr="009B5E38">
        <w:rPr>
          <w:rFonts w:ascii="Palatino Linotype" w:hAnsi="Palatino Linotype"/>
          <w:bCs/>
        </w:rPr>
        <w:t xml:space="preserve"> que dice:</w:t>
      </w:r>
      <w:r w:rsidRPr="009B5E38">
        <w:rPr>
          <w:rFonts w:ascii="Palatino Linotype" w:hAnsi="Palatino Linotype"/>
          <w:b/>
          <w:bCs/>
        </w:rPr>
        <w:t xml:space="preserve"> </w:t>
      </w:r>
    </w:p>
    <w:p w:rsidR="000A7EE4" w:rsidRPr="009B5E38" w:rsidRDefault="000A7EE4" w:rsidP="000A7EE4">
      <w:pPr>
        <w:spacing w:line="360" w:lineRule="auto"/>
        <w:ind w:right="49"/>
        <w:contextualSpacing/>
        <w:jc w:val="both"/>
        <w:rPr>
          <w:rFonts w:ascii="Palatino Linotype" w:eastAsia="MS Gothic" w:hAnsi="Palatino Linotype" w:cstheme="majorBidi"/>
          <w:i/>
          <w:lang w:val="es-ES_tradnl" w:eastAsia="es-ES"/>
        </w:rPr>
      </w:pPr>
    </w:p>
    <w:p w:rsidR="000A7EE4" w:rsidRPr="00412BF6"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0A7EE4" w:rsidRPr="00412BF6"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Expedientes:</w:t>
      </w:r>
    </w:p>
    <w:p w:rsidR="000A7EE4" w:rsidRPr="00412BF6"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0438/08 Pemex Exploración y Producción – Alonso Lujambio Irazábal</w:t>
      </w:r>
    </w:p>
    <w:p w:rsidR="000A7EE4" w:rsidRPr="00412BF6"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1751/09 Laboratorios de Biológicos y Reactivos de México S.A. de C.V. –</w:t>
      </w:r>
    </w:p>
    <w:p w:rsidR="000A7EE4" w:rsidRPr="00412BF6"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María Marván Laborde</w:t>
      </w:r>
    </w:p>
    <w:p w:rsidR="000A7EE4" w:rsidRPr="00412BF6"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2868/09 Consejo Nacional de Ciencia y Tecnología – Jacqueline Peschard</w:t>
      </w:r>
    </w:p>
    <w:p w:rsidR="000A7EE4" w:rsidRPr="00412BF6"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Mariscal</w:t>
      </w:r>
    </w:p>
    <w:p w:rsidR="000A7EE4"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5160/09 Secretaría de Hacienda y Crédito Público – Ángel Trinidad Zaldívar</w:t>
      </w:r>
    </w:p>
    <w:p w:rsidR="000A7EE4" w:rsidRPr="009B5E38" w:rsidRDefault="000A7EE4" w:rsidP="0031036A">
      <w:pPr>
        <w:spacing w:line="276" w:lineRule="auto"/>
        <w:ind w:left="851" w:right="851"/>
        <w:jc w:val="both"/>
        <w:rPr>
          <w:rFonts w:ascii="Palatino Linotype" w:hAnsi="Palatino Linotype" w:cs="Arial"/>
          <w:i/>
        </w:rPr>
      </w:pPr>
      <w:r w:rsidRPr="00412BF6">
        <w:rPr>
          <w:rFonts w:ascii="Palatino Linotype" w:hAnsi="Palatino Linotype" w:cs="Arial"/>
          <w:i/>
        </w:rPr>
        <w:t>0304/10 Instituto Nacional de Cancerología – Jacqueline Peschard Mariscal</w:t>
      </w:r>
    </w:p>
    <w:p w:rsidR="000A7EE4" w:rsidRPr="00495CFF" w:rsidRDefault="000A7EE4" w:rsidP="000A7EE4">
      <w:pPr>
        <w:pStyle w:val="Prrafodelista"/>
        <w:numPr>
          <w:ilvl w:val="0"/>
          <w:numId w:val="1"/>
        </w:numPr>
        <w:tabs>
          <w:tab w:val="left" w:pos="851"/>
        </w:tabs>
        <w:spacing w:before="240" w:after="240" w:line="360" w:lineRule="auto"/>
        <w:ind w:left="0" w:right="49" w:firstLine="0"/>
        <w:jc w:val="both"/>
      </w:pPr>
      <w:r w:rsidRPr="009B5E38">
        <w:rPr>
          <w:rFonts w:ascii="Palatino Linotype" w:hAnsi="Palatino Linotype"/>
          <w:sz w:val="24"/>
          <w:lang w:val="es-ES"/>
        </w:rPr>
        <w:t xml:space="preserve">Entonces, dado a que el criterio en mención establece que las autoridades </w:t>
      </w:r>
      <w:r w:rsidRPr="009B5E38">
        <w:rPr>
          <w:rFonts w:ascii="Palatino Linotype" w:hAnsi="Palatino Linotype"/>
          <w:b/>
          <w:sz w:val="24"/>
          <w:lang w:val="es-ES"/>
        </w:rPr>
        <w:t xml:space="preserve">no están obligadas a generar documentos “ad hoc” </w:t>
      </w:r>
      <w:r w:rsidRPr="009B5E38">
        <w:rPr>
          <w:rFonts w:ascii="Palatino Linotype" w:hAnsi="Palatino Linotype"/>
          <w:sz w:val="24"/>
          <w:lang w:val="es-ES"/>
        </w:rPr>
        <w:t xml:space="preserve">en contrario sensu, dicho criterio se </w:t>
      </w:r>
      <w:r w:rsidRPr="009B5E38">
        <w:rPr>
          <w:rFonts w:ascii="Palatino Linotype" w:hAnsi="Palatino Linotype"/>
          <w:sz w:val="24"/>
          <w:lang w:val="es-ES"/>
        </w:rPr>
        <w:lastRenderedPageBreak/>
        <w:t xml:space="preserve">puede interpretar resultando que las autoridades no están impedidas a generar documentos “ad hoc”, esto, siempre que con dicho documento elaborado se dé cabal cumplimiento a los requerimientos planteados. </w:t>
      </w:r>
    </w:p>
    <w:p w:rsidR="000A7EE4" w:rsidRDefault="000A7EE4" w:rsidP="000A7EE4">
      <w:pPr>
        <w:pStyle w:val="Prrafodelista"/>
        <w:tabs>
          <w:tab w:val="left" w:pos="851"/>
        </w:tabs>
        <w:spacing w:before="240" w:after="240" w:line="360" w:lineRule="auto"/>
        <w:ind w:left="0" w:right="49"/>
        <w:jc w:val="both"/>
      </w:pPr>
    </w:p>
    <w:p w:rsidR="000A7EE4" w:rsidRPr="00495CFF" w:rsidRDefault="000A7EE4" w:rsidP="000A7EE4">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495CFF">
        <w:rPr>
          <w:rFonts w:ascii="Palatino Linotype" w:hAnsi="Palatino Linotype"/>
          <w:sz w:val="24"/>
          <w:lang w:val="es-ES"/>
        </w:rPr>
        <w:t xml:space="preserve">Refuerza lo anteriormente señalado el </w:t>
      </w:r>
      <w:r w:rsidRPr="00495CFF">
        <w:rPr>
          <w:rFonts w:ascii="Palatino Linotype" w:hAnsi="Palatino Linotype" w:cs="Arial"/>
          <w:bCs/>
          <w:sz w:val="24"/>
        </w:rPr>
        <w:t>artículo 12 de la Ley de Transparencia y Acceso a la Información Pública del Estado de México y Municipios que establece:</w:t>
      </w:r>
    </w:p>
    <w:p w:rsidR="000A7EE4" w:rsidRDefault="000A7EE4" w:rsidP="000A7EE4">
      <w:pPr>
        <w:pStyle w:val="Prrafodelista"/>
        <w:spacing w:line="360" w:lineRule="auto"/>
        <w:ind w:left="644"/>
        <w:jc w:val="both"/>
        <w:rPr>
          <w:rFonts w:ascii="Palatino Linotype" w:hAnsi="Palatino Linotype" w:cs="Arial"/>
          <w:bCs/>
        </w:rPr>
      </w:pPr>
    </w:p>
    <w:p w:rsidR="000A7EE4" w:rsidRPr="009B5E38" w:rsidRDefault="000A7EE4" w:rsidP="0031036A">
      <w:pPr>
        <w:pStyle w:val="Prrafodelista"/>
        <w:spacing w:line="276" w:lineRule="auto"/>
        <w:ind w:left="851" w:right="822"/>
        <w:jc w:val="both"/>
        <w:rPr>
          <w:rFonts w:ascii="Palatino Linotype" w:hAnsi="Palatino Linotype" w:cs="Arial"/>
          <w:bCs/>
          <w:i/>
        </w:rPr>
      </w:pPr>
      <w:r>
        <w:rPr>
          <w:rFonts w:ascii="Palatino Linotype" w:hAnsi="Palatino Linotype" w:cs="Arial"/>
          <w:b/>
          <w:bCs/>
          <w:i/>
        </w:rPr>
        <w:t>“</w:t>
      </w:r>
      <w:r w:rsidRPr="009B5E38">
        <w:rPr>
          <w:rFonts w:ascii="Palatino Linotype" w:hAnsi="Palatino Linotype" w:cs="Arial"/>
          <w:b/>
          <w:bCs/>
          <w:i/>
        </w:rPr>
        <w:t xml:space="preserve">Artículo 12. </w:t>
      </w:r>
      <w:r w:rsidRPr="009B5E38">
        <w:rPr>
          <w:rFonts w:ascii="Palatino Linotype" w:hAnsi="Palatino Linotype" w:cs="Arial"/>
          <w:bCs/>
          <w:i/>
        </w:rPr>
        <w:t>Quienes generen, recopilen, administren, manejen, procesen, archiven o conserven información pública serán responsables de la misma en los términos de las disposiciones jurídicas aplicables.</w:t>
      </w:r>
    </w:p>
    <w:p w:rsidR="000A7EE4" w:rsidRPr="009B5E38" w:rsidRDefault="000A7EE4" w:rsidP="0031036A">
      <w:pPr>
        <w:pStyle w:val="Prrafodelista"/>
        <w:spacing w:line="276" w:lineRule="auto"/>
        <w:ind w:left="851" w:right="822"/>
        <w:jc w:val="both"/>
        <w:rPr>
          <w:rFonts w:ascii="Palatino Linotype" w:hAnsi="Palatino Linotype" w:cs="Arial"/>
          <w:bCs/>
          <w:i/>
        </w:rPr>
      </w:pPr>
    </w:p>
    <w:p w:rsidR="000A7EE4" w:rsidRPr="009B5E38" w:rsidRDefault="000A7EE4" w:rsidP="0031036A">
      <w:pPr>
        <w:pStyle w:val="Prrafodelista"/>
        <w:spacing w:line="276" w:lineRule="auto"/>
        <w:ind w:left="851" w:right="822"/>
        <w:jc w:val="both"/>
        <w:rPr>
          <w:rFonts w:ascii="Palatino Linotype" w:hAnsi="Palatino Linotype" w:cs="Arial"/>
          <w:bCs/>
          <w:i/>
        </w:rPr>
      </w:pPr>
      <w:r w:rsidRPr="009B5E38">
        <w:rPr>
          <w:rFonts w:ascii="Palatino Linotype" w:hAnsi="Palatino Linotype" w:cs="Arial"/>
          <w:bCs/>
          <w:i/>
        </w:rPr>
        <w:t xml:space="preserve">Los sujetos obligados </w:t>
      </w:r>
      <w:r w:rsidRPr="009B5E38">
        <w:rPr>
          <w:rFonts w:ascii="Palatino Linotype" w:hAnsi="Palatino Linotype" w:cs="Arial"/>
          <w:b/>
          <w:bCs/>
          <w:i/>
        </w:rPr>
        <w:t>sólo proporcionarán la información pública que se les requiera y que obre en sus archivos</w:t>
      </w:r>
      <w:r w:rsidRPr="009B5E38">
        <w:rPr>
          <w:rFonts w:ascii="Palatino Linotype" w:hAnsi="Palatino Linotype" w:cs="Arial"/>
          <w:bCs/>
          <w:i/>
        </w:rPr>
        <w:t xml:space="preserve"> </w:t>
      </w:r>
      <w:r w:rsidRPr="009B5E38">
        <w:rPr>
          <w:rFonts w:ascii="Palatino Linotype" w:hAnsi="Palatino Linotype" w:cs="Arial"/>
          <w:b/>
          <w:bCs/>
          <w:i/>
        </w:rPr>
        <w:t xml:space="preserve">y en el </w:t>
      </w:r>
      <w:r w:rsidRPr="009B5E38">
        <w:rPr>
          <w:rFonts w:ascii="Palatino Linotype" w:hAnsi="Palatino Linotype" w:cs="Arial"/>
          <w:b/>
          <w:bCs/>
          <w:i/>
          <w:u w:val="single"/>
        </w:rPr>
        <w:t>estado en que ésta se encuentre.</w:t>
      </w:r>
      <w:r w:rsidRPr="009B5E38">
        <w:rPr>
          <w:rFonts w:ascii="Palatino Linotype" w:hAnsi="Palatino Linotype" w:cs="Arial"/>
          <w:bCs/>
          <w:i/>
        </w:rPr>
        <w:t xml:space="preserve"> La obligación de proporcionar información </w:t>
      </w:r>
      <w:r w:rsidRPr="009B5E38">
        <w:rPr>
          <w:rFonts w:ascii="Palatino Linotype" w:hAnsi="Palatino Linotype" w:cs="Arial"/>
          <w:b/>
          <w:bCs/>
          <w:i/>
        </w:rPr>
        <w:t>no comprende</w:t>
      </w:r>
      <w:r w:rsidRPr="009B5E38">
        <w:rPr>
          <w:rFonts w:ascii="Palatino Linotype" w:hAnsi="Palatino Linotype" w:cs="Arial"/>
          <w:bCs/>
          <w:i/>
        </w:rPr>
        <w:t xml:space="preserve"> el procesamiento de la misma, ni el presentarla conforme al interés del solicitante; no estarán obligados a generarla, resumirla, efectuar cálculos o práctica investigaciones.</w:t>
      </w:r>
      <w:r>
        <w:rPr>
          <w:rFonts w:ascii="Palatino Linotype" w:hAnsi="Palatino Linotype" w:cs="Arial"/>
          <w:bCs/>
          <w:i/>
        </w:rPr>
        <w:t>”</w:t>
      </w:r>
    </w:p>
    <w:p w:rsidR="000A7EE4" w:rsidRPr="009B5E38" w:rsidRDefault="000A7EE4" w:rsidP="000A7EE4">
      <w:pPr>
        <w:pStyle w:val="Prrafodelista"/>
        <w:spacing w:line="360" w:lineRule="auto"/>
        <w:ind w:left="644"/>
        <w:jc w:val="both"/>
        <w:rPr>
          <w:rFonts w:ascii="Palatino Linotype" w:hAnsi="Palatino Linotype" w:cs="Arial"/>
          <w:bCs/>
        </w:rPr>
      </w:pPr>
    </w:p>
    <w:p w:rsidR="000A7EE4" w:rsidRDefault="000A7EE4" w:rsidP="000A7EE4">
      <w:pPr>
        <w:pStyle w:val="Prrafodelista"/>
        <w:numPr>
          <w:ilvl w:val="0"/>
          <w:numId w:val="1"/>
        </w:numPr>
        <w:spacing w:line="360" w:lineRule="auto"/>
        <w:ind w:left="0" w:firstLine="0"/>
        <w:jc w:val="both"/>
        <w:rPr>
          <w:rFonts w:ascii="Palatino Linotype" w:hAnsi="Palatino Linotype" w:cs="Arial"/>
          <w:bCs/>
          <w:sz w:val="24"/>
        </w:rPr>
      </w:pPr>
      <w:r w:rsidRPr="00495CFF">
        <w:rPr>
          <w:rFonts w:ascii="Palatino Linotype" w:hAnsi="Palatino Linotype" w:cs="Arial"/>
          <w:bCs/>
          <w:sz w:val="24"/>
        </w:rPr>
        <w:t xml:space="preserve">Se señala que no están obligados a procesar, ni presentarla conforme al interés del solicitante, resumirla, efectuar cálculos o generar nuevos documentos para atender una solicitud, la ley tampoco lo prohíbe, es decir, los </w:t>
      </w:r>
      <w:r w:rsidRPr="00495CFF">
        <w:rPr>
          <w:rFonts w:ascii="Palatino Linotype" w:hAnsi="Palatino Linotype" w:cs="Arial"/>
          <w:b/>
          <w:bCs/>
          <w:sz w:val="24"/>
        </w:rPr>
        <w:t>SUJETOS OBLIGADOS</w:t>
      </w:r>
      <w:r w:rsidRPr="00495CFF">
        <w:rPr>
          <w:rFonts w:ascii="Palatino Linotype" w:hAnsi="Palatino Linotype" w:cs="Arial"/>
          <w:bCs/>
          <w:sz w:val="24"/>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w:t>
      </w:r>
      <w:r w:rsidRPr="00495CFF">
        <w:rPr>
          <w:rFonts w:ascii="Palatino Linotype" w:hAnsi="Palatino Linotype" w:cs="Arial"/>
          <w:b/>
          <w:bCs/>
          <w:sz w:val="24"/>
        </w:rPr>
        <w:t>ad hoc</w:t>
      </w:r>
      <w:r w:rsidRPr="00495CFF">
        <w:rPr>
          <w:rFonts w:ascii="Palatino Linotype" w:hAnsi="Palatino Linotype" w:cs="Arial"/>
          <w:bCs/>
          <w:sz w:val="24"/>
        </w:rPr>
        <w:t>, puede llevar a cabo siempre y cuando se haga garantice el derecho.</w:t>
      </w:r>
    </w:p>
    <w:bookmarkEnd w:id="8"/>
    <w:bookmarkEnd w:id="9"/>
    <w:bookmarkEnd w:id="10"/>
    <w:p w:rsidR="000A7EE4" w:rsidRPr="0031036A" w:rsidRDefault="000A7EE4" w:rsidP="0031036A">
      <w:pPr>
        <w:rPr>
          <w:rFonts w:ascii="Palatino Linotype" w:eastAsia="MS Gothic" w:hAnsi="Palatino Linotype" w:cstheme="majorBidi"/>
          <w:lang w:val="es-ES" w:eastAsia="es-ES"/>
        </w:rPr>
      </w:pPr>
    </w:p>
    <w:p w:rsidR="000A7EE4" w:rsidRPr="00A974C5" w:rsidRDefault="000A7EE4" w:rsidP="000A7EE4">
      <w:pPr>
        <w:pStyle w:val="Prrafodelista"/>
        <w:numPr>
          <w:ilvl w:val="0"/>
          <w:numId w:val="1"/>
        </w:numPr>
        <w:spacing w:line="360" w:lineRule="auto"/>
        <w:ind w:left="0" w:firstLine="0"/>
        <w:jc w:val="both"/>
        <w:rPr>
          <w:rFonts w:ascii="Palatino Linotype" w:hAnsi="Palatino Linotype"/>
          <w:color w:val="000000" w:themeColor="text1"/>
          <w:sz w:val="28"/>
        </w:rPr>
      </w:pPr>
      <w:r w:rsidRPr="00AB128B">
        <w:rPr>
          <w:rFonts w:ascii="Palatino Linotype" w:eastAsia="MS Gothic" w:hAnsi="Palatino Linotype" w:cstheme="majorBidi"/>
          <w:sz w:val="24"/>
          <w:lang w:val="es-ES" w:eastAsia="es-ES"/>
        </w:rPr>
        <w:lastRenderedPageBreak/>
        <w:t xml:space="preserve">Atento a todo lo anteriormente señalado, resultan infundadas las razones o motivos de </w:t>
      </w:r>
      <w:r w:rsidRPr="00AB128B">
        <w:rPr>
          <w:rFonts w:ascii="Palatino Linotype" w:eastAsia="MS Gothic" w:hAnsi="Palatino Linotype" w:cstheme="majorBidi"/>
          <w:sz w:val="24"/>
          <w:lang w:eastAsia="es-ES"/>
        </w:rPr>
        <w:t xml:space="preserve">inconformidad hechos valer por el </w:t>
      </w:r>
      <w:r w:rsidRPr="00AB128B">
        <w:rPr>
          <w:rFonts w:ascii="Palatino Linotype" w:eastAsia="MS Gothic" w:hAnsi="Palatino Linotype" w:cstheme="majorBidi"/>
          <w:b/>
          <w:sz w:val="24"/>
          <w:lang w:eastAsia="es-ES"/>
        </w:rPr>
        <w:t>RECURRENTE, y</w:t>
      </w:r>
      <w:r w:rsidRPr="00AB128B">
        <w:rPr>
          <w:rFonts w:ascii="Palatino Linotype" w:eastAsia="MS Gothic" w:hAnsi="Palatino Linotype" w:cstheme="majorBidi"/>
          <w:sz w:val="24"/>
          <w:lang w:val="es-ES_tradnl" w:eastAsia="es-ES"/>
        </w:rPr>
        <w:t xml:space="preserve"> en términos del artículo 186 fracción II este Pleno determina procedente </w:t>
      </w:r>
      <w:r w:rsidRPr="00AB128B">
        <w:rPr>
          <w:rFonts w:ascii="Palatino Linotype" w:eastAsia="MS Gothic" w:hAnsi="Palatino Linotype" w:cstheme="majorBidi"/>
          <w:b/>
          <w:sz w:val="24"/>
          <w:lang w:val="es-ES_tradnl" w:eastAsia="es-ES"/>
        </w:rPr>
        <w:t>CONFIRMAR</w:t>
      </w:r>
      <w:r w:rsidRPr="00AB128B">
        <w:rPr>
          <w:rFonts w:ascii="Palatino Linotype" w:eastAsia="MS Gothic" w:hAnsi="Palatino Linotype" w:cstheme="majorBidi"/>
          <w:sz w:val="24"/>
          <w:lang w:val="es-ES_tradnl" w:eastAsia="es-ES"/>
        </w:rPr>
        <w:t xml:space="preserve"> la respuesta del presente recurso de revisión, toda vez que no hubo afectación al derecho de acceso a la información pública establecido constitucionalmente a favor del particular.</w:t>
      </w:r>
    </w:p>
    <w:p w:rsidR="000A7EE4" w:rsidRPr="00A974C5" w:rsidRDefault="000A7EE4" w:rsidP="000A7EE4">
      <w:pPr>
        <w:pStyle w:val="Prrafodelista"/>
        <w:rPr>
          <w:rFonts w:ascii="Palatino Linotype" w:eastAsia="Calibri" w:hAnsi="Palatino Linotype"/>
        </w:rPr>
      </w:pPr>
    </w:p>
    <w:p w:rsidR="000A7EE4" w:rsidRPr="00A974C5" w:rsidRDefault="000A7EE4" w:rsidP="000A7EE4">
      <w:pPr>
        <w:pStyle w:val="Prrafodelista"/>
        <w:numPr>
          <w:ilvl w:val="0"/>
          <w:numId w:val="1"/>
        </w:numPr>
        <w:spacing w:line="360" w:lineRule="auto"/>
        <w:ind w:left="0" w:firstLine="0"/>
        <w:jc w:val="both"/>
        <w:rPr>
          <w:rFonts w:ascii="Palatino Linotype" w:hAnsi="Palatino Linotype"/>
          <w:color w:val="000000" w:themeColor="text1"/>
          <w:sz w:val="32"/>
        </w:rPr>
      </w:pPr>
      <w:r w:rsidRPr="00A974C5">
        <w:rPr>
          <w:rFonts w:ascii="Palatino Linotype" w:eastAsia="Calibri" w:hAnsi="Palatino Linotype"/>
          <w:sz w:val="24"/>
        </w:rPr>
        <w:t xml:space="preserve">Por lo anteriormente expuesto y fundado, este </w:t>
      </w:r>
      <w:r w:rsidRPr="00A974C5">
        <w:rPr>
          <w:rFonts w:ascii="Palatino Linotype" w:eastAsia="Calibri" w:hAnsi="Palatino Linotype"/>
          <w:b/>
          <w:bCs/>
          <w:sz w:val="24"/>
        </w:rPr>
        <w:t>ÓRGANO GARANTE</w:t>
      </w:r>
      <w:r w:rsidRPr="00A974C5">
        <w:rPr>
          <w:rFonts w:ascii="Palatino Linotype" w:eastAsia="Calibri" w:hAnsi="Palatino Linotype"/>
          <w:sz w:val="24"/>
        </w:rPr>
        <w:t xml:space="preserve"> emite los siguientes:</w:t>
      </w:r>
    </w:p>
    <w:p w:rsidR="000A7EE4" w:rsidRPr="00ED3EBB" w:rsidRDefault="000A7EE4" w:rsidP="000A7EE4">
      <w:pPr>
        <w:spacing w:line="360" w:lineRule="auto"/>
        <w:contextualSpacing/>
        <w:jc w:val="both"/>
        <w:rPr>
          <w:rFonts w:ascii="Palatino Linotype" w:eastAsia="Calibri" w:hAnsi="Palatino Linotype"/>
        </w:rPr>
      </w:pPr>
    </w:p>
    <w:p w:rsidR="000A7EE4" w:rsidRPr="00ED3EBB" w:rsidRDefault="000A7EE4" w:rsidP="000A7EE4">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6" w:name="_Toc528153792"/>
      <w:bookmarkStart w:id="17" w:name="_Toc71158406"/>
      <w:bookmarkStart w:id="18" w:name="_Toc83301643"/>
      <w:r w:rsidRPr="00ED3EBB">
        <w:rPr>
          <w:rFonts w:ascii="Palatino Linotype" w:eastAsiaTheme="majorEastAsia" w:hAnsi="Palatino Linotype" w:cstheme="majorBidi"/>
          <w:b/>
          <w:color w:val="000000" w:themeColor="text1"/>
          <w:lang w:eastAsia="en-US"/>
        </w:rPr>
        <w:t>R E S O L U T I V O S</w:t>
      </w:r>
      <w:bookmarkEnd w:id="16"/>
      <w:bookmarkEnd w:id="17"/>
      <w:bookmarkEnd w:id="18"/>
    </w:p>
    <w:p w:rsidR="000A7EE4" w:rsidRPr="00ED3EBB" w:rsidRDefault="000A7EE4" w:rsidP="000A7EE4">
      <w:pPr>
        <w:keepNext/>
        <w:keepLines/>
        <w:spacing w:line="360" w:lineRule="auto"/>
        <w:jc w:val="center"/>
        <w:outlineLvl w:val="0"/>
        <w:rPr>
          <w:rFonts w:ascii="Palatino Linotype" w:eastAsiaTheme="majorEastAsia" w:hAnsi="Palatino Linotype" w:cstheme="majorBidi"/>
          <w:b/>
          <w:color w:val="000000" w:themeColor="text1"/>
          <w:lang w:eastAsia="en-US"/>
        </w:rPr>
      </w:pPr>
    </w:p>
    <w:p w:rsidR="000A7EE4" w:rsidRPr="00ED3EBB" w:rsidRDefault="000A7EE4" w:rsidP="000A7EE4">
      <w:pPr>
        <w:spacing w:line="360" w:lineRule="auto"/>
        <w:jc w:val="both"/>
        <w:rPr>
          <w:rFonts w:ascii="Palatino Linotype" w:eastAsiaTheme="minorEastAsia" w:hAnsi="Palatino Linotype" w:cs="Arial"/>
          <w:bCs/>
          <w:lang w:val="es-ES_tradnl" w:eastAsia="es-ES"/>
        </w:rPr>
      </w:pPr>
      <w:r w:rsidRPr="00ED3EBB">
        <w:rPr>
          <w:rFonts w:ascii="Palatino Linotype" w:hAnsi="Palatino Linotype" w:cs="Arial"/>
          <w:b/>
          <w:lang w:val="es-ES_tradnl" w:eastAsia="es-ES"/>
        </w:rPr>
        <w:t xml:space="preserve">PRIMERO. </w:t>
      </w:r>
      <w:r w:rsidRPr="00ED3EBB">
        <w:rPr>
          <w:rFonts w:ascii="Palatino Linotype" w:hAnsi="Palatino Linotype" w:cs="Arial"/>
          <w:lang w:val="es-ES_tradnl" w:eastAsia="es-ES"/>
        </w:rPr>
        <w:t>Resultan infundadas las</w:t>
      </w:r>
      <w:r w:rsidRPr="00ED3EBB">
        <w:rPr>
          <w:rFonts w:ascii="Palatino Linotype" w:hAnsi="Palatino Linotype" w:cs="Arial"/>
          <w:b/>
          <w:lang w:val="es-ES_tradnl" w:eastAsia="es-ES"/>
        </w:rPr>
        <w:t xml:space="preserve"> </w:t>
      </w:r>
      <w:r w:rsidRPr="00ED3EBB">
        <w:rPr>
          <w:rFonts w:ascii="Palatino Linotype" w:hAnsi="Palatino Linotype" w:cs="Arial"/>
          <w:lang w:val="es-ES" w:eastAsia="es-ES"/>
        </w:rPr>
        <w:t xml:space="preserve">razones o motivos de inconformidad hechos valer </w:t>
      </w:r>
      <w:r w:rsidRPr="00ED3EBB">
        <w:rPr>
          <w:rFonts w:ascii="Palatino Linotype" w:eastAsia="Calibri" w:hAnsi="Palatino Linotype" w:cs="Arial"/>
          <w:lang w:val="es-ES" w:eastAsia="es-ES"/>
        </w:rPr>
        <w:t xml:space="preserve">en el recurso de revisión </w:t>
      </w:r>
      <w:r w:rsidR="0031036A">
        <w:rPr>
          <w:rFonts w:ascii="Palatino Linotype" w:eastAsiaTheme="minorEastAsia" w:hAnsi="Palatino Linotype" w:cs="Arial"/>
          <w:b/>
          <w:bCs/>
          <w:lang w:val="es-ES_tradnl" w:eastAsia="es-ES"/>
        </w:rPr>
        <w:t>03738</w:t>
      </w:r>
      <w:r>
        <w:rPr>
          <w:rFonts w:ascii="Palatino Linotype" w:eastAsiaTheme="minorEastAsia" w:hAnsi="Palatino Linotype" w:cs="Arial"/>
          <w:b/>
          <w:bCs/>
          <w:lang w:val="es-ES_tradnl" w:eastAsia="es-ES"/>
        </w:rPr>
        <w:t>/INFOEM/IP/RR/2024</w:t>
      </w:r>
      <w:r w:rsidRPr="00ED3EBB">
        <w:rPr>
          <w:rFonts w:ascii="Palatino Linotype" w:eastAsiaTheme="minorEastAsia" w:hAnsi="Palatino Linotype" w:cs="Arial"/>
          <w:b/>
          <w:bCs/>
          <w:lang w:val="es-ES_tradnl" w:eastAsia="es-ES"/>
        </w:rPr>
        <w:t xml:space="preserve">, </w:t>
      </w:r>
      <w:r w:rsidRPr="00ED3EBB">
        <w:rPr>
          <w:rFonts w:ascii="Palatino Linotype" w:eastAsiaTheme="minorEastAsia" w:hAnsi="Palatino Linotype" w:cs="Arial"/>
          <w:bCs/>
          <w:lang w:val="es-ES_tradnl" w:eastAsia="es-ES"/>
        </w:rPr>
        <w:t xml:space="preserve">en términos del </w:t>
      </w:r>
      <w:r w:rsidRPr="00ED3EBB">
        <w:rPr>
          <w:rFonts w:ascii="Palatino Linotype" w:eastAsiaTheme="minorEastAsia" w:hAnsi="Palatino Linotype" w:cs="Arial"/>
          <w:b/>
          <w:bCs/>
          <w:lang w:val="es-ES_tradnl" w:eastAsia="es-ES"/>
        </w:rPr>
        <w:t>Considerando</w:t>
      </w:r>
      <w:r w:rsidRPr="00ED3EBB">
        <w:rPr>
          <w:rFonts w:ascii="Palatino Linotype" w:eastAsiaTheme="minorEastAsia" w:hAnsi="Palatino Linotype" w:cs="Arial"/>
          <w:bCs/>
          <w:lang w:val="es-ES_tradnl" w:eastAsia="es-ES"/>
        </w:rPr>
        <w:t xml:space="preserve"> </w:t>
      </w:r>
      <w:r>
        <w:rPr>
          <w:rFonts w:ascii="Palatino Linotype" w:eastAsiaTheme="minorEastAsia" w:hAnsi="Palatino Linotype" w:cs="Arial"/>
          <w:b/>
          <w:bCs/>
          <w:lang w:val="es-ES_tradnl" w:eastAsia="es-ES"/>
        </w:rPr>
        <w:t>CUARTO</w:t>
      </w:r>
      <w:r w:rsidRPr="00ED3EBB">
        <w:rPr>
          <w:rFonts w:ascii="Palatino Linotype" w:eastAsiaTheme="minorEastAsia" w:hAnsi="Palatino Linotype" w:cs="Arial"/>
          <w:bCs/>
          <w:lang w:val="es-ES_tradnl" w:eastAsia="es-ES"/>
        </w:rPr>
        <w:t xml:space="preserve"> de la presente resolución.</w:t>
      </w:r>
    </w:p>
    <w:p w:rsidR="000A7EE4" w:rsidRPr="00ED3EBB" w:rsidRDefault="000A7EE4" w:rsidP="000A7EE4">
      <w:pPr>
        <w:spacing w:line="360" w:lineRule="auto"/>
        <w:jc w:val="both"/>
        <w:rPr>
          <w:rFonts w:ascii="Palatino Linotype" w:hAnsi="Palatino Linotype"/>
          <w:lang w:val="es-ES_tradnl" w:eastAsia="es-ES"/>
        </w:rPr>
      </w:pPr>
    </w:p>
    <w:p w:rsidR="000A7EE4" w:rsidRDefault="000A7EE4" w:rsidP="000A7EE4">
      <w:pPr>
        <w:spacing w:line="360" w:lineRule="auto"/>
        <w:jc w:val="both"/>
        <w:rPr>
          <w:rFonts w:ascii="Palatino Linotype" w:hAnsi="Palatino Linotype"/>
          <w:b/>
          <w:bCs/>
        </w:rPr>
      </w:pPr>
      <w:r w:rsidRPr="00ED3EBB">
        <w:rPr>
          <w:rFonts w:ascii="Palatino Linotype" w:eastAsiaTheme="minorEastAsia" w:hAnsi="Palatino Linotype"/>
          <w:b/>
          <w:lang w:val="es-ES_tradnl" w:eastAsia="es-ES"/>
        </w:rPr>
        <w:t>SEGUNDO.</w:t>
      </w:r>
      <w:r w:rsidRPr="00ED3EBB">
        <w:rPr>
          <w:rFonts w:ascii="Palatino Linotype" w:eastAsiaTheme="majorEastAsia" w:hAnsi="Palatino Linotype" w:cstheme="majorBidi"/>
          <w:b/>
          <w:color w:val="2E74B5" w:themeColor="accent1" w:themeShade="BF"/>
          <w:sz w:val="26"/>
          <w:szCs w:val="26"/>
          <w:lang w:val="es-ES_tradnl" w:eastAsia="es-ES"/>
        </w:rPr>
        <w:t xml:space="preserve"> </w:t>
      </w:r>
      <w:r w:rsidRPr="00ED3EBB">
        <w:rPr>
          <w:rFonts w:ascii="Palatino Linotype" w:eastAsia="Calibri" w:hAnsi="Palatino Linotype" w:cs="Arial"/>
          <w:lang w:val="es-ES" w:eastAsia="es-ES"/>
        </w:rPr>
        <w:t>Se</w:t>
      </w:r>
      <w:r w:rsidRPr="00ED3EBB">
        <w:rPr>
          <w:rFonts w:ascii="Palatino Linotype" w:eastAsia="Calibri" w:hAnsi="Palatino Linotype" w:cs="Arial"/>
          <w:b/>
          <w:lang w:val="es-ES" w:eastAsia="es-ES"/>
        </w:rPr>
        <w:t xml:space="preserve"> CONFIRMA </w:t>
      </w:r>
      <w:r>
        <w:rPr>
          <w:rFonts w:ascii="Palatino Linotype" w:eastAsia="Calibri" w:hAnsi="Palatino Linotype" w:cs="Arial"/>
          <w:lang w:val="es-ES" w:eastAsia="es-ES"/>
        </w:rPr>
        <w:t>la respuesta emitida por el</w:t>
      </w:r>
      <w:r w:rsidRPr="00ED3EBB">
        <w:rPr>
          <w:rFonts w:ascii="Palatino Linotype" w:eastAsia="Calibri" w:hAnsi="Palatino Linotype" w:cs="Arial"/>
          <w:lang w:val="es-ES" w:eastAsia="es-ES"/>
        </w:rPr>
        <w:t xml:space="preserve"> </w:t>
      </w:r>
      <w:r w:rsidR="0031036A">
        <w:rPr>
          <w:rFonts w:ascii="Palatino Linotype" w:eastAsiaTheme="minorEastAsia" w:hAnsi="Palatino Linotype" w:cs="Arial"/>
          <w:b/>
          <w:bCs/>
          <w:lang w:eastAsia="es-ES"/>
        </w:rPr>
        <w:t>Ayuntamiento de Toluca</w:t>
      </w:r>
      <w:r w:rsidRPr="00196C1B">
        <w:rPr>
          <w:rFonts w:ascii="Palatino Linotype" w:eastAsiaTheme="minorEastAsia" w:hAnsi="Palatino Linotype" w:cs="Arial"/>
          <w:b/>
          <w:bCs/>
          <w:lang w:val="es-ES" w:eastAsia="es-ES"/>
        </w:rPr>
        <w:t xml:space="preserve"> </w:t>
      </w:r>
      <w:r w:rsidRPr="00ED3EBB">
        <w:rPr>
          <w:rFonts w:ascii="Palatino Linotype" w:eastAsia="Calibri" w:hAnsi="Palatino Linotype" w:cs="Arial"/>
          <w:lang w:val="es-ES" w:eastAsia="es-ES"/>
        </w:rPr>
        <w:t xml:space="preserve">a la solicitud </w:t>
      </w:r>
      <w:r w:rsidR="0031036A" w:rsidRPr="0031036A">
        <w:rPr>
          <w:rFonts w:ascii="Palatino Linotype" w:hAnsi="Palatino Linotype"/>
          <w:b/>
          <w:bCs/>
        </w:rPr>
        <w:t>01172/TOLUCA/IP/2024</w:t>
      </w:r>
      <w:r w:rsidR="00C819D4">
        <w:rPr>
          <w:rFonts w:ascii="Palatino Linotype" w:hAnsi="Palatino Linotype"/>
          <w:b/>
          <w:bCs/>
        </w:rPr>
        <w:t>.</w:t>
      </w:r>
    </w:p>
    <w:p w:rsidR="00C819D4" w:rsidRPr="00090BBA" w:rsidRDefault="00C819D4" w:rsidP="000A7EE4">
      <w:pPr>
        <w:spacing w:line="360" w:lineRule="auto"/>
        <w:jc w:val="both"/>
        <w:rPr>
          <w:rFonts w:ascii="Palatino Linotype" w:hAnsi="Palatino Linotype"/>
          <w:b/>
          <w:bCs/>
        </w:rPr>
      </w:pPr>
    </w:p>
    <w:p w:rsidR="000A7EE4" w:rsidRPr="00ED3EBB" w:rsidRDefault="000A7EE4" w:rsidP="000A7EE4">
      <w:pPr>
        <w:spacing w:line="360" w:lineRule="auto"/>
        <w:jc w:val="both"/>
        <w:rPr>
          <w:rFonts w:ascii="Palatino Linotype" w:eastAsia="Calibri" w:hAnsi="Palatino Linotype" w:cs="Arial"/>
          <w:lang w:val="es-ES" w:eastAsia="es-ES"/>
        </w:rPr>
      </w:pPr>
    </w:p>
    <w:p w:rsidR="000A7EE4" w:rsidRPr="00ED3EBB" w:rsidRDefault="000A7EE4" w:rsidP="000A7EE4">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ED3EBB">
        <w:rPr>
          <w:rFonts w:ascii="Palatino Linotype" w:eastAsia="Palatino Linotype" w:hAnsi="Palatino Linotype" w:cs="Palatino Linotype"/>
          <w:b/>
          <w:lang w:val="es-ES_tradnl" w:eastAsia="es-ES"/>
        </w:rPr>
        <w:t xml:space="preserve">TERCERO. REMÍTASE, </w:t>
      </w:r>
      <w:r w:rsidRPr="00ED3EBB">
        <w:rPr>
          <w:rFonts w:ascii="Palatino Linotype" w:eastAsia="Palatino Linotype" w:hAnsi="Palatino Linotype" w:cs="Palatino Linotype"/>
          <w:lang w:val="es-ES_tradnl" w:eastAsia="es-ES"/>
        </w:rPr>
        <w:t xml:space="preserve">vía Sistema de Acceso a la Información Mexiquense (SAIMEX), la presente resolución al Titular de la Unidad de Transparencia del </w:t>
      </w:r>
      <w:r w:rsidRPr="00ED3EBB">
        <w:rPr>
          <w:rFonts w:ascii="Palatino Linotype" w:eastAsia="Palatino Linotype" w:hAnsi="Palatino Linotype" w:cs="Palatino Linotype"/>
          <w:b/>
          <w:lang w:val="es-ES_tradnl" w:eastAsia="es-ES"/>
        </w:rPr>
        <w:t>SUJETO OBLIGADO.</w:t>
      </w:r>
    </w:p>
    <w:p w:rsidR="000A7EE4" w:rsidRPr="00ED3EBB" w:rsidRDefault="000A7EE4" w:rsidP="000A7EE4">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rsidR="000A7EE4" w:rsidRPr="00ED3EBB" w:rsidRDefault="000A7EE4" w:rsidP="000A7EE4">
      <w:pPr>
        <w:shd w:val="clear" w:color="auto" w:fill="FFFFFF"/>
        <w:spacing w:line="360" w:lineRule="auto"/>
        <w:jc w:val="both"/>
        <w:rPr>
          <w:rFonts w:ascii="Palatino Linotype" w:eastAsiaTheme="minorEastAsia" w:hAnsi="Palatino Linotype"/>
          <w:lang w:val="es-ES_tradnl" w:eastAsia="es-ES"/>
        </w:rPr>
      </w:pPr>
      <w:r w:rsidRPr="00ED3EBB">
        <w:rPr>
          <w:rFonts w:ascii="Palatino Linotype" w:hAnsi="Palatino Linotype" w:cs="Arial"/>
          <w:b/>
          <w:lang w:val="es-ES_tradnl" w:eastAsia="es-ES"/>
        </w:rPr>
        <w:t xml:space="preserve">CUARTO. </w:t>
      </w:r>
      <w:r w:rsidRPr="00ED3EBB">
        <w:rPr>
          <w:rFonts w:ascii="Palatino Linotype" w:hAnsi="Palatino Linotype"/>
          <w:b/>
          <w:bCs/>
          <w:lang w:val="es-ES" w:eastAsia="es-ES"/>
        </w:rPr>
        <w:t>Notifíquese a</w:t>
      </w:r>
      <w:r w:rsidRPr="00ED3EBB">
        <w:rPr>
          <w:rFonts w:ascii="Palatino Linotype" w:eastAsiaTheme="minorEastAsia" w:hAnsi="Palatino Linotype"/>
          <w:b/>
          <w:lang w:val="es-ES_tradnl" w:eastAsia="es-ES"/>
        </w:rPr>
        <w:t xml:space="preserve">l RECURRENTE </w:t>
      </w:r>
      <w:r w:rsidRPr="00ED3EBB">
        <w:rPr>
          <w:rFonts w:ascii="Palatino Linotype" w:eastAsiaTheme="minorEastAsia" w:hAnsi="Palatino Linotype"/>
          <w:lang w:val="es-ES_tradnl" w:eastAsia="es-ES"/>
        </w:rPr>
        <w:t>la presente resolución</w:t>
      </w:r>
      <w:r>
        <w:rPr>
          <w:rFonts w:ascii="Palatino Linotype" w:eastAsiaTheme="minorEastAsia" w:hAnsi="Palatino Linotype"/>
          <w:lang w:val="es-ES_tradnl" w:eastAsia="es-ES"/>
        </w:rPr>
        <w:t xml:space="preserve"> vía SAIMEX</w:t>
      </w:r>
      <w:r w:rsidRPr="00ED3EBB">
        <w:rPr>
          <w:rFonts w:ascii="Palatino Linotype" w:eastAsiaTheme="minorEastAsia" w:hAnsi="Palatino Linotype"/>
          <w:lang w:val="es-ES_tradnl" w:eastAsia="es-ES"/>
        </w:rPr>
        <w:t>.</w:t>
      </w:r>
    </w:p>
    <w:p w:rsidR="000A7EE4" w:rsidRPr="00ED3EBB" w:rsidRDefault="000A7EE4" w:rsidP="000A7EE4">
      <w:pPr>
        <w:shd w:val="clear" w:color="auto" w:fill="FFFFFF"/>
        <w:spacing w:line="360" w:lineRule="auto"/>
        <w:jc w:val="both"/>
        <w:rPr>
          <w:rFonts w:ascii="Palatino Linotype" w:eastAsiaTheme="minorEastAsia" w:hAnsi="Palatino Linotype"/>
          <w:lang w:val="es-ES_tradnl" w:eastAsia="es-ES"/>
        </w:rPr>
      </w:pPr>
    </w:p>
    <w:p w:rsidR="000A7EE4" w:rsidRDefault="000A7EE4" w:rsidP="000A7EE4">
      <w:pPr>
        <w:spacing w:before="240" w:after="240" w:line="360" w:lineRule="auto"/>
        <w:jc w:val="both"/>
        <w:rPr>
          <w:rFonts w:ascii="Palatino Linotype" w:eastAsia="MS Mincho" w:hAnsi="Palatino Linotype"/>
          <w:lang w:val="es-ES" w:eastAsia="es-ES"/>
        </w:rPr>
      </w:pPr>
      <w:r w:rsidRPr="00ED3EBB">
        <w:rPr>
          <w:rFonts w:ascii="Palatino Linotype" w:eastAsia="MS Mincho" w:hAnsi="Palatino Linotype"/>
          <w:b/>
          <w:lang w:eastAsia="es-ES"/>
        </w:rPr>
        <w:lastRenderedPageBreak/>
        <w:t>QUINTO.</w:t>
      </w:r>
      <w:r w:rsidRPr="00ED3EBB">
        <w:rPr>
          <w:rFonts w:ascii="Palatino Linotype" w:eastAsia="MS Mincho" w:hAnsi="Palatino Linotype"/>
          <w:lang w:eastAsia="es-ES"/>
        </w:rPr>
        <w:t xml:space="preserve"> </w:t>
      </w:r>
      <w:r w:rsidRPr="00ED3EBB">
        <w:rPr>
          <w:rFonts w:ascii="Palatino Linotype" w:eastAsia="MS Mincho" w:hAnsi="Palatino Linotype"/>
          <w:lang w:val="es-ES" w:eastAsia="es-ES"/>
        </w:rPr>
        <w:t xml:space="preserve">Se hace del conocimiento del </w:t>
      </w:r>
      <w:r w:rsidRPr="00ED3EBB">
        <w:rPr>
          <w:rFonts w:ascii="Palatino Linotype" w:eastAsiaTheme="minorEastAsia" w:hAnsi="Palatino Linotype"/>
          <w:b/>
          <w:lang w:val="es-ES_tradnl" w:eastAsia="es-ES"/>
        </w:rPr>
        <w:t xml:space="preserve">RECURRENTE </w:t>
      </w:r>
      <w:r w:rsidRPr="00ED3EBB">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ED3EBB">
        <w:rPr>
          <w:rFonts w:ascii="Palatino Linotype" w:eastAsia="MS Mincho" w:hAnsi="Palatino Linotype"/>
          <w:bCs/>
          <w:lang w:val="es-ES" w:eastAsia="es-ES"/>
        </w:rPr>
        <w:t>vía juicio de amparo</w:t>
      </w:r>
      <w:r w:rsidRPr="00ED3EBB">
        <w:rPr>
          <w:rFonts w:ascii="Palatino Linotype" w:eastAsia="MS Mincho" w:hAnsi="Palatino Linotype"/>
          <w:lang w:val="es-ES" w:eastAsia="es-ES"/>
        </w:rPr>
        <w:t> en los términos de las leyes aplicables</w:t>
      </w:r>
      <w:r>
        <w:rPr>
          <w:rFonts w:ascii="Palatino Linotype" w:eastAsia="MS Mincho" w:hAnsi="Palatino Linotype"/>
          <w:lang w:val="es-ES" w:eastAsia="es-ES"/>
        </w:rPr>
        <w:t>.</w:t>
      </w:r>
    </w:p>
    <w:p w:rsidR="009469B5" w:rsidRPr="003C7186" w:rsidRDefault="009469B5" w:rsidP="009469B5">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rsidR="009469B5" w:rsidRPr="00902BA4" w:rsidRDefault="009469B5" w:rsidP="009469B5">
      <w:pPr>
        <w:widowControl w:val="0"/>
        <w:autoSpaceDE w:val="0"/>
        <w:autoSpaceDN w:val="0"/>
        <w:adjustRightInd w:val="0"/>
        <w:spacing w:after="200" w:line="276" w:lineRule="auto"/>
        <w:ind w:left="-142" w:right="-234"/>
        <w:rPr>
          <w:rFonts w:ascii="Calibri" w:hAnsi="Calibri" w:cs="Calibri"/>
        </w:rPr>
      </w:pPr>
    </w:p>
    <w:p w:rsidR="000A7EE4" w:rsidRPr="00991BA9" w:rsidRDefault="000A7EE4" w:rsidP="000A7EE4">
      <w:pPr>
        <w:spacing w:line="360" w:lineRule="auto"/>
        <w:ind w:right="49"/>
        <w:jc w:val="both"/>
        <w:rPr>
          <w:rFonts w:ascii="Palatino Linotype" w:eastAsiaTheme="minorEastAsia" w:hAnsi="Palatino Linotype" w:cs="Arial"/>
          <w:lang w:val="es-ES_tradnl" w:eastAsia="es-ES"/>
        </w:rPr>
      </w:pPr>
    </w:p>
    <w:p w:rsidR="000A7EE4" w:rsidRPr="00991BA9" w:rsidRDefault="000A7EE4" w:rsidP="000A7EE4">
      <w:pPr>
        <w:spacing w:line="360" w:lineRule="auto"/>
        <w:ind w:right="49"/>
        <w:jc w:val="both"/>
        <w:rPr>
          <w:rFonts w:ascii="Palatino Linotype" w:eastAsiaTheme="minorEastAsia" w:hAnsi="Palatino Linotype" w:cs="Arial"/>
          <w:lang w:val="es-ES_tradnl" w:eastAsia="es-ES"/>
        </w:rPr>
      </w:pPr>
    </w:p>
    <w:p w:rsidR="000A7EE4" w:rsidRPr="00991BA9" w:rsidRDefault="000A7EE4" w:rsidP="000A7EE4">
      <w:pPr>
        <w:spacing w:line="360" w:lineRule="auto"/>
        <w:ind w:right="49"/>
        <w:jc w:val="both"/>
        <w:rPr>
          <w:rFonts w:ascii="Palatino Linotype" w:eastAsiaTheme="minorEastAsia" w:hAnsi="Palatino Linotype" w:cs="Arial"/>
          <w:lang w:val="es-ES_tradnl" w:eastAsia="es-ES"/>
        </w:rPr>
      </w:pPr>
    </w:p>
    <w:p w:rsidR="000A7EE4" w:rsidRPr="00991BA9" w:rsidRDefault="000A7EE4" w:rsidP="000A7EE4">
      <w:pPr>
        <w:spacing w:line="360" w:lineRule="auto"/>
        <w:ind w:right="49"/>
        <w:jc w:val="both"/>
        <w:rPr>
          <w:rFonts w:ascii="Palatino Linotype" w:eastAsiaTheme="minorEastAsia" w:hAnsi="Palatino Linotype" w:cs="Arial"/>
          <w:lang w:val="es-ES_tradnl" w:eastAsia="es-ES"/>
        </w:rPr>
      </w:pPr>
    </w:p>
    <w:p w:rsidR="000A7EE4" w:rsidRPr="00991BA9" w:rsidRDefault="000A7EE4" w:rsidP="000A7EE4">
      <w:pPr>
        <w:spacing w:line="360" w:lineRule="auto"/>
        <w:ind w:right="49"/>
        <w:jc w:val="both"/>
        <w:rPr>
          <w:rFonts w:ascii="Palatino Linotype" w:eastAsiaTheme="minorEastAsia" w:hAnsi="Palatino Linotype" w:cs="Arial"/>
          <w:lang w:val="es-ES_tradnl" w:eastAsia="es-ES"/>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Pr="00991BA9" w:rsidRDefault="000A7EE4" w:rsidP="000A7EE4">
      <w:pPr>
        <w:spacing w:line="360" w:lineRule="auto"/>
        <w:rPr>
          <w:rFonts w:ascii="Palatino Linotype" w:hAnsi="Palatino Linotype"/>
        </w:rPr>
      </w:pPr>
    </w:p>
    <w:p w:rsidR="000A7EE4" w:rsidRDefault="000A7EE4" w:rsidP="000A7EE4"/>
    <w:p w:rsidR="000A7EE4" w:rsidRDefault="000A7EE4" w:rsidP="000A7EE4"/>
    <w:p w:rsidR="000A7EE4" w:rsidRDefault="000A7EE4" w:rsidP="000A7EE4"/>
    <w:p w:rsidR="00A80F74" w:rsidRDefault="00A80F74"/>
    <w:sectPr w:rsidR="00A80F74" w:rsidSect="006C23DF">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E5" w:rsidRDefault="00C604E5" w:rsidP="000A7EE4">
      <w:r>
        <w:separator/>
      </w:r>
    </w:p>
  </w:endnote>
  <w:endnote w:type="continuationSeparator" w:id="0">
    <w:p w:rsidR="00C604E5" w:rsidRDefault="00C604E5" w:rsidP="000A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C7" w:rsidRDefault="007D5FC7">
    <w:pPr>
      <w:pStyle w:val="Piedepgina"/>
      <w:jc w:val="right"/>
    </w:pPr>
    <w:r>
      <w:rPr>
        <w:lang w:val="es-ES"/>
      </w:rPr>
      <w:t xml:space="preserve">Página </w:t>
    </w:r>
    <w:r>
      <w:rPr>
        <w:b/>
        <w:bCs/>
      </w:rPr>
      <w:fldChar w:fldCharType="begin"/>
    </w:r>
    <w:r>
      <w:rPr>
        <w:b/>
        <w:bCs/>
      </w:rPr>
      <w:instrText>PAGE</w:instrText>
    </w:r>
    <w:r>
      <w:rPr>
        <w:b/>
        <w:bCs/>
      </w:rPr>
      <w:fldChar w:fldCharType="separate"/>
    </w:r>
    <w:r w:rsidR="000256C4">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256C4">
      <w:rPr>
        <w:b/>
        <w:bCs/>
        <w:noProof/>
      </w:rPr>
      <w:t>22</w:t>
    </w:r>
    <w:r>
      <w:rPr>
        <w:b/>
        <w:bCs/>
      </w:rPr>
      <w:fldChar w:fldCharType="end"/>
    </w:r>
  </w:p>
  <w:p w:rsidR="007D5FC7" w:rsidRDefault="007D5F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C7" w:rsidRDefault="007D5FC7">
    <w:pPr>
      <w:pStyle w:val="Piedepgina"/>
      <w:jc w:val="right"/>
    </w:pPr>
    <w:r>
      <w:rPr>
        <w:lang w:val="es-ES"/>
      </w:rPr>
      <w:t xml:space="preserve">Página </w:t>
    </w:r>
    <w:r>
      <w:rPr>
        <w:b/>
        <w:bCs/>
      </w:rPr>
      <w:fldChar w:fldCharType="begin"/>
    </w:r>
    <w:r>
      <w:rPr>
        <w:b/>
        <w:bCs/>
      </w:rPr>
      <w:instrText>PAGE</w:instrText>
    </w:r>
    <w:r>
      <w:rPr>
        <w:b/>
        <w:bCs/>
      </w:rPr>
      <w:fldChar w:fldCharType="separate"/>
    </w:r>
    <w:r w:rsidR="000256C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256C4">
      <w:rPr>
        <w:b/>
        <w:bCs/>
        <w:noProof/>
      </w:rPr>
      <w:t>22</w:t>
    </w:r>
    <w:r>
      <w:rPr>
        <w:b/>
        <w:bCs/>
      </w:rPr>
      <w:fldChar w:fldCharType="end"/>
    </w:r>
  </w:p>
  <w:p w:rsidR="007D5FC7" w:rsidRDefault="007D5F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E5" w:rsidRDefault="00C604E5" w:rsidP="000A7EE4">
      <w:r>
        <w:separator/>
      </w:r>
    </w:p>
  </w:footnote>
  <w:footnote w:type="continuationSeparator" w:id="0">
    <w:p w:rsidR="00C604E5" w:rsidRDefault="00C604E5" w:rsidP="000A7EE4">
      <w:r>
        <w:continuationSeparator/>
      </w:r>
    </w:p>
  </w:footnote>
  <w:footnote w:id="1">
    <w:p w:rsidR="007D5FC7" w:rsidRDefault="007D5FC7" w:rsidP="000A7EE4">
      <w:pPr>
        <w:pStyle w:val="Textonotapie"/>
      </w:pPr>
      <w:r>
        <w:rPr>
          <w:rStyle w:val="Refdenotaalpie"/>
        </w:rPr>
        <w:footnoteRef/>
      </w:r>
      <w:r>
        <w:t xml:space="preserve"> Artículo 150. Ley de Transparencia y Acceso a la Información Pública del Estado de México y Municipios.</w:t>
      </w:r>
    </w:p>
    <w:p w:rsidR="007D5FC7" w:rsidRDefault="007D5FC7" w:rsidP="000A7EE4">
      <w:pPr>
        <w:pStyle w:val="Textonotapie"/>
      </w:pPr>
      <w:r>
        <w:t>Artículo 151. Ibídem.</w:t>
      </w:r>
    </w:p>
  </w:footnote>
  <w:footnote w:id="2">
    <w:p w:rsidR="007D5FC7" w:rsidRDefault="007D5FC7" w:rsidP="000A7EE4">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C7" w:rsidRDefault="00C604E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7D5FC7" w:rsidRPr="005C106F" w:rsidTr="006C23DF">
      <w:trPr>
        <w:trHeight w:val="1435"/>
      </w:trPr>
      <w:tc>
        <w:tcPr>
          <w:tcW w:w="2268" w:type="dxa"/>
          <w:shd w:val="clear" w:color="auto" w:fill="auto"/>
        </w:tcPr>
        <w:p w:rsidR="007D5FC7" w:rsidRPr="005C106F" w:rsidRDefault="007D5FC7" w:rsidP="006C23DF">
          <w:pPr>
            <w:tabs>
              <w:tab w:val="right" w:pos="4273"/>
            </w:tabs>
            <w:rPr>
              <w:rFonts w:ascii="Garamond" w:eastAsia="Calibri" w:hAnsi="Garamond"/>
              <w:sz w:val="16"/>
              <w:szCs w:val="16"/>
              <w:lang w:eastAsia="en-US"/>
            </w:rPr>
          </w:pPr>
        </w:p>
      </w:tc>
      <w:tc>
        <w:tcPr>
          <w:tcW w:w="6946" w:type="dxa"/>
          <w:shd w:val="clear" w:color="auto" w:fill="auto"/>
        </w:tcPr>
        <w:p w:rsidR="007D5FC7" w:rsidRDefault="007D5FC7" w:rsidP="006C23DF"/>
        <w:tbl>
          <w:tblPr>
            <w:tblW w:w="6662" w:type="dxa"/>
            <w:tblInd w:w="40" w:type="dxa"/>
            <w:tblLayout w:type="fixed"/>
            <w:tblLook w:val="0420" w:firstRow="1" w:lastRow="0" w:firstColumn="0" w:lastColumn="0" w:noHBand="0" w:noVBand="1"/>
          </w:tblPr>
          <w:tblGrid>
            <w:gridCol w:w="2551"/>
            <w:gridCol w:w="4111"/>
          </w:tblGrid>
          <w:tr w:rsidR="007D5FC7" w:rsidTr="006C23DF">
            <w:trPr>
              <w:trHeight w:val="150"/>
            </w:trPr>
            <w:tc>
              <w:tcPr>
                <w:tcW w:w="2551" w:type="dxa"/>
                <w:shd w:val="clear" w:color="auto" w:fill="auto"/>
              </w:tcPr>
              <w:p w:rsidR="007D5FC7" w:rsidRPr="00020E73" w:rsidRDefault="007D5FC7" w:rsidP="006C23DF">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7D5FC7" w:rsidRPr="00020E73" w:rsidRDefault="007D5FC7" w:rsidP="006C23DF">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03738/INFOEM/IP/RR/2024</w:t>
                </w:r>
              </w:p>
            </w:tc>
          </w:tr>
          <w:tr w:rsidR="007D5FC7" w:rsidTr="006C23DF">
            <w:trPr>
              <w:trHeight w:val="295"/>
            </w:trPr>
            <w:tc>
              <w:tcPr>
                <w:tcW w:w="2551" w:type="dxa"/>
                <w:shd w:val="clear" w:color="auto" w:fill="auto"/>
              </w:tcPr>
              <w:p w:rsidR="007D5FC7" w:rsidRPr="00020E73" w:rsidRDefault="007D5FC7" w:rsidP="006C23DF">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7D5FC7" w:rsidRPr="000A7EE4" w:rsidRDefault="007D5FC7" w:rsidP="006C23DF">
                <w:pPr>
                  <w:tabs>
                    <w:tab w:val="left" w:pos="2834"/>
                    <w:tab w:val="right" w:pos="8838"/>
                  </w:tabs>
                  <w:ind w:left="-108" w:right="-102"/>
                  <w:jc w:val="both"/>
                  <w:rPr>
                    <w:rFonts w:ascii="Palatino Linotype" w:eastAsia="Calibri" w:hAnsi="Palatino Linotype" w:cs="Tahoma"/>
                    <w:sz w:val="22"/>
                    <w:szCs w:val="22"/>
                    <w:lang w:val="es-ES" w:eastAsia="en-US"/>
                  </w:rPr>
                </w:pPr>
                <w:r w:rsidRPr="000A7EE4">
                  <w:rPr>
                    <w:rFonts w:ascii="Palatino Linotype" w:eastAsia="Calibri" w:hAnsi="Palatino Linotype" w:cs="Tahoma"/>
                    <w:bCs/>
                    <w:sz w:val="22"/>
                    <w:szCs w:val="22"/>
                    <w:lang w:eastAsia="en-US"/>
                  </w:rPr>
                  <w:t>Ayuntamiento de Toluca</w:t>
                </w:r>
              </w:p>
            </w:tc>
          </w:tr>
          <w:tr w:rsidR="007D5FC7" w:rsidTr="006C23DF">
            <w:trPr>
              <w:trHeight w:val="295"/>
            </w:trPr>
            <w:tc>
              <w:tcPr>
                <w:tcW w:w="2551" w:type="dxa"/>
                <w:shd w:val="clear" w:color="auto" w:fill="auto"/>
              </w:tcPr>
              <w:p w:rsidR="007D5FC7" w:rsidRPr="00020E73" w:rsidRDefault="007D5FC7" w:rsidP="006C23DF">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7D5FC7" w:rsidRPr="00020E73" w:rsidRDefault="007D5FC7" w:rsidP="006C23DF">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7D5FC7" w:rsidRPr="00020E73" w:rsidRDefault="007D5FC7" w:rsidP="006C23DF">
                <w:pPr>
                  <w:tabs>
                    <w:tab w:val="right" w:pos="8838"/>
                  </w:tabs>
                  <w:ind w:left="-108" w:right="171"/>
                  <w:jc w:val="both"/>
                  <w:rPr>
                    <w:rFonts w:ascii="Palatino Linotype" w:eastAsia="Calibri" w:hAnsi="Palatino Linotype" w:cs="Tahoma"/>
                    <w:b/>
                    <w:sz w:val="22"/>
                    <w:szCs w:val="22"/>
                    <w:lang w:val="es-ES" w:eastAsia="en-US"/>
                  </w:rPr>
                </w:pPr>
              </w:p>
            </w:tc>
          </w:tr>
        </w:tbl>
        <w:p w:rsidR="007D5FC7" w:rsidRPr="005C106F" w:rsidRDefault="007D5FC7" w:rsidP="006C23DF">
          <w:pPr>
            <w:tabs>
              <w:tab w:val="right" w:pos="8838"/>
            </w:tabs>
            <w:ind w:left="-28"/>
            <w:jc w:val="both"/>
            <w:rPr>
              <w:rFonts w:ascii="Arial" w:eastAsia="Calibri" w:hAnsi="Arial" w:cs="Arial"/>
              <w:b/>
              <w:sz w:val="22"/>
              <w:szCs w:val="22"/>
              <w:lang w:eastAsia="en-US"/>
            </w:rPr>
          </w:pPr>
        </w:p>
      </w:tc>
    </w:tr>
  </w:tbl>
  <w:p w:rsidR="007D5FC7" w:rsidRPr="00443C6B" w:rsidRDefault="00C604E5" w:rsidP="006C23DF">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7D5FC7" w:rsidRPr="00330DA7" w:rsidTr="006C23DF">
      <w:trPr>
        <w:trHeight w:val="1435"/>
      </w:trPr>
      <w:tc>
        <w:tcPr>
          <w:tcW w:w="2268" w:type="dxa"/>
          <w:shd w:val="clear" w:color="auto" w:fill="auto"/>
        </w:tcPr>
        <w:p w:rsidR="007D5FC7" w:rsidRPr="00330DA7" w:rsidRDefault="007D5FC7" w:rsidP="006C23DF">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7D5FC7" w:rsidRPr="00330DA7" w:rsidTr="006C23DF">
            <w:trPr>
              <w:trHeight w:val="144"/>
            </w:trPr>
            <w:tc>
              <w:tcPr>
                <w:tcW w:w="2444" w:type="dxa"/>
                <w:shd w:val="clear" w:color="auto" w:fill="auto"/>
              </w:tcPr>
              <w:p w:rsidR="007D5FC7" w:rsidRPr="00020E73" w:rsidRDefault="007D5FC7" w:rsidP="006C23DF">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7D5FC7" w:rsidRPr="00020E73" w:rsidRDefault="007D5FC7" w:rsidP="006C23D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03738/INFOEM/IP/RR/2024</w:t>
                </w:r>
                <w:r>
                  <w:rPr>
                    <w:rFonts w:ascii="Palatino Linotype" w:eastAsia="Calibri" w:hAnsi="Palatino Linotype" w:cs="Tahoma"/>
                    <w:b/>
                    <w:bCs/>
                    <w:sz w:val="22"/>
                    <w:szCs w:val="22"/>
                    <w:lang w:eastAsia="en-US"/>
                  </w:rPr>
                  <w:t xml:space="preserve"> </w:t>
                </w:r>
              </w:p>
            </w:tc>
          </w:tr>
          <w:tr w:rsidR="007D5FC7" w:rsidRPr="00330DA7" w:rsidTr="006C23DF">
            <w:trPr>
              <w:trHeight w:val="144"/>
            </w:trPr>
            <w:tc>
              <w:tcPr>
                <w:tcW w:w="2444" w:type="dxa"/>
                <w:shd w:val="clear" w:color="auto" w:fill="auto"/>
              </w:tcPr>
              <w:p w:rsidR="007D5FC7" w:rsidRPr="00020E73" w:rsidRDefault="007D5FC7" w:rsidP="006C23DF">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7D5FC7" w:rsidRPr="00020E73" w:rsidRDefault="007D5FC7" w:rsidP="006C23DF">
                <w:pPr>
                  <w:tabs>
                    <w:tab w:val="left" w:pos="3122"/>
                    <w:tab w:val="right" w:pos="8838"/>
                  </w:tabs>
                  <w:ind w:left="-74" w:right="-105"/>
                  <w:jc w:val="both"/>
                  <w:rPr>
                    <w:rFonts w:ascii="Palatino Linotype" w:eastAsia="Calibri" w:hAnsi="Palatino Linotype" w:cs="Tahoma"/>
                    <w:sz w:val="22"/>
                    <w:szCs w:val="22"/>
                    <w:lang w:val="es-ES" w:eastAsia="en-US"/>
                  </w:rPr>
                </w:pPr>
              </w:p>
            </w:tc>
          </w:tr>
          <w:tr w:rsidR="007D5FC7" w:rsidRPr="00330DA7" w:rsidTr="006C23DF">
            <w:trPr>
              <w:trHeight w:val="283"/>
            </w:trPr>
            <w:tc>
              <w:tcPr>
                <w:tcW w:w="2444" w:type="dxa"/>
                <w:shd w:val="clear" w:color="auto" w:fill="auto"/>
              </w:tcPr>
              <w:p w:rsidR="007D5FC7" w:rsidRPr="00020E73" w:rsidRDefault="007D5FC7" w:rsidP="006C23DF">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7D5FC7" w:rsidRPr="000A7EE4" w:rsidRDefault="007D5FC7" w:rsidP="006C23DF">
                <w:pPr>
                  <w:tabs>
                    <w:tab w:val="left" w:pos="2834"/>
                    <w:tab w:val="right" w:pos="8838"/>
                  </w:tabs>
                  <w:ind w:left="-74" w:right="-105"/>
                  <w:jc w:val="both"/>
                  <w:rPr>
                    <w:rFonts w:ascii="Palatino Linotype" w:eastAsia="Calibri" w:hAnsi="Palatino Linotype" w:cs="Tahoma"/>
                    <w:sz w:val="22"/>
                    <w:szCs w:val="22"/>
                    <w:lang w:val="es-ES" w:eastAsia="en-US"/>
                  </w:rPr>
                </w:pPr>
                <w:r w:rsidRPr="000A7EE4">
                  <w:rPr>
                    <w:rFonts w:ascii="Palatino Linotype" w:eastAsia="Calibri" w:hAnsi="Palatino Linotype" w:cs="Tahoma"/>
                    <w:bCs/>
                    <w:sz w:val="22"/>
                    <w:szCs w:val="22"/>
                    <w:lang w:eastAsia="en-US"/>
                  </w:rPr>
                  <w:t>Ayuntamiento de Toluca</w:t>
                </w:r>
              </w:p>
            </w:tc>
          </w:tr>
          <w:tr w:rsidR="007D5FC7" w:rsidRPr="00330DA7" w:rsidTr="006C23DF">
            <w:trPr>
              <w:trHeight w:val="283"/>
            </w:trPr>
            <w:tc>
              <w:tcPr>
                <w:tcW w:w="2444" w:type="dxa"/>
                <w:shd w:val="clear" w:color="auto" w:fill="auto"/>
              </w:tcPr>
              <w:p w:rsidR="007D5FC7" w:rsidRPr="00020E73" w:rsidRDefault="007D5FC7" w:rsidP="006C23DF">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7D5FC7" w:rsidRPr="00020E73" w:rsidRDefault="007D5FC7" w:rsidP="006C23DF">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7D5FC7" w:rsidRPr="00020E73" w:rsidRDefault="007D5FC7" w:rsidP="006C23DF">
                <w:pPr>
                  <w:tabs>
                    <w:tab w:val="right" w:pos="8838"/>
                  </w:tabs>
                  <w:ind w:left="-74" w:right="-105"/>
                  <w:jc w:val="both"/>
                  <w:rPr>
                    <w:rFonts w:ascii="Palatino Linotype" w:eastAsia="Calibri" w:hAnsi="Palatino Linotype" w:cs="Tahoma"/>
                    <w:b/>
                    <w:sz w:val="22"/>
                    <w:szCs w:val="22"/>
                    <w:lang w:val="es-ES" w:eastAsia="en-US"/>
                  </w:rPr>
                </w:pPr>
              </w:p>
            </w:tc>
          </w:tr>
        </w:tbl>
        <w:p w:rsidR="007D5FC7" w:rsidRPr="00330DA7" w:rsidRDefault="007D5FC7" w:rsidP="006C23DF">
          <w:pPr>
            <w:tabs>
              <w:tab w:val="right" w:pos="8838"/>
            </w:tabs>
            <w:ind w:left="-28"/>
            <w:jc w:val="both"/>
            <w:rPr>
              <w:rFonts w:ascii="Arial" w:eastAsia="Calibri" w:hAnsi="Arial" w:cs="Arial"/>
              <w:b/>
              <w:sz w:val="22"/>
              <w:szCs w:val="22"/>
              <w:lang w:eastAsia="en-US"/>
            </w:rPr>
          </w:pPr>
        </w:p>
      </w:tc>
    </w:tr>
  </w:tbl>
  <w:p w:rsidR="007D5FC7" w:rsidRPr="00827FA0" w:rsidRDefault="00C604E5" w:rsidP="006C23DF">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17490"/>
    <w:multiLevelType w:val="hybridMultilevel"/>
    <w:tmpl w:val="F112CDC0"/>
    <w:lvl w:ilvl="0" w:tplc="CDB4059E">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E5203E"/>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874F1D"/>
    <w:multiLevelType w:val="hybridMultilevel"/>
    <w:tmpl w:val="96D60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B87EC3"/>
    <w:multiLevelType w:val="hybridMultilevel"/>
    <w:tmpl w:val="B32E59E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E4"/>
    <w:rsid w:val="000256C4"/>
    <w:rsid w:val="00090BBA"/>
    <w:rsid w:val="000A7EE4"/>
    <w:rsid w:val="002F1AA4"/>
    <w:rsid w:val="0031036A"/>
    <w:rsid w:val="003F7304"/>
    <w:rsid w:val="00556055"/>
    <w:rsid w:val="005B7605"/>
    <w:rsid w:val="006132BA"/>
    <w:rsid w:val="00672A68"/>
    <w:rsid w:val="006A4214"/>
    <w:rsid w:val="006C23DF"/>
    <w:rsid w:val="007316A5"/>
    <w:rsid w:val="007D5FC7"/>
    <w:rsid w:val="009469B5"/>
    <w:rsid w:val="00A80F74"/>
    <w:rsid w:val="00AE4C7F"/>
    <w:rsid w:val="00C604E5"/>
    <w:rsid w:val="00C819D4"/>
    <w:rsid w:val="00CB6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B181A4E-F9A0-48AB-BEE2-D89175F0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EE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A7EE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7EE4"/>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0A7EE4"/>
    <w:pPr>
      <w:tabs>
        <w:tab w:val="center" w:pos="4419"/>
        <w:tab w:val="right" w:pos="8838"/>
      </w:tabs>
    </w:pPr>
  </w:style>
  <w:style w:type="character" w:customStyle="1" w:styleId="EncabezadoCar">
    <w:name w:val="Encabezado Car"/>
    <w:basedOn w:val="Fuentedeprrafopredeter"/>
    <w:link w:val="Encabezado"/>
    <w:uiPriority w:val="99"/>
    <w:rsid w:val="000A7EE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0A7EE4"/>
    <w:pPr>
      <w:tabs>
        <w:tab w:val="center" w:pos="4419"/>
        <w:tab w:val="right" w:pos="8838"/>
      </w:tabs>
    </w:pPr>
  </w:style>
  <w:style w:type="character" w:customStyle="1" w:styleId="PiedepginaCar">
    <w:name w:val="Pie de página Car"/>
    <w:basedOn w:val="Fuentedeprrafopredeter"/>
    <w:link w:val="Piedepgina"/>
    <w:uiPriority w:val="99"/>
    <w:rsid w:val="000A7EE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A7EE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0A7EE4"/>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0A7EE4"/>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A7EE4"/>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0A7EE4"/>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A7EE4"/>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0A7EE4"/>
    <w:rPr>
      <w:rFonts w:ascii="Times New Roman" w:eastAsia="Times New Roman" w:hAnsi="Times New Roman" w:cs="Times New Roman"/>
      <w:sz w:val="20"/>
      <w:szCs w:val="20"/>
      <w:lang w:eastAsia="es-MX"/>
    </w:rPr>
  </w:style>
  <w:style w:type="paragraph" w:customStyle="1" w:styleId="Default">
    <w:name w:val="Default"/>
    <w:rsid w:val="000A7E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32972.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2033699.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mex.org.mx/saimex/solicitud/downloadAttach/2158049.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22</Pages>
  <Words>4777</Words>
  <Characters>26277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6</cp:revision>
  <cp:lastPrinted>2024-10-10T21:17:00Z</cp:lastPrinted>
  <dcterms:created xsi:type="dcterms:W3CDTF">2024-10-03T18:26:00Z</dcterms:created>
  <dcterms:modified xsi:type="dcterms:W3CDTF">2024-10-10T21:17:00Z</dcterms:modified>
</cp:coreProperties>
</file>