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08CE" w14:textId="77777777" w:rsidR="004108E1" w:rsidRPr="00356C11" w:rsidRDefault="004108E1" w:rsidP="004108E1">
      <w:pPr>
        <w:spacing w:line="360" w:lineRule="auto"/>
        <w:jc w:val="both"/>
        <w:rPr>
          <w:rFonts w:ascii="Palatino Linotype" w:eastAsiaTheme="minorEastAsia" w:hAnsi="Palatino Linotype"/>
          <w:lang w:val="es-ES_tradnl" w:eastAsia="es-ES"/>
        </w:rPr>
      </w:pPr>
      <w:r w:rsidRPr="00356C11">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 de México; de</w:t>
      </w:r>
      <w:r w:rsidR="00356C11">
        <w:rPr>
          <w:rFonts w:ascii="Palatino Linotype" w:eastAsiaTheme="minorEastAsia" w:hAnsi="Palatino Linotype"/>
          <w:lang w:val="es-ES_tradnl" w:eastAsia="es-ES"/>
        </w:rPr>
        <w:t xml:space="preserve"> fecha</w:t>
      </w:r>
      <w:r w:rsidRPr="00356C11">
        <w:rPr>
          <w:rFonts w:ascii="Palatino Linotype" w:eastAsiaTheme="minorEastAsia" w:hAnsi="Palatino Linotype"/>
          <w:lang w:val="es-ES_tradnl" w:eastAsia="es-ES"/>
        </w:rPr>
        <w:t xml:space="preserve"> veintiséis (26) de junio de dos mil veinticuatro. </w:t>
      </w:r>
    </w:p>
    <w:p w14:paraId="1F8EC52B" w14:textId="77777777" w:rsidR="004108E1" w:rsidRPr="00356C11" w:rsidRDefault="004108E1" w:rsidP="004108E1">
      <w:pPr>
        <w:spacing w:line="360" w:lineRule="auto"/>
        <w:jc w:val="both"/>
        <w:rPr>
          <w:rFonts w:ascii="Palatino Linotype" w:eastAsiaTheme="minorEastAsia" w:hAnsi="Palatino Linotype"/>
          <w:lang w:val="es-ES_tradnl" w:eastAsia="es-ES"/>
        </w:rPr>
      </w:pPr>
    </w:p>
    <w:p w14:paraId="432EBFB0" w14:textId="08225868" w:rsidR="004108E1" w:rsidRPr="00356C11" w:rsidRDefault="004108E1" w:rsidP="004108E1">
      <w:pPr>
        <w:spacing w:line="360" w:lineRule="auto"/>
        <w:jc w:val="both"/>
        <w:rPr>
          <w:rFonts w:ascii="Palatino Linotype" w:hAnsi="Palatino Linotype"/>
        </w:rPr>
      </w:pPr>
      <w:r w:rsidRPr="00356C11">
        <w:rPr>
          <w:rFonts w:ascii="Palatino Linotype" w:hAnsi="Palatino Linotype"/>
          <w:b/>
        </w:rPr>
        <w:t>VISTO</w:t>
      </w:r>
      <w:r w:rsidRPr="00356C11">
        <w:rPr>
          <w:rFonts w:ascii="Palatino Linotype" w:hAnsi="Palatino Linotype"/>
        </w:rPr>
        <w:t xml:space="preserve"> el expediente electrónico formado con motivo del recurso de revisión </w:t>
      </w:r>
      <w:r w:rsidRPr="00356C11">
        <w:rPr>
          <w:rFonts w:ascii="Palatino Linotype" w:hAnsi="Palatino Linotype"/>
          <w:b/>
        </w:rPr>
        <w:t>03668/INFOEM/IP/RR/2023,</w:t>
      </w:r>
      <w:r w:rsidRPr="00356C11">
        <w:rPr>
          <w:rFonts w:ascii="Palatino Linotype" w:hAnsi="Palatino Linotype" w:cs="Arial"/>
          <w:b/>
          <w:bCs/>
        </w:rPr>
        <w:t xml:space="preserve"> </w:t>
      </w:r>
      <w:r w:rsidRPr="00356C11">
        <w:rPr>
          <w:rFonts w:ascii="Palatino Linotype" w:eastAsiaTheme="minorEastAsia" w:hAnsi="Palatino Linotype"/>
          <w:lang w:val="es-ES_tradnl" w:eastAsia="es-ES"/>
        </w:rPr>
        <w:t xml:space="preserve">promovido </w:t>
      </w:r>
      <w:r w:rsidR="00356C11">
        <w:rPr>
          <w:rFonts w:ascii="Palatino Linotype" w:eastAsiaTheme="minorEastAsia" w:hAnsi="Palatino Linotype"/>
          <w:lang w:val="es-ES_tradnl" w:eastAsia="es-ES"/>
        </w:rPr>
        <w:t xml:space="preserve">por un usuario registrándose como </w:t>
      </w:r>
      <w:r w:rsidR="00265730">
        <w:rPr>
          <w:rFonts w:ascii="Palatino Linotype" w:eastAsiaTheme="minorEastAsia" w:hAnsi="Palatino Linotype"/>
          <w:b/>
          <w:bCs/>
          <w:lang w:eastAsia="es-ES"/>
        </w:rPr>
        <w:t xml:space="preserve">XXX </w:t>
      </w:r>
      <w:proofErr w:type="spellStart"/>
      <w:r w:rsidR="00265730">
        <w:rPr>
          <w:rFonts w:ascii="Palatino Linotype" w:eastAsiaTheme="minorEastAsia" w:hAnsi="Palatino Linotype"/>
          <w:b/>
          <w:bCs/>
          <w:lang w:eastAsia="es-ES"/>
        </w:rPr>
        <w:t>XXX</w:t>
      </w:r>
      <w:proofErr w:type="spellEnd"/>
      <w:r w:rsidRPr="00356C11">
        <w:rPr>
          <w:rFonts w:ascii="Palatino Linotype" w:eastAsiaTheme="minorEastAsia" w:hAnsi="Palatino Linotype"/>
          <w:b/>
          <w:lang w:val="es-ES_tradnl" w:eastAsia="es-ES"/>
        </w:rPr>
        <w:t xml:space="preserve">, </w:t>
      </w:r>
      <w:r w:rsidRPr="00356C11">
        <w:rPr>
          <w:rFonts w:ascii="Palatino Linotype" w:hAnsi="Palatino Linotype"/>
        </w:rPr>
        <w:t xml:space="preserve">quien en lo sucesivo se identificará como </w:t>
      </w:r>
      <w:r w:rsidRPr="00356C11">
        <w:rPr>
          <w:rFonts w:ascii="Palatino Linotype" w:hAnsi="Palatino Linotype"/>
          <w:b/>
        </w:rPr>
        <w:t xml:space="preserve">EL </w:t>
      </w:r>
      <w:r w:rsidRPr="00356C11">
        <w:rPr>
          <w:rFonts w:ascii="Palatino Linotype" w:hAnsi="Palatino Linotype" w:cs="Arial"/>
          <w:b/>
        </w:rPr>
        <w:t>RECURRENTE</w:t>
      </w:r>
      <w:r w:rsidRPr="00356C11">
        <w:rPr>
          <w:rFonts w:ascii="Palatino Linotype" w:hAnsi="Palatino Linotype" w:cs="Arial"/>
        </w:rPr>
        <w:t xml:space="preserve">, en contra de la respuesta del </w:t>
      </w:r>
      <w:r w:rsidRPr="00356C11">
        <w:rPr>
          <w:rFonts w:ascii="Palatino Linotype" w:hAnsi="Palatino Linotype" w:cs="Arial"/>
          <w:b/>
          <w:bCs/>
        </w:rPr>
        <w:t>Ayuntamiento de Tultepec</w:t>
      </w:r>
      <w:r w:rsidRPr="00356C11">
        <w:rPr>
          <w:rFonts w:ascii="Palatino Linotype" w:hAnsi="Palatino Linotype" w:cs="Arial"/>
          <w:b/>
        </w:rPr>
        <w:t>,</w:t>
      </w:r>
      <w:r w:rsidRPr="00356C11">
        <w:rPr>
          <w:rFonts w:ascii="Palatino Linotype" w:hAnsi="Palatino Linotype"/>
          <w:b/>
        </w:rPr>
        <w:t xml:space="preserve"> </w:t>
      </w:r>
      <w:r w:rsidRPr="00356C11">
        <w:rPr>
          <w:rFonts w:ascii="Palatino Linotype" w:hAnsi="Palatino Linotype"/>
        </w:rPr>
        <w:t xml:space="preserve">en </w:t>
      </w:r>
      <w:r w:rsidR="00356C11">
        <w:rPr>
          <w:rFonts w:ascii="Palatino Linotype" w:hAnsi="Palatino Linotype"/>
        </w:rPr>
        <w:t>adelante</w:t>
      </w:r>
      <w:r w:rsidRPr="00356C11">
        <w:rPr>
          <w:rFonts w:ascii="Palatino Linotype" w:hAnsi="Palatino Linotype"/>
        </w:rPr>
        <w:t xml:space="preserve"> el</w:t>
      </w:r>
      <w:r w:rsidRPr="00356C11">
        <w:rPr>
          <w:rFonts w:ascii="Palatino Linotype" w:hAnsi="Palatino Linotype"/>
          <w:b/>
        </w:rPr>
        <w:t xml:space="preserve"> SUJETO OBLIGADO</w:t>
      </w:r>
      <w:r w:rsidRPr="00356C11">
        <w:rPr>
          <w:rFonts w:ascii="Palatino Linotype" w:hAnsi="Palatino Linotype"/>
        </w:rPr>
        <w:t>, por lo que se procede a dictar la presente resolución, con base en los siguientes:</w:t>
      </w:r>
    </w:p>
    <w:p w14:paraId="737C9E33" w14:textId="77777777" w:rsidR="004108E1" w:rsidRPr="00356C11" w:rsidRDefault="004108E1" w:rsidP="004108E1">
      <w:pPr>
        <w:spacing w:line="360" w:lineRule="auto"/>
        <w:jc w:val="both"/>
        <w:rPr>
          <w:rFonts w:ascii="Palatino Linotype" w:hAnsi="Palatino Linotype"/>
          <w:b/>
        </w:rPr>
      </w:pPr>
    </w:p>
    <w:p w14:paraId="0ECDED83" w14:textId="77777777" w:rsidR="004108E1" w:rsidRPr="00356C11" w:rsidRDefault="004108E1" w:rsidP="004108E1">
      <w:pPr>
        <w:keepNext/>
        <w:keepLines/>
        <w:spacing w:line="360" w:lineRule="auto"/>
        <w:jc w:val="center"/>
        <w:outlineLvl w:val="0"/>
        <w:rPr>
          <w:rFonts w:ascii="Palatino Linotype" w:eastAsiaTheme="majorEastAsia" w:hAnsi="Palatino Linotype" w:cstheme="majorBidi"/>
          <w:b/>
        </w:rPr>
      </w:pPr>
      <w:bookmarkStart w:id="0" w:name="_Toc66992241"/>
      <w:r w:rsidRPr="00356C11">
        <w:rPr>
          <w:rFonts w:ascii="Palatino Linotype" w:eastAsiaTheme="majorEastAsia" w:hAnsi="Palatino Linotype" w:cstheme="majorBidi"/>
          <w:b/>
        </w:rPr>
        <w:t>A</w:t>
      </w:r>
      <w:r w:rsidR="00356C11" w:rsidRP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N</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T</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E</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C</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E</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D</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E</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N</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T</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E</w:t>
      </w:r>
      <w:r w:rsidR="00356C11">
        <w:rPr>
          <w:rFonts w:ascii="Palatino Linotype" w:eastAsiaTheme="majorEastAsia" w:hAnsi="Palatino Linotype" w:cstheme="majorBidi"/>
          <w:b/>
        </w:rPr>
        <w:t xml:space="preserve"> </w:t>
      </w:r>
      <w:r w:rsidRPr="00356C11">
        <w:rPr>
          <w:rFonts w:ascii="Palatino Linotype" w:eastAsiaTheme="majorEastAsia" w:hAnsi="Palatino Linotype" w:cstheme="majorBidi"/>
          <w:b/>
        </w:rPr>
        <w:t>S</w:t>
      </w:r>
      <w:bookmarkEnd w:id="0"/>
    </w:p>
    <w:p w14:paraId="0D1D6C1F" w14:textId="77777777" w:rsidR="004108E1" w:rsidRPr="00356C11" w:rsidRDefault="004108E1" w:rsidP="004108E1">
      <w:pPr>
        <w:spacing w:line="360" w:lineRule="auto"/>
        <w:rPr>
          <w:rFonts w:ascii="Palatino Linotype" w:eastAsiaTheme="minorEastAsia" w:hAnsi="Palatino Linotype"/>
        </w:rPr>
      </w:pPr>
    </w:p>
    <w:p w14:paraId="3CC99736" w14:textId="77777777" w:rsidR="004108E1" w:rsidRPr="00356C11" w:rsidRDefault="004108E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eastAsia="Calibri" w:hAnsi="Palatino Linotype" w:cs="Arial"/>
          <w:sz w:val="24"/>
          <w:lang w:val="es-ES" w:eastAsia="es-ES"/>
        </w:rPr>
        <w:t>El treinta (30) de mayo de dos mil veintitrés,</w:t>
      </w:r>
      <w:r w:rsidRPr="00356C11">
        <w:rPr>
          <w:rFonts w:ascii="Palatino Linotype" w:eastAsia="Calibri" w:hAnsi="Palatino Linotype"/>
          <w:sz w:val="24"/>
          <w:lang w:val="es-ES" w:eastAsia="es-ES"/>
        </w:rPr>
        <w:t xml:space="preserve"> </w:t>
      </w:r>
      <w:r w:rsidRPr="00356C11">
        <w:rPr>
          <w:rFonts w:ascii="Palatino Linotype" w:eastAsia="Calibri" w:hAnsi="Palatino Linotype"/>
          <w:b/>
          <w:sz w:val="24"/>
          <w:lang w:val="es-ES" w:eastAsia="es-ES"/>
        </w:rPr>
        <w:t>EL RECURRENTE</w:t>
      </w:r>
      <w:r w:rsidRPr="00356C11">
        <w:rPr>
          <w:rFonts w:ascii="Palatino Linotype" w:eastAsiaTheme="minorEastAsia" w:hAnsi="Palatino Linotype"/>
          <w:b/>
          <w:sz w:val="24"/>
          <w:lang w:val="es-ES_tradnl" w:eastAsia="es-ES"/>
        </w:rPr>
        <w:t>,</w:t>
      </w:r>
      <w:r w:rsidRPr="00356C11">
        <w:rPr>
          <w:rFonts w:ascii="Palatino Linotype" w:eastAsia="Calibri" w:hAnsi="Palatino Linotype" w:cs="Arial"/>
          <w:sz w:val="24"/>
          <w:lang w:val="es-ES" w:eastAsia="es-ES"/>
        </w:rPr>
        <w:t xml:space="preserve"> ante el </w:t>
      </w:r>
      <w:r w:rsidRPr="00356C11">
        <w:rPr>
          <w:rFonts w:ascii="Palatino Linotype" w:eastAsia="Calibri" w:hAnsi="Palatino Linotype" w:cs="Arial"/>
          <w:b/>
          <w:sz w:val="24"/>
          <w:lang w:val="es-ES" w:eastAsia="es-ES"/>
        </w:rPr>
        <w:t>SUJETO OBLIGADO</w:t>
      </w:r>
      <w:r w:rsidRPr="00356C11">
        <w:rPr>
          <w:rFonts w:ascii="Palatino Linotype" w:eastAsia="Calibri" w:hAnsi="Palatino Linotype" w:cs="Arial"/>
          <w:sz w:val="24"/>
          <w:lang w:val="es-ES_tradnl" w:eastAsia="es-ES"/>
        </w:rPr>
        <w:t xml:space="preserve"> a través del Sistema de Acceso a la Información Mexiquense (SAIMEX)</w:t>
      </w:r>
      <w:r w:rsidRPr="00356C11">
        <w:rPr>
          <w:rFonts w:ascii="Palatino Linotype" w:eastAsia="Calibri" w:hAnsi="Palatino Linotype" w:cs="Arial"/>
          <w:sz w:val="24"/>
          <w:lang w:val="es-ES" w:eastAsia="es-ES"/>
        </w:rPr>
        <w:t xml:space="preserve">, presentó una solicitud de información registrada con el número </w:t>
      </w:r>
      <w:r w:rsidRPr="00356C11">
        <w:rPr>
          <w:rFonts w:ascii="Palatino Linotype" w:hAnsi="Palatino Linotype"/>
          <w:b/>
          <w:bCs/>
          <w:sz w:val="24"/>
        </w:rPr>
        <w:t>01269/TULTEPEC/IP/2023</w:t>
      </w:r>
      <w:r w:rsidRPr="00356C11">
        <w:rPr>
          <w:rFonts w:ascii="Palatino Linotype" w:eastAsiaTheme="minorEastAsia" w:hAnsi="Palatino Linotype"/>
          <w:b/>
          <w:sz w:val="24"/>
          <w:lang w:val="es-ES_tradnl" w:eastAsia="es-ES"/>
        </w:rPr>
        <w:t xml:space="preserve">, </w:t>
      </w:r>
      <w:r w:rsidR="00356C11">
        <w:rPr>
          <w:rFonts w:ascii="Palatino Linotype" w:eastAsia="Calibri" w:hAnsi="Palatino Linotype" w:cs="Arial"/>
          <w:sz w:val="24"/>
          <w:lang w:val="es-ES" w:eastAsia="es-ES"/>
        </w:rPr>
        <w:t>en la que</w:t>
      </w:r>
      <w:r w:rsidRPr="00356C11">
        <w:rPr>
          <w:rFonts w:ascii="Palatino Linotype" w:eastAsia="Calibri" w:hAnsi="Palatino Linotype" w:cs="Arial"/>
          <w:sz w:val="24"/>
          <w:lang w:val="es-ES" w:eastAsia="es-ES"/>
        </w:rPr>
        <w:t xml:space="preserve"> solicitó lo siguiente:</w:t>
      </w:r>
    </w:p>
    <w:p w14:paraId="1CBAC411"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440084A9" w14:textId="77777777" w:rsidR="004108E1" w:rsidRPr="00356C11" w:rsidRDefault="004108E1" w:rsidP="004108E1">
      <w:pPr>
        <w:pStyle w:val="Prrafodelista"/>
        <w:spacing w:line="360" w:lineRule="auto"/>
        <w:ind w:right="567"/>
        <w:jc w:val="both"/>
        <w:rPr>
          <w:rFonts w:ascii="Palatino Linotype" w:hAnsi="Palatino Linotype"/>
          <w:i/>
          <w:color w:val="000000"/>
          <w:sz w:val="24"/>
        </w:rPr>
      </w:pPr>
      <w:r w:rsidRPr="00356C11">
        <w:rPr>
          <w:rFonts w:ascii="Palatino Linotype" w:hAnsi="Palatino Linotype"/>
          <w:i/>
          <w:color w:val="000000"/>
          <w:sz w:val="24"/>
        </w:rPr>
        <w:t xml:space="preserve">“Solicito que LIC. MARCO ANTONIO URBAN OLIVARES, Secretario del Ayuntamiento, PROFESOR RAMÓN SERGIO LUNA CORTES, Presidente Municipal, LIC SANDRA FRAGOSO SÁNCHEZ, Síndico Municipal; MARIO AGUILAR PÉREZ, Primer Regidor; C. MARÍA DOLORES COLUNGA VILLA, Segundo Regidor; LIC. ARMANDO CERVANTES PUNZO, Tercer Regidor; C. JIMENA RANGEL CEDILLO, Cuarto Regidor; C. MARÍA FERNADA LÓPEZ SÁNCHEZ, Quinto Regidor; C. JOSEFINA PÉREZ GALINDO, Sexto Regidor; LIC ROMAN ALONSO VICENTEÑO CASAS, Séptimo Regidor; MARÍA </w:t>
      </w:r>
      <w:r w:rsidRPr="00356C11">
        <w:rPr>
          <w:rFonts w:ascii="Palatino Linotype" w:hAnsi="Palatino Linotype"/>
          <w:i/>
          <w:color w:val="000000"/>
          <w:sz w:val="24"/>
        </w:rPr>
        <w:lastRenderedPageBreak/>
        <w:t xml:space="preserve">GUADALUPE HERNÁNDEZ REYNA, Octavo Regidor; C. JONATHAN CHRISTIAN SOLORZANO MENDEZ, Noveno Regidor, todos del H. Ayuntamiento de Tultepec, respondan: 1.- Nos informen y narren la cronología en tiempos escolares, educativos; y digan cómo es posible que el C. MARCO ANTONIO URBAN OLIVARES, supuesto Licenciado y actual Secretario del Ayuntamiento de Tultepec, Estado de México; obtuvo el Título de Licenciado en Derecho, ya que según como lo dijo MARCO ANTONIO URBAN OLIVARES a unos amigos, concluyó los estudios correspondientes el día 10 de Julio de 2021. Tal como se puede comprobar con el Título Profesional con el que cuenta, ya que dicho Título según él, lo obtuvo a través de estudiar en el COLEGIO DE ESTUDIOS SUPERIORES RUBINSTEIN, el cual se encuentra ubicado en el Municipio de JUCHITEPEC, ESTADO DE MEXICO, y para conocimiento de todos aquellos sujetos obligados a entregar la información solicitada, les informo que el tiempo que se hace de Tultepec Estado de México a Juchitepec, en un vehículo particular, es de hasta de 3:30 horas aproximadamente, y se entiende que el retorno pudiese ser mayor, por coincidir con la salida de todos los trabajadores que transitan y que coinciden con la ruta que pudiera haber tomado el C. MARCO ANTONIO URBAN OLIVARES de regreso a su domicilio. En ese orden de ideas, y con estos tiempos de trayecto de ida y retorno, así como tiempo de estudio, se entiende que solo el C. MARCO ANTONIO URBAN OLIVARES se dedicó única y exclusivamente al estudio y termino de su carrera, a la cual le tuvo que invertir, por lo menos de tres a 4 años de estudios, lo anterior, conforme al mismo Plan Educativo de dicha Institución. Ahora bien tomando en cuenta en que terminó los estudios en Julio de 2021, quiere decir que dichos estudios los inició, como mínimo, en enero del año 2019 o antes, por lo que resulta sospechoso que hubiera cursado dicha Licenciatura, ya que les informo a Ustedes miembros del H. Ayuntamiento de </w:t>
      </w:r>
      <w:r w:rsidRPr="00356C11">
        <w:rPr>
          <w:rFonts w:ascii="Palatino Linotype" w:hAnsi="Palatino Linotype"/>
          <w:i/>
          <w:color w:val="000000"/>
          <w:sz w:val="24"/>
        </w:rPr>
        <w:lastRenderedPageBreak/>
        <w:t xml:space="preserve">Tultepec, que el C. MARCO ANTONIO URBAN OLIVARES, durante el periodo 2019 al 2021 se encontraba laborando en el Ayuntamiento de Cuautitlán, Estado de México, en un horario de 9 de la mañana a 6 de la tarde, de lunes a viernes, por el periodo que comprende del primero de enero de 2019 al 31 de diciembre del 2021, trabajo que realizó ininterrumpidamente, tal y como se puede corroborar con la información que obra en el Ayuntamiento de Cuautitlán México, Por estas razones inobjetables, queremos que el C. MARCO ANTONIO URBAN OLIVARES, explique y les explique a ustedes miembros del Cabildo de Tultepec: 1.- Los tiempos que ocupó para trasladarse de Tultepec a Juchitepec, el tiempo hora clase, así como el de retorno, durante sus estudios. 2. Proporcione fechas de inicio y término de dicha Licenciatura. 3.- Informe el periodo en el cual trabajó como Servidor Público del Ayuntamiento de Cuautitlán México, así como el puesto y funciones que desempeñaba, así como los días de la semana que laboraba y el horario. Así mismo, solicito que el responsable de la Unidad de Información del Ayuntamiento de Tultepec, LUIS FERNANDO HURTADO ADUNA, proporcione Copia de todos los Oficios que envíe a la LIC SANDRA FRAGOSO SÁNCHEZ, Síndico Municipal; MARIO AGUILAR PÉREZ, Primer Regidor; C. MARÍA DOLORES COLUNGA VILLA, Segundo Regidor; LIC. ARMANDO CERVANTES PUNZO, Tercer Regidor; C. JIMENA RANGEL CEDILLO, Cuarto Regidor; C. MARÍA FERNADA LÓPEZ SÁNCHEZ, Quinto Regidor; C. JOSEFINA PÉREZ GALINDO, Sexto Regidor; LIC ROMAN ALONSO VICENTEÑO CASAS, Séptimo Regidor; MARÍA GUADALUPE HERNÁNDEZ REYNA, Octavo Regidor; C. JONATHAN CHRISTIAN SOLORZANO MENDEZ, Noveno Regidor, LIC. MARCO ANTONIO URBAN OLIVARES, Secretario del Ayuntamiento, y PROFESOR RAMÓN SERGIO LUNA </w:t>
      </w:r>
      <w:r w:rsidRPr="00356C11">
        <w:rPr>
          <w:rFonts w:ascii="Palatino Linotype" w:hAnsi="Palatino Linotype"/>
          <w:i/>
          <w:color w:val="000000"/>
          <w:sz w:val="24"/>
        </w:rPr>
        <w:lastRenderedPageBreak/>
        <w:t xml:space="preserve">CORTES, Presidente Municipal, todos del H. Ayuntamiento de Tultepec, con motivo de que den respuesta a la presente solicitud de información.” (Sic) </w:t>
      </w:r>
    </w:p>
    <w:p w14:paraId="62EE21FB"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649A8B2C" w14:textId="77777777" w:rsidR="004108E1" w:rsidRPr="00356C11" w:rsidRDefault="004108E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hAnsi="Palatino Linotype" w:cs="Arial"/>
          <w:sz w:val="24"/>
          <w:lang w:val="es-ES" w:eastAsia="es-ES"/>
        </w:rPr>
        <w:t>Se señaló como modalidad de entrega a través de SAIMEX.</w:t>
      </w:r>
    </w:p>
    <w:p w14:paraId="17DA13E5"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2439E3CD" w14:textId="77777777" w:rsidR="004108E1" w:rsidRPr="00356C11" w:rsidRDefault="004108E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hAnsi="Palatino Linotype" w:cs="Arial"/>
          <w:sz w:val="24"/>
          <w:lang w:val="es-ES" w:eastAsia="es-ES"/>
        </w:rPr>
        <w:t>El veinte (20) de junio de dos mil veintitrés, El Sujeto Obligado dio respuesta a la solicitud de información en los siguientes términos:</w:t>
      </w:r>
    </w:p>
    <w:p w14:paraId="5BE4FE5F"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tbl>
      <w:tblPr>
        <w:tblW w:w="7586" w:type="dxa"/>
        <w:jc w:val="center"/>
        <w:tblCellSpacing w:w="0" w:type="dxa"/>
        <w:tblCellMar>
          <w:left w:w="0" w:type="dxa"/>
          <w:right w:w="0" w:type="dxa"/>
        </w:tblCellMar>
        <w:tblLook w:val="04A0" w:firstRow="1" w:lastRow="0" w:firstColumn="1" w:lastColumn="0" w:noHBand="0" w:noVBand="1"/>
      </w:tblPr>
      <w:tblGrid>
        <w:gridCol w:w="7586"/>
      </w:tblGrid>
      <w:tr w:rsidR="004108E1" w:rsidRPr="00356C11" w14:paraId="331088A7" w14:textId="77777777" w:rsidTr="004108E1">
        <w:trPr>
          <w:trHeight w:val="291"/>
          <w:tblCellSpacing w:w="0" w:type="dxa"/>
          <w:jc w:val="center"/>
        </w:trPr>
        <w:tc>
          <w:tcPr>
            <w:tcW w:w="0" w:type="auto"/>
            <w:vAlign w:val="center"/>
            <w:hideMark/>
          </w:tcPr>
          <w:p w14:paraId="7AFF669D" w14:textId="77777777" w:rsidR="004108E1" w:rsidRPr="00356C11" w:rsidRDefault="004108E1" w:rsidP="004108E1">
            <w:pPr>
              <w:spacing w:line="276" w:lineRule="auto"/>
              <w:jc w:val="right"/>
              <w:rPr>
                <w:rFonts w:ascii="Palatino Linotype" w:hAnsi="Palatino Linotype"/>
                <w:i/>
                <w:sz w:val="22"/>
              </w:rPr>
            </w:pPr>
            <w:r w:rsidRPr="00356C11">
              <w:rPr>
                <w:rFonts w:ascii="Palatino Linotype" w:hAnsi="Palatino Linotype"/>
                <w:i/>
                <w:sz w:val="22"/>
              </w:rPr>
              <w:t>Tultepec, México a 20 de Junio de 2023</w:t>
            </w:r>
          </w:p>
        </w:tc>
      </w:tr>
      <w:tr w:rsidR="004108E1" w:rsidRPr="00356C11" w14:paraId="57582502" w14:textId="77777777" w:rsidTr="004108E1">
        <w:trPr>
          <w:trHeight w:val="291"/>
          <w:tblCellSpacing w:w="0" w:type="dxa"/>
          <w:jc w:val="center"/>
        </w:trPr>
        <w:tc>
          <w:tcPr>
            <w:tcW w:w="0" w:type="auto"/>
            <w:vAlign w:val="center"/>
            <w:hideMark/>
          </w:tcPr>
          <w:p w14:paraId="1C572CA3" w14:textId="77777777" w:rsidR="004108E1" w:rsidRPr="00356C11" w:rsidRDefault="004108E1" w:rsidP="004108E1">
            <w:pPr>
              <w:spacing w:line="276" w:lineRule="auto"/>
              <w:jc w:val="right"/>
              <w:rPr>
                <w:rFonts w:ascii="Palatino Linotype" w:hAnsi="Palatino Linotype"/>
                <w:i/>
                <w:sz w:val="22"/>
              </w:rPr>
            </w:pPr>
            <w:r w:rsidRPr="00356C11">
              <w:rPr>
                <w:rFonts w:ascii="Palatino Linotype" w:hAnsi="Palatino Linotype"/>
                <w:i/>
                <w:sz w:val="22"/>
              </w:rPr>
              <w:t>Nombre del solicitante: C. Solicitante</w:t>
            </w:r>
          </w:p>
        </w:tc>
      </w:tr>
      <w:tr w:rsidR="004108E1" w:rsidRPr="00356C11" w14:paraId="24C8AAB6" w14:textId="77777777" w:rsidTr="004108E1">
        <w:trPr>
          <w:trHeight w:val="291"/>
          <w:tblCellSpacing w:w="0" w:type="dxa"/>
          <w:jc w:val="center"/>
        </w:trPr>
        <w:tc>
          <w:tcPr>
            <w:tcW w:w="0" w:type="auto"/>
            <w:vAlign w:val="center"/>
            <w:hideMark/>
          </w:tcPr>
          <w:p w14:paraId="6B90959D" w14:textId="77777777" w:rsidR="004108E1" w:rsidRPr="00356C11" w:rsidRDefault="004108E1" w:rsidP="004108E1">
            <w:pPr>
              <w:spacing w:line="276" w:lineRule="auto"/>
              <w:jc w:val="right"/>
              <w:rPr>
                <w:rFonts w:ascii="Palatino Linotype" w:hAnsi="Palatino Linotype"/>
                <w:i/>
                <w:sz w:val="22"/>
              </w:rPr>
            </w:pPr>
            <w:r w:rsidRPr="00356C11">
              <w:rPr>
                <w:rFonts w:ascii="Palatino Linotype" w:hAnsi="Palatino Linotype"/>
                <w:i/>
                <w:sz w:val="22"/>
              </w:rPr>
              <w:t>Folio de la solicitud: 01269/TULTEPEC/IP/2023</w:t>
            </w:r>
          </w:p>
        </w:tc>
      </w:tr>
      <w:tr w:rsidR="004108E1" w:rsidRPr="00356C11" w14:paraId="492C5429" w14:textId="77777777" w:rsidTr="004108E1">
        <w:trPr>
          <w:trHeight w:val="437"/>
          <w:tblCellSpacing w:w="0" w:type="dxa"/>
          <w:jc w:val="center"/>
        </w:trPr>
        <w:tc>
          <w:tcPr>
            <w:tcW w:w="0" w:type="auto"/>
            <w:vAlign w:val="center"/>
            <w:hideMark/>
          </w:tcPr>
          <w:p w14:paraId="4149D991" w14:textId="77777777" w:rsidR="004108E1" w:rsidRPr="00356C11" w:rsidRDefault="004108E1" w:rsidP="004108E1">
            <w:pPr>
              <w:spacing w:line="276" w:lineRule="auto"/>
              <w:jc w:val="right"/>
              <w:rPr>
                <w:rFonts w:ascii="Palatino Linotype" w:hAnsi="Palatino Linotype"/>
                <w:i/>
                <w:sz w:val="22"/>
              </w:rPr>
            </w:pPr>
          </w:p>
        </w:tc>
      </w:tr>
      <w:tr w:rsidR="004108E1" w:rsidRPr="00356C11" w14:paraId="1CB1F6AE" w14:textId="77777777" w:rsidTr="004108E1">
        <w:trPr>
          <w:trHeight w:val="145"/>
          <w:tblCellSpacing w:w="0" w:type="dxa"/>
          <w:jc w:val="center"/>
        </w:trPr>
        <w:tc>
          <w:tcPr>
            <w:tcW w:w="0" w:type="auto"/>
            <w:vAlign w:val="center"/>
            <w:hideMark/>
          </w:tcPr>
          <w:p w14:paraId="44A5837C" w14:textId="77777777" w:rsidR="004108E1" w:rsidRPr="00356C11" w:rsidRDefault="004108E1" w:rsidP="004108E1">
            <w:pPr>
              <w:spacing w:line="276" w:lineRule="auto"/>
              <w:jc w:val="center"/>
              <w:rPr>
                <w:rFonts w:ascii="Palatino Linotype" w:hAnsi="Palatino Linotype"/>
                <w:i/>
                <w:sz w:val="22"/>
              </w:rPr>
            </w:pPr>
          </w:p>
        </w:tc>
      </w:tr>
      <w:tr w:rsidR="004108E1" w:rsidRPr="00356C11" w14:paraId="2D7ACB4D" w14:textId="77777777" w:rsidTr="004108E1">
        <w:trPr>
          <w:trHeight w:val="364"/>
          <w:tblCellSpacing w:w="0" w:type="dxa"/>
          <w:jc w:val="center"/>
        </w:trPr>
        <w:tc>
          <w:tcPr>
            <w:tcW w:w="0" w:type="auto"/>
            <w:vAlign w:val="center"/>
            <w:hideMark/>
          </w:tcPr>
          <w:p w14:paraId="72512163" w14:textId="77777777" w:rsidR="004108E1" w:rsidRPr="00356C11" w:rsidRDefault="004108E1" w:rsidP="004108E1">
            <w:pPr>
              <w:spacing w:line="276" w:lineRule="auto"/>
              <w:rPr>
                <w:rFonts w:ascii="Palatino Linotype" w:hAnsi="Palatino Linotype"/>
                <w:i/>
                <w:sz w:val="22"/>
              </w:rPr>
            </w:pPr>
          </w:p>
        </w:tc>
      </w:tr>
      <w:tr w:rsidR="004108E1" w:rsidRPr="00356C11" w14:paraId="626469DB" w14:textId="77777777" w:rsidTr="004108E1">
        <w:trPr>
          <w:trHeight w:val="145"/>
          <w:tblCellSpacing w:w="0" w:type="dxa"/>
          <w:jc w:val="center"/>
        </w:trPr>
        <w:tc>
          <w:tcPr>
            <w:tcW w:w="0" w:type="auto"/>
            <w:vAlign w:val="center"/>
            <w:hideMark/>
          </w:tcPr>
          <w:p w14:paraId="5AD61805" w14:textId="77777777" w:rsidR="004108E1" w:rsidRPr="00356C11" w:rsidRDefault="004108E1" w:rsidP="004108E1">
            <w:pPr>
              <w:spacing w:line="276" w:lineRule="auto"/>
              <w:jc w:val="both"/>
              <w:rPr>
                <w:rFonts w:ascii="Palatino Linotype" w:hAnsi="Palatino Linotype"/>
                <w:i/>
                <w:sz w:val="22"/>
              </w:rPr>
            </w:pPr>
            <w:r w:rsidRPr="00356C11">
              <w:rPr>
                <w:rFonts w:ascii="Palatino Linotype" w:hAnsi="Palatino Linotype"/>
                <w:i/>
                <w:sz w:val="22"/>
              </w:rPr>
              <w:t xml:space="preserve">Por medio de la presente y con la finalidad de garantizar su derecho de acceso a la información pública y cubrir satisfactoriamente su solicitud, dando cumplimiento a lo establecido en el artículo 53, Fracciones II, V y VI de la Ley de Transparencia y Acceso a la Información Pública del Estado de México y Municipios; la solicitud identificada con el folio 01269/TULTEPEC/IP/2023, donde solicita la veracidad del nivel de estudios de Secretario de Ayuntamiento y los tiempos de trayecto del mismo con fundamento del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Aunado a esto le anexo las documentaciones correspondientes para poder verificar la validación del Título; del mismo modo le agrego los anexos de la consulta de Títulos electrónicos autenticados por la Dirección General de Acreditación Incorporación y Revalidación área adscrita a la Secretaria de Educación Pública donde se encuentra Autenticado. Ahora bien, por los tiempos de trayecto como sujeto obligado es información que no es administrada ni generada por lo que no es un carácter de información pública. ANEXO ARCHIVO ELECTRONICO CON LA RESPUESTA SOLICITADA; Cabe señalar que, cualquier aclaración o interpretación en relación con </w:t>
            </w:r>
            <w:r w:rsidRPr="00356C11">
              <w:rPr>
                <w:rFonts w:ascii="Palatino Linotype" w:hAnsi="Palatino Linotype"/>
                <w:i/>
                <w:sz w:val="22"/>
              </w:rPr>
              <w:lastRenderedPageBreak/>
              <w:t>lo vertido en la presente, será atendido a la brevedad para su correcta aplicación. Sin otro particular, le extiendo un cordial saludo.</w:t>
            </w:r>
          </w:p>
        </w:tc>
      </w:tr>
      <w:tr w:rsidR="004108E1" w:rsidRPr="00356C11" w14:paraId="7E114C76" w14:textId="77777777" w:rsidTr="004108E1">
        <w:trPr>
          <w:trHeight w:val="364"/>
          <w:tblCellSpacing w:w="0" w:type="dxa"/>
          <w:jc w:val="center"/>
        </w:trPr>
        <w:tc>
          <w:tcPr>
            <w:tcW w:w="0" w:type="auto"/>
            <w:vAlign w:val="center"/>
            <w:hideMark/>
          </w:tcPr>
          <w:p w14:paraId="413DE1EE" w14:textId="77777777" w:rsidR="004108E1" w:rsidRPr="00356C11" w:rsidRDefault="004108E1" w:rsidP="004108E1">
            <w:pPr>
              <w:spacing w:line="276" w:lineRule="auto"/>
              <w:rPr>
                <w:rFonts w:ascii="Palatino Linotype" w:hAnsi="Palatino Linotype"/>
                <w:i/>
                <w:sz w:val="22"/>
              </w:rPr>
            </w:pPr>
          </w:p>
        </w:tc>
      </w:tr>
      <w:tr w:rsidR="004108E1" w:rsidRPr="00356C11" w14:paraId="77054D1D" w14:textId="77777777" w:rsidTr="004108E1">
        <w:trPr>
          <w:trHeight w:val="145"/>
          <w:tblCellSpacing w:w="0" w:type="dxa"/>
          <w:jc w:val="center"/>
        </w:trPr>
        <w:tc>
          <w:tcPr>
            <w:tcW w:w="0" w:type="auto"/>
            <w:vAlign w:val="center"/>
            <w:hideMark/>
          </w:tcPr>
          <w:p w14:paraId="78AF455F" w14:textId="77777777" w:rsidR="004108E1" w:rsidRPr="00356C11" w:rsidRDefault="004108E1" w:rsidP="004108E1">
            <w:pPr>
              <w:spacing w:line="276" w:lineRule="auto"/>
              <w:jc w:val="center"/>
              <w:rPr>
                <w:rFonts w:ascii="Palatino Linotype" w:hAnsi="Palatino Linotype"/>
                <w:i/>
                <w:sz w:val="22"/>
              </w:rPr>
            </w:pPr>
          </w:p>
        </w:tc>
      </w:tr>
      <w:tr w:rsidR="004108E1" w:rsidRPr="00356C11" w14:paraId="4FB73D61" w14:textId="77777777" w:rsidTr="004108E1">
        <w:trPr>
          <w:trHeight w:val="145"/>
          <w:tblCellSpacing w:w="0" w:type="dxa"/>
          <w:jc w:val="center"/>
        </w:trPr>
        <w:tc>
          <w:tcPr>
            <w:tcW w:w="0" w:type="auto"/>
            <w:vAlign w:val="center"/>
            <w:hideMark/>
          </w:tcPr>
          <w:p w14:paraId="216C3844" w14:textId="77777777" w:rsidR="004108E1" w:rsidRPr="00356C11" w:rsidRDefault="004108E1" w:rsidP="004108E1">
            <w:pPr>
              <w:spacing w:line="276" w:lineRule="auto"/>
              <w:rPr>
                <w:rFonts w:ascii="Palatino Linotype" w:hAnsi="Palatino Linotype"/>
                <w:i/>
                <w:sz w:val="22"/>
              </w:rPr>
            </w:pPr>
          </w:p>
        </w:tc>
      </w:tr>
      <w:tr w:rsidR="004108E1" w:rsidRPr="00356C11" w14:paraId="64D9613D" w14:textId="77777777" w:rsidTr="004108E1">
        <w:trPr>
          <w:trHeight w:val="145"/>
          <w:tblCellSpacing w:w="0" w:type="dxa"/>
          <w:jc w:val="center"/>
        </w:trPr>
        <w:tc>
          <w:tcPr>
            <w:tcW w:w="0" w:type="auto"/>
            <w:vAlign w:val="center"/>
            <w:hideMark/>
          </w:tcPr>
          <w:p w14:paraId="43BA8050" w14:textId="77777777" w:rsidR="004108E1" w:rsidRPr="00356C11" w:rsidRDefault="004108E1" w:rsidP="004108E1">
            <w:pPr>
              <w:spacing w:line="276" w:lineRule="auto"/>
              <w:rPr>
                <w:rFonts w:ascii="Palatino Linotype" w:hAnsi="Palatino Linotype"/>
                <w:i/>
                <w:sz w:val="22"/>
              </w:rPr>
            </w:pPr>
            <w:r w:rsidRPr="00356C11">
              <w:rPr>
                <w:rFonts w:ascii="Palatino Linotype" w:hAnsi="Palatino Linotype"/>
                <w:i/>
                <w:sz w:val="22"/>
              </w:rPr>
              <w:t>ATENTAMENTE</w:t>
            </w:r>
          </w:p>
        </w:tc>
      </w:tr>
      <w:tr w:rsidR="004108E1" w:rsidRPr="00356C11" w14:paraId="44F06828" w14:textId="77777777" w:rsidTr="004108E1">
        <w:trPr>
          <w:trHeight w:val="218"/>
          <w:tblCellSpacing w:w="0" w:type="dxa"/>
          <w:jc w:val="center"/>
        </w:trPr>
        <w:tc>
          <w:tcPr>
            <w:tcW w:w="0" w:type="auto"/>
            <w:vAlign w:val="center"/>
            <w:hideMark/>
          </w:tcPr>
          <w:p w14:paraId="02745BBF" w14:textId="77777777" w:rsidR="004108E1" w:rsidRPr="00356C11" w:rsidRDefault="004108E1" w:rsidP="004108E1">
            <w:pPr>
              <w:spacing w:line="276" w:lineRule="auto"/>
              <w:rPr>
                <w:rFonts w:ascii="Palatino Linotype" w:hAnsi="Palatino Linotype"/>
                <w:i/>
                <w:sz w:val="22"/>
              </w:rPr>
            </w:pPr>
          </w:p>
        </w:tc>
      </w:tr>
      <w:tr w:rsidR="004108E1" w:rsidRPr="00356C11" w14:paraId="18F79640" w14:textId="77777777" w:rsidTr="004108E1">
        <w:trPr>
          <w:trHeight w:val="145"/>
          <w:tblCellSpacing w:w="0" w:type="dxa"/>
          <w:jc w:val="center"/>
        </w:trPr>
        <w:tc>
          <w:tcPr>
            <w:tcW w:w="0" w:type="auto"/>
            <w:vAlign w:val="center"/>
            <w:hideMark/>
          </w:tcPr>
          <w:p w14:paraId="55D8A218" w14:textId="77777777" w:rsidR="004108E1" w:rsidRDefault="004108E1" w:rsidP="004108E1">
            <w:pPr>
              <w:spacing w:line="276" w:lineRule="auto"/>
              <w:rPr>
                <w:rFonts w:ascii="Palatino Linotype" w:hAnsi="Palatino Linotype"/>
                <w:i/>
                <w:sz w:val="22"/>
              </w:rPr>
            </w:pPr>
            <w:r w:rsidRPr="00356C11">
              <w:rPr>
                <w:rFonts w:ascii="Palatino Linotype" w:hAnsi="Palatino Linotype"/>
                <w:i/>
                <w:sz w:val="22"/>
              </w:rPr>
              <w:t>LUIS FERNANDO HURTADO ADUNA</w:t>
            </w:r>
          </w:p>
          <w:p w14:paraId="72CF6236" w14:textId="77777777" w:rsidR="00356C11" w:rsidRPr="00356C11" w:rsidRDefault="00356C11" w:rsidP="004108E1">
            <w:pPr>
              <w:spacing w:line="276" w:lineRule="auto"/>
              <w:rPr>
                <w:rFonts w:ascii="Palatino Linotype" w:hAnsi="Palatino Linotype"/>
                <w:i/>
                <w:sz w:val="22"/>
              </w:rPr>
            </w:pPr>
          </w:p>
        </w:tc>
      </w:tr>
    </w:tbl>
    <w:p w14:paraId="6D4BC6A0" w14:textId="77777777" w:rsidR="004108E1" w:rsidRPr="00356C11" w:rsidRDefault="004108E1" w:rsidP="004108E1">
      <w:pPr>
        <w:spacing w:line="360" w:lineRule="auto"/>
        <w:jc w:val="both"/>
        <w:rPr>
          <w:rFonts w:ascii="Palatino Linotype" w:hAnsi="Palatino Linotype" w:cs="Arial"/>
          <w:sz w:val="22"/>
          <w:lang w:val="es-ES" w:eastAsia="es-ES"/>
        </w:rPr>
      </w:pPr>
      <w:r w:rsidRPr="00356C11">
        <w:rPr>
          <w:rFonts w:ascii="Palatino Linotype" w:hAnsi="Palatino Linotype" w:cs="Arial"/>
          <w:sz w:val="22"/>
          <w:lang w:val="es-ES" w:eastAsia="es-ES"/>
        </w:rPr>
        <w:t xml:space="preserve">A la respuesta se adjuntó el archivo </w:t>
      </w:r>
      <w:hyperlink r:id="rId7" w:tgtFrame="_blank" w:history="1">
        <w:r w:rsidRPr="00356C11">
          <w:rPr>
            <w:rStyle w:val="Hipervnculo"/>
            <w:rFonts w:ascii="Palatino Linotype" w:hAnsi="Palatino Linotype" w:cs="Arial"/>
            <w:b/>
            <w:bCs/>
            <w:sz w:val="22"/>
            <w:lang w:eastAsia="es-ES"/>
          </w:rPr>
          <w:t>01269-TULTEPEC-2023.zip</w:t>
        </w:r>
      </w:hyperlink>
      <w:r w:rsidRPr="00356C11">
        <w:rPr>
          <w:rFonts w:ascii="Palatino Linotype" w:hAnsi="Palatino Linotype" w:cs="Arial"/>
          <w:sz w:val="22"/>
          <w:lang w:val="es-ES" w:eastAsia="es-ES"/>
        </w:rPr>
        <w:t>, en el que se advierten los siguientes documentos que se describen:</w:t>
      </w:r>
    </w:p>
    <w:p w14:paraId="0F0FDCDE" w14:textId="77777777" w:rsidR="004108E1" w:rsidRPr="00356C11" w:rsidRDefault="004108E1" w:rsidP="004108E1">
      <w:pPr>
        <w:spacing w:line="360" w:lineRule="auto"/>
        <w:jc w:val="both"/>
        <w:rPr>
          <w:rFonts w:ascii="Palatino Linotype" w:hAnsi="Palatino Linotype" w:cs="Arial"/>
          <w:sz w:val="22"/>
          <w:lang w:val="es-ES" w:eastAsia="es-ES"/>
        </w:rPr>
      </w:pPr>
    </w:p>
    <w:p w14:paraId="6E98E41F" w14:textId="77777777" w:rsidR="004108E1" w:rsidRPr="00356C11" w:rsidRDefault="004108E1" w:rsidP="004108E1">
      <w:pPr>
        <w:pStyle w:val="Prrafodelista"/>
        <w:numPr>
          <w:ilvl w:val="0"/>
          <w:numId w:val="10"/>
        </w:numPr>
        <w:spacing w:line="360" w:lineRule="auto"/>
        <w:jc w:val="both"/>
        <w:rPr>
          <w:rFonts w:ascii="Palatino Linotype" w:hAnsi="Palatino Linotype" w:cs="Arial"/>
          <w:lang w:val="es-ES" w:eastAsia="es-ES"/>
        </w:rPr>
      </w:pPr>
      <w:r w:rsidRPr="00356C11">
        <w:rPr>
          <w:rFonts w:ascii="Palatino Linotype" w:hAnsi="Palatino Linotype" w:cs="Arial"/>
          <w:lang w:val="es-ES" w:eastAsia="es-ES"/>
        </w:rPr>
        <w:t>Acta de la primera sesión ordina</w:t>
      </w:r>
      <w:r w:rsidR="008F2CED" w:rsidRPr="00356C11">
        <w:rPr>
          <w:rFonts w:ascii="Palatino Linotype" w:hAnsi="Palatino Linotype" w:cs="Arial"/>
          <w:lang w:val="es-ES" w:eastAsia="es-ES"/>
        </w:rPr>
        <w:t>ria del comité de transparencia;</w:t>
      </w:r>
    </w:p>
    <w:p w14:paraId="7A74714B" w14:textId="77777777" w:rsidR="008F2CED" w:rsidRPr="00356C11" w:rsidRDefault="008F2CED" w:rsidP="008F2CED">
      <w:pPr>
        <w:pStyle w:val="Prrafodelista"/>
        <w:numPr>
          <w:ilvl w:val="0"/>
          <w:numId w:val="10"/>
        </w:numPr>
        <w:spacing w:line="360" w:lineRule="auto"/>
        <w:jc w:val="both"/>
        <w:rPr>
          <w:rFonts w:ascii="Palatino Linotype" w:hAnsi="Palatino Linotype" w:cs="Arial"/>
          <w:lang w:val="es-ES" w:eastAsia="es-ES"/>
        </w:rPr>
      </w:pPr>
      <w:r w:rsidRPr="00356C11">
        <w:rPr>
          <w:rFonts w:ascii="Palatino Linotype" w:hAnsi="Palatino Linotype" w:cs="Arial"/>
          <w:lang w:val="es-ES" w:eastAsia="es-ES"/>
        </w:rPr>
        <w:t>Versión pública de la cédula profesional y título,  del servidor público referido en la solicitud de información;</w:t>
      </w:r>
    </w:p>
    <w:p w14:paraId="602B4A26" w14:textId="77777777" w:rsidR="004108E1" w:rsidRPr="00356C11" w:rsidRDefault="004108E1" w:rsidP="004108E1">
      <w:pPr>
        <w:pStyle w:val="Prrafodelista"/>
        <w:spacing w:line="360" w:lineRule="auto"/>
        <w:jc w:val="both"/>
        <w:rPr>
          <w:rFonts w:ascii="Palatino Linotype" w:hAnsi="Palatino Linotype" w:cs="Arial"/>
          <w:sz w:val="24"/>
          <w:lang w:val="es-ES" w:eastAsia="es-ES"/>
        </w:rPr>
      </w:pPr>
    </w:p>
    <w:p w14:paraId="77C8700A" w14:textId="77777777" w:rsidR="004108E1" w:rsidRPr="00356C11" w:rsidRDefault="00BD15E9"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eastAsia="Calibri" w:hAnsi="Palatino Linotype" w:cs="Arial"/>
          <w:sz w:val="24"/>
          <w:lang w:val="es-AR" w:eastAsia="es-ES"/>
        </w:rPr>
        <w:t>El veintiséis (26) de junio</w:t>
      </w:r>
      <w:r w:rsidR="004108E1" w:rsidRPr="00356C11">
        <w:rPr>
          <w:rFonts w:ascii="Palatino Linotype" w:eastAsia="Calibri" w:hAnsi="Palatino Linotype" w:cs="Arial"/>
          <w:sz w:val="24"/>
          <w:lang w:val="es-AR" w:eastAsia="es-ES"/>
        </w:rPr>
        <w:t xml:space="preserve"> de dos mil veintitrés</w:t>
      </w:r>
      <w:r w:rsidR="004108E1" w:rsidRPr="00356C11">
        <w:rPr>
          <w:rFonts w:ascii="Palatino Linotype" w:hAnsi="Palatino Linotype" w:cs="Arial"/>
          <w:sz w:val="24"/>
          <w:lang w:val="es-ES" w:eastAsia="es-ES"/>
        </w:rPr>
        <w:t xml:space="preserve">, </w:t>
      </w:r>
      <w:r w:rsidR="004108E1" w:rsidRPr="00356C11">
        <w:rPr>
          <w:rFonts w:ascii="Palatino Linotype" w:eastAsiaTheme="minorEastAsia" w:hAnsi="Palatino Linotype"/>
          <w:b/>
          <w:sz w:val="24"/>
          <w:lang w:val="es-ES_tradnl" w:eastAsia="es-ES"/>
        </w:rPr>
        <w:t>EL RECURRENTE</w:t>
      </w:r>
      <w:r w:rsidR="004108E1" w:rsidRPr="00356C11">
        <w:rPr>
          <w:rFonts w:ascii="Palatino Linotype" w:hAnsi="Palatino Linotype" w:cs="Arial"/>
          <w:sz w:val="24"/>
          <w:lang w:val="es-ES" w:eastAsia="es-ES"/>
        </w:rPr>
        <w:t xml:space="preserve"> interpuso el recurso de revisión, en contra de la respuesta, señalando como:</w:t>
      </w:r>
    </w:p>
    <w:p w14:paraId="5F7F2079" w14:textId="77777777" w:rsidR="004108E1" w:rsidRPr="00356C11" w:rsidRDefault="004108E1" w:rsidP="00356C11">
      <w:pPr>
        <w:pStyle w:val="Prrafodelista"/>
        <w:numPr>
          <w:ilvl w:val="0"/>
          <w:numId w:val="19"/>
        </w:numPr>
        <w:spacing w:line="360" w:lineRule="auto"/>
        <w:ind w:right="567"/>
        <w:jc w:val="both"/>
        <w:rPr>
          <w:rFonts w:ascii="Palatino Linotype" w:eastAsia="Calibri" w:hAnsi="Palatino Linotype" w:cs="Arial"/>
          <w:i/>
          <w:lang w:val="es-ES" w:eastAsia="es-ES"/>
        </w:rPr>
      </w:pPr>
      <w:r w:rsidRPr="00356C11">
        <w:rPr>
          <w:rFonts w:ascii="Palatino Linotype" w:eastAsiaTheme="minorEastAsia" w:hAnsi="Palatino Linotype"/>
          <w:b/>
          <w:lang w:val="es-ES_tradnl" w:eastAsia="es-ES"/>
        </w:rPr>
        <w:t>Acto impugnado</w:t>
      </w:r>
      <w:r w:rsidRPr="00356C11">
        <w:rPr>
          <w:rFonts w:ascii="Palatino Linotype" w:eastAsiaTheme="minorEastAsia" w:hAnsi="Palatino Linotype"/>
          <w:b/>
          <w:i/>
          <w:lang w:val="es-ES_tradnl" w:eastAsia="es-ES"/>
        </w:rPr>
        <w:t>:</w:t>
      </w:r>
      <w:r w:rsidRPr="00356C11">
        <w:rPr>
          <w:rFonts w:ascii="Palatino Linotype" w:hAnsi="Palatino Linotype"/>
          <w:i/>
          <w:color w:val="000000"/>
        </w:rPr>
        <w:t xml:space="preserve"> "</w:t>
      </w:r>
      <w:r w:rsidR="00BD15E9" w:rsidRPr="00356C11">
        <w:rPr>
          <w:rFonts w:ascii="Verdana" w:hAnsi="Verdana"/>
          <w:color w:val="000000"/>
        </w:rPr>
        <w:t xml:space="preserve"> </w:t>
      </w:r>
      <w:r w:rsidR="00BD15E9" w:rsidRPr="00356C11">
        <w:rPr>
          <w:rFonts w:ascii="Palatino Linotype" w:hAnsi="Palatino Linotype"/>
          <w:i/>
          <w:color w:val="000000"/>
        </w:rPr>
        <w:t>La respuesta otorgada a mi solicitud</w:t>
      </w:r>
      <w:r w:rsidRPr="00356C11">
        <w:rPr>
          <w:rFonts w:ascii="Palatino Linotype" w:hAnsi="Palatino Linotype"/>
          <w:i/>
          <w:color w:val="000000"/>
        </w:rPr>
        <w:t>" (Sic)</w:t>
      </w:r>
    </w:p>
    <w:p w14:paraId="2B0DB114" w14:textId="77777777" w:rsidR="004108E1" w:rsidRPr="00356C11" w:rsidRDefault="004108E1" w:rsidP="00356C11">
      <w:pPr>
        <w:pStyle w:val="Prrafodelista"/>
        <w:numPr>
          <w:ilvl w:val="0"/>
          <w:numId w:val="19"/>
        </w:numPr>
        <w:spacing w:line="360" w:lineRule="auto"/>
        <w:ind w:right="567"/>
        <w:jc w:val="both"/>
        <w:rPr>
          <w:rFonts w:ascii="Palatino Linotype" w:eastAsiaTheme="minorEastAsia" w:hAnsi="Palatino Linotype"/>
          <w:b/>
          <w:lang w:val="es-ES_tradnl" w:eastAsia="es-ES"/>
        </w:rPr>
      </w:pPr>
      <w:r w:rsidRPr="00356C11">
        <w:rPr>
          <w:rFonts w:ascii="Palatino Linotype" w:eastAsiaTheme="minorEastAsia" w:hAnsi="Palatino Linotype"/>
          <w:b/>
          <w:lang w:val="es-ES_tradnl" w:eastAsia="es-ES"/>
        </w:rPr>
        <w:t xml:space="preserve">Razones o Motivos de inconformidad: </w:t>
      </w:r>
      <w:r w:rsidRPr="00356C11">
        <w:rPr>
          <w:rFonts w:ascii="Palatino Linotype" w:eastAsiaTheme="minorEastAsia" w:hAnsi="Palatino Linotype"/>
          <w:i/>
          <w:lang w:eastAsia="es-ES"/>
        </w:rPr>
        <w:t>"</w:t>
      </w:r>
      <w:r w:rsidR="00BD15E9" w:rsidRPr="00356C11">
        <w:rPr>
          <w:rFonts w:ascii="Verdana" w:hAnsi="Verdana"/>
          <w:color w:val="000000"/>
        </w:rPr>
        <w:t xml:space="preserve"> </w:t>
      </w:r>
      <w:r w:rsidR="00BD15E9" w:rsidRPr="00356C11">
        <w:rPr>
          <w:rFonts w:ascii="Palatino Linotype" w:eastAsiaTheme="minorEastAsia" w:hAnsi="Palatino Linotype"/>
          <w:i/>
          <w:lang w:eastAsia="es-ES"/>
        </w:rPr>
        <w:t>No se entrega la documentación requerida de manera completa</w:t>
      </w:r>
      <w:r w:rsidRPr="00356C11">
        <w:rPr>
          <w:rFonts w:ascii="Palatino Linotype" w:eastAsiaTheme="minorEastAsia" w:hAnsi="Palatino Linotype"/>
          <w:i/>
          <w:lang w:eastAsia="es-ES"/>
        </w:rPr>
        <w:t>" (Sic)</w:t>
      </w:r>
    </w:p>
    <w:p w14:paraId="474F0E0D" w14:textId="77777777" w:rsidR="004108E1" w:rsidRPr="00356C11" w:rsidRDefault="004108E1" w:rsidP="004108E1">
      <w:pPr>
        <w:spacing w:line="360" w:lineRule="auto"/>
        <w:ind w:right="567"/>
        <w:contextualSpacing/>
        <w:jc w:val="both"/>
        <w:rPr>
          <w:rFonts w:ascii="Palatino Linotype" w:hAnsi="Palatino Linotype" w:cs="Arial"/>
        </w:rPr>
      </w:pPr>
    </w:p>
    <w:p w14:paraId="3EDAF4FF" w14:textId="77777777" w:rsidR="004108E1" w:rsidRPr="00356C11" w:rsidRDefault="004108E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hAnsi="Palatino Linotype" w:cs="Arial"/>
          <w:sz w:val="24"/>
          <w:lang w:val="es-ES" w:eastAsia="es-ES"/>
        </w:rPr>
        <w:t xml:space="preserve">Se registró el recurso de revisión bajo el número de expediente </w:t>
      </w:r>
      <w:r w:rsidRPr="00356C11">
        <w:rPr>
          <w:rFonts w:ascii="Palatino Linotype" w:eastAsiaTheme="minorEastAsia" w:hAnsi="Palatino Linotype" w:cs="Arial"/>
          <w:bCs/>
          <w:sz w:val="24"/>
          <w:lang w:val="es-ES_tradnl" w:eastAsia="es-ES"/>
        </w:rPr>
        <w:t xml:space="preserve">al rubro indicado, asimismo con fundamento en lo dispuesto por el </w:t>
      </w:r>
      <w:r w:rsidRPr="00356C11">
        <w:rPr>
          <w:rFonts w:ascii="Palatino Linotype" w:eastAsia="Calibri" w:hAnsi="Palatino Linotype" w:cs="Arial"/>
          <w:sz w:val="24"/>
          <w:lang w:val="es-ES" w:eastAsia="es-ES"/>
        </w:rPr>
        <w:t xml:space="preserve">artículo 185 fracción I de la </w:t>
      </w:r>
      <w:r w:rsidRPr="00356C11">
        <w:rPr>
          <w:rFonts w:ascii="Palatino Linotype" w:eastAsia="Calibri" w:hAnsi="Palatino Linotype" w:cs="Arial"/>
          <w:b/>
          <w:sz w:val="24"/>
          <w:lang w:val="es-ES" w:eastAsia="es-ES"/>
        </w:rPr>
        <w:t xml:space="preserve">Ley de Transparencia y Acceso a la Información Pública del Estado de México y Municipios </w:t>
      </w:r>
      <w:r w:rsidRPr="00356C11">
        <w:rPr>
          <w:rFonts w:ascii="Palatino Linotype" w:hAnsi="Palatino Linotype" w:cs="Arial"/>
          <w:sz w:val="24"/>
          <w:lang w:val="es-ES" w:eastAsia="es-ES"/>
        </w:rPr>
        <w:t xml:space="preserve">se turnó a la </w:t>
      </w:r>
      <w:r w:rsidRPr="00356C11">
        <w:rPr>
          <w:rFonts w:ascii="Palatino Linotype" w:hAnsi="Palatino Linotype" w:cs="Arial"/>
          <w:b/>
          <w:sz w:val="24"/>
          <w:lang w:val="es-ES" w:eastAsia="es-ES"/>
        </w:rPr>
        <w:t xml:space="preserve">Comisionada María del Rosario Mejía Ayala, </w:t>
      </w:r>
      <w:r w:rsidR="00356C11">
        <w:rPr>
          <w:rFonts w:ascii="Palatino Linotype" w:hAnsi="Palatino Linotype" w:cs="Arial"/>
          <w:sz w:val="24"/>
          <w:lang w:val="es-ES" w:eastAsia="es-ES"/>
        </w:rPr>
        <w:t>para</w:t>
      </w:r>
      <w:r w:rsidRPr="00356C11">
        <w:rPr>
          <w:rFonts w:ascii="Palatino Linotype" w:hAnsi="Palatino Linotype" w:cs="Arial"/>
          <w:sz w:val="24"/>
          <w:lang w:val="es-ES" w:eastAsia="es-ES"/>
        </w:rPr>
        <w:t xml:space="preserve"> </w:t>
      </w:r>
      <w:r w:rsidRPr="00356C11">
        <w:rPr>
          <w:rFonts w:ascii="Palatino Linotype" w:hAnsi="Palatino Linotype" w:cs="Arial"/>
          <w:sz w:val="24"/>
          <w:lang w:eastAsia="es-ES"/>
        </w:rPr>
        <w:t xml:space="preserve">su análisis. </w:t>
      </w:r>
    </w:p>
    <w:p w14:paraId="70F5A02B"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1A0E810B" w14:textId="77777777" w:rsidR="004108E1" w:rsidRPr="00356C11" w:rsidRDefault="00356C1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La Comisionada</w:t>
      </w:r>
      <w:r w:rsidR="004108E1" w:rsidRPr="00356C11">
        <w:rPr>
          <w:rFonts w:ascii="Palatino Linotype" w:eastAsia="Calibri" w:hAnsi="Palatino Linotype" w:cs="Arial"/>
          <w:sz w:val="24"/>
          <w:lang w:val="es-ES" w:eastAsia="es-ES"/>
        </w:rPr>
        <w:t xml:space="preserve"> Ponente con fundamento en lo dispuesto por el artículo 185 fracción II de la ley de la materia, a través del acuerdo de admisión </w:t>
      </w:r>
      <w:r w:rsidR="001752CE" w:rsidRPr="00356C11">
        <w:rPr>
          <w:rFonts w:ascii="Palatino Linotype" w:eastAsia="Calibri" w:hAnsi="Palatino Linotype" w:cs="Arial"/>
          <w:sz w:val="24"/>
          <w:lang w:val="es-ES" w:eastAsia="es-ES"/>
        </w:rPr>
        <w:t xml:space="preserve"> </w:t>
      </w:r>
      <w:r w:rsidR="00062B6E" w:rsidRPr="00356C11">
        <w:rPr>
          <w:rFonts w:ascii="Palatino Linotype" w:eastAsia="Calibri" w:hAnsi="Palatino Linotype" w:cs="Arial"/>
          <w:sz w:val="24"/>
          <w:lang w:val="es-ES" w:eastAsia="es-ES"/>
        </w:rPr>
        <w:t xml:space="preserve">del veintinueve (29) </w:t>
      </w:r>
      <w:r w:rsidR="00062B6E" w:rsidRPr="00356C11">
        <w:rPr>
          <w:rFonts w:ascii="Palatino Linotype" w:eastAsia="Calibri" w:hAnsi="Palatino Linotype" w:cs="Arial"/>
          <w:sz w:val="24"/>
          <w:lang w:val="es-ES" w:eastAsia="es-ES"/>
        </w:rPr>
        <w:lastRenderedPageBreak/>
        <w:t>de junio</w:t>
      </w:r>
      <w:r w:rsidR="004108E1" w:rsidRPr="00356C11">
        <w:rPr>
          <w:rFonts w:ascii="Palatino Linotype" w:eastAsia="Calibri" w:hAnsi="Palatino Linotype" w:cs="Arial"/>
          <w:sz w:val="24"/>
          <w:lang w:val="es-ES" w:eastAsia="es-ES"/>
        </w:rPr>
        <w:t xml:space="preserve"> de dos mil veintitrés, puso a disposición de las partes el expediente electrónico </w:t>
      </w:r>
      <w:r w:rsidR="004108E1" w:rsidRPr="00356C11">
        <w:rPr>
          <w:rFonts w:ascii="Palatino Linotype" w:eastAsia="Calibri" w:hAnsi="Palatino Linotype" w:cs="Arial"/>
          <w:sz w:val="24"/>
          <w:lang w:val="es-ES_tradnl" w:eastAsia="es-ES"/>
        </w:rPr>
        <w:t xml:space="preserve">vía </w:t>
      </w:r>
      <w:r w:rsidR="004108E1" w:rsidRPr="00356C11">
        <w:rPr>
          <w:rFonts w:ascii="Palatino Linotype" w:eastAsia="Calibri" w:hAnsi="Palatino Linotype" w:cs="Arial"/>
          <w:b/>
          <w:sz w:val="24"/>
          <w:lang w:val="es-ES" w:eastAsia="es-ES"/>
        </w:rPr>
        <w:t xml:space="preserve">SAIMEX </w:t>
      </w:r>
      <w:r w:rsidR="004108E1" w:rsidRPr="00356C11">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004108E1" w:rsidRPr="00356C11">
        <w:rPr>
          <w:rFonts w:ascii="Palatino Linotype" w:eastAsia="Calibri" w:hAnsi="Palatino Linotype" w:cs="Arial"/>
          <w:b/>
          <w:sz w:val="24"/>
          <w:lang w:val="es-ES" w:eastAsia="es-ES"/>
        </w:rPr>
        <w:t>SUJETO OBLIGADO</w:t>
      </w:r>
      <w:r w:rsidR="004108E1" w:rsidRPr="00356C11">
        <w:rPr>
          <w:rFonts w:ascii="Palatino Linotype" w:eastAsia="Calibri" w:hAnsi="Palatino Linotype" w:cs="Arial"/>
          <w:sz w:val="24"/>
          <w:lang w:val="es-ES" w:eastAsia="es-ES"/>
        </w:rPr>
        <w:t xml:space="preserve"> presentara el informe justificado procedente. </w:t>
      </w:r>
    </w:p>
    <w:p w14:paraId="39793A5E" w14:textId="77777777" w:rsidR="004108E1" w:rsidRPr="00356C11" w:rsidRDefault="004108E1" w:rsidP="004108E1">
      <w:pPr>
        <w:pStyle w:val="Prrafodelista"/>
        <w:rPr>
          <w:rFonts w:ascii="Palatino Linotype" w:eastAsia="Calibri" w:hAnsi="Palatino Linotype" w:cs="Arial"/>
          <w:sz w:val="24"/>
          <w:lang w:val="es-ES" w:eastAsia="es-ES"/>
        </w:rPr>
      </w:pPr>
    </w:p>
    <w:p w14:paraId="7AC10AE7" w14:textId="77777777" w:rsidR="004108E1" w:rsidRPr="00356C11" w:rsidRDefault="004108E1" w:rsidP="007E6293">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eastAsia="Calibri" w:hAnsi="Palatino Linotype" w:cs="Arial"/>
          <w:sz w:val="24"/>
          <w:lang w:val="es-ES" w:eastAsia="es-ES"/>
        </w:rPr>
        <w:t xml:space="preserve">De las constancias del expediente electrónico SAIMEX se advierte que el Recurrente no realizó manifestaciones; </w:t>
      </w:r>
      <w:r w:rsidRPr="00356C11">
        <w:rPr>
          <w:rFonts w:ascii="Palatino Linotype" w:hAnsi="Palatino Linotype" w:cs="Arial"/>
          <w:sz w:val="24"/>
          <w:lang w:val="es-ES" w:eastAsia="es-ES"/>
        </w:rPr>
        <w:t>p</w:t>
      </w:r>
      <w:r w:rsidRPr="00356C11">
        <w:rPr>
          <w:rFonts w:ascii="Palatino Linotype" w:eastAsia="Calibri" w:hAnsi="Palatino Linotype" w:cs="Arial"/>
          <w:sz w:val="24"/>
          <w:lang w:val="es-ES" w:eastAsia="es-ES"/>
        </w:rPr>
        <w:t xml:space="preserve">or su parte, el Sujeto Obligado </w:t>
      </w:r>
      <w:r w:rsidR="00062B6E" w:rsidRPr="00356C11">
        <w:rPr>
          <w:rFonts w:ascii="Palatino Linotype" w:eastAsia="Calibri" w:hAnsi="Palatino Linotype" w:cs="Arial"/>
          <w:sz w:val="24"/>
          <w:lang w:val="es-ES" w:eastAsia="es-ES"/>
        </w:rPr>
        <w:t>no entregó informe justificado.</w:t>
      </w:r>
    </w:p>
    <w:p w14:paraId="5ACC2931" w14:textId="77777777" w:rsidR="00062B6E" w:rsidRPr="00356C11" w:rsidRDefault="00062B6E" w:rsidP="00062B6E">
      <w:pPr>
        <w:pStyle w:val="Prrafodelista"/>
        <w:rPr>
          <w:rFonts w:ascii="Palatino Linotype" w:hAnsi="Palatino Linotype" w:cs="Arial"/>
          <w:sz w:val="24"/>
          <w:lang w:val="es-ES" w:eastAsia="es-ES"/>
        </w:rPr>
      </w:pPr>
    </w:p>
    <w:p w14:paraId="65551E95" w14:textId="77777777" w:rsidR="00062B6E" w:rsidRPr="00356C11" w:rsidRDefault="00062B6E" w:rsidP="00062B6E">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eastAsiaTheme="minorEastAsia" w:hAnsi="Palatino Linotype"/>
          <w:sz w:val="24"/>
          <w:lang w:val="es-ES_tradnl" w:eastAsia="es-ES"/>
        </w:rPr>
        <w:t>La Comisionada Ponente decretó el cierre de instrucción</w:t>
      </w:r>
      <w:r w:rsidRPr="00356C11">
        <w:rPr>
          <w:rFonts w:ascii="Palatino Linotype" w:eastAsiaTheme="minorEastAsia" w:hAnsi="Palatino Linotype" w:cs="Arial"/>
          <w:sz w:val="24"/>
          <w:lang w:val="es-ES_tradnl" w:eastAsia="es-ES"/>
        </w:rPr>
        <w:t xml:space="preserve"> </w:t>
      </w:r>
      <w:r w:rsidRPr="00356C11">
        <w:rPr>
          <w:rFonts w:ascii="Palatino Linotype" w:eastAsiaTheme="minorEastAsia" w:hAnsi="Palatino Linotype"/>
          <w:sz w:val="24"/>
          <w:lang w:val="es-ES_tradnl" w:eastAsia="es-ES"/>
        </w:rPr>
        <w:t>mediante el acuerdo del dos (02) de agosto de dos mil veintitrés.</w:t>
      </w:r>
    </w:p>
    <w:p w14:paraId="0D83158B" w14:textId="77777777" w:rsidR="00062B6E" w:rsidRPr="00356C11" w:rsidRDefault="00062B6E" w:rsidP="00062B6E">
      <w:pPr>
        <w:pStyle w:val="Prrafodelista"/>
        <w:spacing w:line="360" w:lineRule="auto"/>
        <w:ind w:left="0"/>
        <w:jc w:val="both"/>
        <w:rPr>
          <w:rFonts w:ascii="Palatino Linotype" w:hAnsi="Palatino Linotype" w:cs="Arial"/>
          <w:sz w:val="24"/>
          <w:lang w:val="es-ES" w:eastAsia="es-ES"/>
        </w:rPr>
      </w:pPr>
    </w:p>
    <w:p w14:paraId="78DE400C" w14:textId="77777777" w:rsidR="004108E1" w:rsidRPr="00356C11" w:rsidRDefault="00062B6E"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hAnsi="Palatino Linotype" w:cs="Arial"/>
          <w:sz w:val="24"/>
          <w:lang w:val="es-ES" w:eastAsia="es-ES"/>
        </w:rPr>
        <w:t>El once (11) de octubre</w:t>
      </w:r>
      <w:r w:rsidR="004108E1" w:rsidRPr="00356C11">
        <w:rPr>
          <w:rFonts w:ascii="Palatino Linotype" w:hAnsi="Palatino Linotype" w:cs="Arial"/>
          <w:sz w:val="24"/>
          <w:lang w:val="es-ES" w:eastAsia="es-ES"/>
        </w:rPr>
        <w:t xml:space="preserve"> de dos mil veintitrés, se notificó el acuerdo por el cual se aprobó la ampliación de plazo para emitir resolución.</w:t>
      </w:r>
    </w:p>
    <w:p w14:paraId="014C024D"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5C00F3DA"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2B97CEA9" w14:textId="77777777" w:rsidR="004108E1" w:rsidRPr="00356C11" w:rsidRDefault="004108E1" w:rsidP="004108E1">
      <w:pPr>
        <w:spacing w:line="360" w:lineRule="auto"/>
        <w:rPr>
          <w:rFonts w:ascii="Palatino Linotype" w:hAnsi="Palatino Linotype"/>
        </w:rPr>
      </w:pPr>
    </w:p>
    <w:p w14:paraId="79DFEDE0"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356C11">
        <w:rPr>
          <w:rFonts w:ascii="Palatino Linotype" w:hAnsi="Palatino Linotype"/>
        </w:rPr>
        <w:lastRenderedPageBreak/>
        <w:t>por diversos órganos jurisdiccionales federales, aplicables también en procedimientos análogos, como el que nos ocupa.</w:t>
      </w:r>
    </w:p>
    <w:p w14:paraId="1EB5AB54" w14:textId="77777777" w:rsidR="004108E1" w:rsidRPr="00356C11" w:rsidRDefault="004108E1" w:rsidP="004108E1">
      <w:pPr>
        <w:spacing w:line="360" w:lineRule="auto"/>
        <w:rPr>
          <w:rFonts w:ascii="Palatino Linotype" w:hAnsi="Palatino Linotype"/>
        </w:rPr>
      </w:pPr>
    </w:p>
    <w:p w14:paraId="3A7A8038"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895C1DC" w14:textId="77777777" w:rsidR="004108E1" w:rsidRPr="00356C11" w:rsidRDefault="004108E1" w:rsidP="004108E1">
      <w:pPr>
        <w:spacing w:line="360" w:lineRule="auto"/>
        <w:rPr>
          <w:rFonts w:ascii="Palatino Linotype" w:hAnsi="Palatino Linotype"/>
        </w:rPr>
      </w:pPr>
    </w:p>
    <w:p w14:paraId="743ABC68"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C5AD76C" w14:textId="77777777" w:rsidR="004108E1" w:rsidRPr="00356C11" w:rsidRDefault="004108E1" w:rsidP="004108E1">
      <w:pPr>
        <w:pStyle w:val="Prrafodelista"/>
        <w:rPr>
          <w:rFonts w:ascii="Palatino Linotype" w:eastAsia="MS Mincho" w:hAnsi="Palatino Linotype"/>
          <w:b/>
          <w:sz w:val="24"/>
        </w:rPr>
      </w:pPr>
    </w:p>
    <w:p w14:paraId="1407049B" w14:textId="77777777" w:rsidR="004108E1" w:rsidRPr="00356C11" w:rsidRDefault="004108E1" w:rsidP="004108E1">
      <w:pPr>
        <w:spacing w:line="360" w:lineRule="auto"/>
        <w:contextualSpacing/>
        <w:jc w:val="both"/>
        <w:rPr>
          <w:rFonts w:ascii="Palatino Linotype" w:eastAsia="MS Mincho" w:hAnsi="Palatino Linotype"/>
          <w:b/>
        </w:rPr>
      </w:pPr>
    </w:p>
    <w:p w14:paraId="6C4874E3"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2B92CB7" w14:textId="77777777" w:rsidR="004108E1" w:rsidRPr="00356C11" w:rsidRDefault="004108E1" w:rsidP="00356C11">
      <w:pPr>
        <w:pStyle w:val="Prrafodelista"/>
        <w:numPr>
          <w:ilvl w:val="0"/>
          <w:numId w:val="3"/>
        </w:numPr>
        <w:spacing w:line="360" w:lineRule="auto"/>
        <w:ind w:right="964"/>
        <w:jc w:val="both"/>
        <w:rPr>
          <w:rFonts w:ascii="Palatino Linotype" w:hAnsi="Palatino Linotype"/>
        </w:rPr>
      </w:pPr>
      <w:r w:rsidRPr="00356C11">
        <w:rPr>
          <w:rFonts w:ascii="Palatino Linotype" w:hAnsi="Palatino Linotype"/>
        </w:rPr>
        <w:t xml:space="preserve">Complejidad del Asunto: La complejidad de la prueba, la pluralidad de sujetos procesales, el tiempo transcurrido, las características y contexto del recurso. </w:t>
      </w:r>
    </w:p>
    <w:p w14:paraId="04F532E3" w14:textId="77777777" w:rsidR="004108E1" w:rsidRPr="00356C11" w:rsidRDefault="004108E1" w:rsidP="00356C11">
      <w:pPr>
        <w:pStyle w:val="Prrafodelista"/>
        <w:numPr>
          <w:ilvl w:val="0"/>
          <w:numId w:val="3"/>
        </w:numPr>
        <w:spacing w:line="360" w:lineRule="auto"/>
        <w:ind w:right="964"/>
        <w:jc w:val="both"/>
        <w:rPr>
          <w:rFonts w:ascii="Palatino Linotype" w:hAnsi="Palatino Linotype"/>
        </w:rPr>
      </w:pPr>
      <w:r w:rsidRPr="00356C11">
        <w:rPr>
          <w:rFonts w:ascii="Palatino Linotype" w:hAnsi="Palatino Linotype"/>
        </w:rPr>
        <w:t>Actividad Procesal del interesado. Acciones u omisiones del interesado.</w:t>
      </w:r>
    </w:p>
    <w:p w14:paraId="4DADF01A" w14:textId="77777777" w:rsidR="004108E1" w:rsidRPr="00356C11" w:rsidRDefault="004108E1" w:rsidP="00356C11">
      <w:pPr>
        <w:pStyle w:val="Prrafodelista"/>
        <w:numPr>
          <w:ilvl w:val="0"/>
          <w:numId w:val="3"/>
        </w:numPr>
        <w:spacing w:line="360" w:lineRule="auto"/>
        <w:ind w:right="964"/>
        <w:jc w:val="both"/>
        <w:rPr>
          <w:rFonts w:ascii="Palatino Linotype" w:hAnsi="Palatino Linotype"/>
        </w:rPr>
      </w:pPr>
      <w:r w:rsidRPr="00356C11">
        <w:rPr>
          <w:rFonts w:ascii="Palatino Linotype" w:hAnsi="Palatino Linotype"/>
        </w:rPr>
        <w:t>Conducta de la Autoridad: Las Acciones u omisiones realizadas en el procedimiento. Así como si la autoridad actuó con la debida diligencia.</w:t>
      </w:r>
    </w:p>
    <w:p w14:paraId="24E0F3C8" w14:textId="77777777" w:rsidR="004108E1" w:rsidRPr="00356C11" w:rsidRDefault="004108E1" w:rsidP="00356C11">
      <w:pPr>
        <w:spacing w:line="360" w:lineRule="auto"/>
        <w:ind w:left="567" w:right="964"/>
        <w:jc w:val="both"/>
        <w:rPr>
          <w:rFonts w:ascii="Palatino Linotype" w:hAnsi="Palatino Linotype"/>
          <w:sz w:val="22"/>
        </w:rPr>
      </w:pPr>
      <w:r w:rsidRPr="00356C11">
        <w:rPr>
          <w:rFonts w:ascii="Palatino Linotype" w:hAnsi="Palatino Linotype"/>
          <w:sz w:val="22"/>
        </w:rPr>
        <w:t>d) La afectación generada en la situación jurídica de la persona involucrada en el proceso: Violación a sus derechos humanos.</w:t>
      </w:r>
    </w:p>
    <w:p w14:paraId="64F50D6E" w14:textId="77777777" w:rsidR="004108E1" w:rsidRPr="00356C11" w:rsidRDefault="004108E1" w:rsidP="004108E1">
      <w:pPr>
        <w:spacing w:line="360" w:lineRule="auto"/>
        <w:rPr>
          <w:rFonts w:ascii="Palatino Linotype" w:hAnsi="Palatino Linotype"/>
        </w:rPr>
      </w:pPr>
    </w:p>
    <w:p w14:paraId="281123A2"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90BC31" w14:textId="77777777" w:rsidR="004108E1" w:rsidRPr="00356C11" w:rsidRDefault="004108E1" w:rsidP="004108E1">
      <w:pPr>
        <w:spacing w:line="360" w:lineRule="auto"/>
        <w:contextualSpacing/>
        <w:jc w:val="both"/>
        <w:rPr>
          <w:rFonts w:ascii="Palatino Linotype" w:eastAsia="MS Mincho" w:hAnsi="Palatino Linotype"/>
          <w:b/>
        </w:rPr>
      </w:pPr>
    </w:p>
    <w:p w14:paraId="2F908270"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 xml:space="preserve">Argumento que encuentra sustento en la jurisprudencia P./J. 32/92 emitida por el Pleno de la Suprema Corte de Justicia de la Nación de rubro </w:t>
      </w:r>
      <w:r w:rsidRPr="00356C1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00356C11">
        <w:rPr>
          <w:rFonts w:ascii="Palatino Linotype" w:hAnsi="Palatino Linotype"/>
        </w:rPr>
        <w:t>, visible en la Gaceta del Sema</w:t>
      </w:r>
      <w:r w:rsidRPr="00356C11">
        <w:rPr>
          <w:rFonts w:ascii="Palatino Linotype" w:hAnsi="Palatino Linotype"/>
        </w:rPr>
        <w:t>nario Judicial de la Federación con el registro digital 205635.</w:t>
      </w:r>
    </w:p>
    <w:p w14:paraId="55E8C5F9" w14:textId="77777777" w:rsidR="004108E1" w:rsidRPr="00356C11" w:rsidRDefault="004108E1" w:rsidP="004108E1">
      <w:pPr>
        <w:spacing w:line="360" w:lineRule="auto"/>
        <w:rPr>
          <w:rFonts w:ascii="Palatino Linotype" w:hAnsi="Palatino Linotype"/>
        </w:rPr>
      </w:pPr>
    </w:p>
    <w:p w14:paraId="5DFFBFA4"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67DCC8" w14:textId="77777777" w:rsidR="004108E1" w:rsidRPr="00356C11" w:rsidRDefault="004108E1" w:rsidP="004108E1">
      <w:pPr>
        <w:spacing w:line="360" w:lineRule="auto"/>
        <w:rPr>
          <w:rFonts w:ascii="Palatino Linotype" w:hAnsi="Palatino Linotype"/>
        </w:rPr>
      </w:pPr>
    </w:p>
    <w:p w14:paraId="268DB535"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256D6FD9" w14:textId="77777777" w:rsidR="004108E1" w:rsidRPr="00356C11" w:rsidRDefault="004108E1" w:rsidP="004108E1">
      <w:pPr>
        <w:spacing w:line="360" w:lineRule="auto"/>
        <w:rPr>
          <w:rFonts w:ascii="Palatino Linotype" w:hAnsi="Palatino Linotype"/>
        </w:rPr>
      </w:pPr>
    </w:p>
    <w:p w14:paraId="72689725" w14:textId="77777777" w:rsidR="004108E1" w:rsidRPr="00356C11" w:rsidRDefault="004108E1" w:rsidP="004108E1">
      <w:pPr>
        <w:numPr>
          <w:ilvl w:val="0"/>
          <w:numId w:val="1"/>
        </w:numPr>
        <w:spacing w:line="360" w:lineRule="auto"/>
        <w:ind w:left="0" w:firstLine="0"/>
        <w:contextualSpacing/>
        <w:jc w:val="both"/>
        <w:rPr>
          <w:rFonts w:ascii="Palatino Linotype" w:eastAsia="MS Mincho" w:hAnsi="Palatino Linotype"/>
          <w:b/>
        </w:rPr>
      </w:pPr>
      <w:r w:rsidRPr="00356C1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17B52F0" w14:textId="77777777" w:rsidR="004108E1" w:rsidRPr="00356C11" w:rsidRDefault="004108E1" w:rsidP="004108E1">
      <w:pPr>
        <w:spacing w:line="360" w:lineRule="auto"/>
        <w:ind w:left="851" w:right="822"/>
        <w:jc w:val="both"/>
        <w:rPr>
          <w:rFonts w:ascii="Palatino Linotype" w:hAnsi="Palatino Linotype"/>
          <w:sz w:val="22"/>
        </w:rPr>
      </w:pPr>
      <w:r w:rsidRPr="00356C11">
        <w:rPr>
          <w:rFonts w:ascii="Palatino Linotype" w:hAnsi="Palatino Linotype"/>
          <w:sz w:val="22"/>
        </w:rPr>
        <w:t xml:space="preserve"> </w:t>
      </w:r>
      <w:r w:rsidRPr="00356C11">
        <w:rPr>
          <w:rFonts w:ascii="Palatino Linotype" w:hAnsi="Palatino Linotype"/>
          <w:i/>
          <w:sz w:val="22"/>
        </w:rPr>
        <w:t>“PLAZO RAZONABLE PARA RESOLVER. DIMENSIÓN Y EFECTOS DE ESTE CONCEPTO CUANDO SE ADUCE EXCESIVA CARGA DE TRABAJO.”</w:t>
      </w:r>
      <w:r w:rsidRPr="00356C11">
        <w:rPr>
          <w:rFonts w:ascii="Palatino Linotype" w:hAnsi="Palatino Linotype"/>
          <w:sz w:val="22"/>
        </w:rPr>
        <w:t xml:space="preserve"> consultable en el Sem</w:t>
      </w:r>
      <w:r w:rsidR="00356C11">
        <w:rPr>
          <w:rFonts w:ascii="Palatino Linotype" w:hAnsi="Palatino Linotype"/>
          <w:sz w:val="22"/>
        </w:rPr>
        <w:t>a</w:t>
      </w:r>
      <w:r w:rsidRPr="00356C11">
        <w:rPr>
          <w:rFonts w:ascii="Palatino Linotype" w:hAnsi="Palatino Linotype"/>
          <w:sz w:val="22"/>
        </w:rPr>
        <w:t>nario Judicial de la Federación y su gaceta, con el registro digital 2002351.</w:t>
      </w:r>
    </w:p>
    <w:p w14:paraId="63299BA0" w14:textId="77777777" w:rsidR="004108E1" w:rsidRPr="00356C11" w:rsidRDefault="004108E1" w:rsidP="004108E1">
      <w:pPr>
        <w:spacing w:line="360" w:lineRule="auto"/>
        <w:ind w:left="851" w:right="822"/>
        <w:jc w:val="both"/>
        <w:rPr>
          <w:rFonts w:ascii="Palatino Linotype" w:hAnsi="Palatino Linotype"/>
          <w:b/>
          <w:sz w:val="22"/>
        </w:rPr>
      </w:pPr>
    </w:p>
    <w:p w14:paraId="4E442C2E" w14:textId="77777777" w:rsidR="004108E1" w:rsidRDefault="004108E1" w:rsidP="00062B6E">
      <w:pPr>
        <w:spacing w:line="360" w:lineRule="auto"/>
        <w:ind w:left="851" w:right="822"/>
        <w:jc w:val="both"/>
        <w:rPr>
          <w:rFonts w:ascii="Palatino Linotype" w:hAnsi="Palatino Linotype"/>
          <w:sz w:val="22"/>
        </w:rPr>
      </w:pPr>
      <w:r w:rsidRPr="00356C11">
        <w:rPr>
          <w:rFonts w:ascii="Palatino Linotype" w:hAnsi="Palatino Linotype"/>
          <w:i/>
          <w:sz w:val="22"/>
        </w:rPr>
        <w:t>“PLAZO RAZONABLE PARA RESOLVER. CONCEPTO Y ELEMENTOS QUE LO INTEGRAN A LA LUZ DEL DERECHO INTERNACIONAL DE LOS DERECHOS HUMANOS.”</w:t>
      </w:r>
      <w:r w:rsidR="00356C11">
        <w:rPr>
          <w:rFonts w:ascii="Palatino Linotype" w:hAnsi="Palatino Linotype"/>
          <w:sz w:val="22"/>
        </w:rPr>
        <w:t>, visible en el Sema</w:t>
      </w:r>
      <w:r w:rsidRPr="00356C11">
        <w:rPr>
          <w:rFonts w:ascii="Palatino Linotype" w:hAnsi="Palatino Linotype"/>
          <w:sz w:val="22"/>
        </w:rPr>
        <w:t>nario Judicial de la Federación y su gaceta, con el registro digital 2002350.</w:t>
      </w:r>
    </w:p>
    <w:p w14:paraId="285FBF7F" w14:textId="77777777" w:rsidR="00356C11" w:rsidRPr="00356C11" w:rsidRDefault="00356C11" w:rsidP="00062B6E">
      <w:pPr>
        <w:spacing w:line="360" w:lineRule="auto"/>
        <w:ind w:left="851" w:right="822"/>
        <w:jc w:val="both"/>
        <w:rPr>
          <w:rFonts w:ascii="Palatino Linotype" w:hAnsi="Palatino Linotype"/>
          <w:sz w:val="22"/>
        </w:rPr>
      </w:pPr>
    </w:p>
    <w:p w14:paraId="7C423C5B" w14:textId="77777777" w:rsidR="004108E1" w:rsidRPr="00356C11" w:rsidRDefault="004108E1" w:rsidP="004108E1">
      <w:pPr>
        <w:pStyle w:val="Prrafodelista"/>
        <w:numPr>
          <w:ilvl w:val="0"/>
          <w:numId w:val="1"/>
        </w:numPr>
        <w:spacing w:line="360" w:lineRule="auto"/>
        <w:ind w:left="0" w:right="113" w:firstLine="0"/>
        <w:jc w:val="both"/>
        <w:rPr>
          <w:rFonts w:ascii="Palatino Linotype" w:hAnsi="Palatino Linotype"/>
          <w:sz w:val="24"/>
        </w:rPr>
      </w:pPr>
      <w:r w:rsidRPr="00356C11">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14126B5E" w14:textId="77777777" w:rsidR="004108E1" w:rsidRDefault="004108E1" w:rsidP="004108E1">
      <w:pPr>
        <w:spacing w:line="360" w:lineRule="auto"/>
        <w:rPr>
          <w:rFonts w:ascii="Palatino Linotype" w:hAnsi="Palatino Linotype" w:cs="Arial"/>
          <w:lang w:val="es-ES" w:eastAsia="es-ES"/>
        </w:rPr>
      </w:pPr>
    </w:p>
    <w:p w14:paraId="21ADB5D0" w14:textId="77777777" w:rsidR="00356C11" w:rsidRDefault="00356C11" w:rsidP="004108E1">
      <w:pPr>
        <w:spacing w:line="360" w:lineRule="auto"/>
        <w:rPr>
          <w:rFonts w:ascii="Palatino Linotype" w:hAnsi="Palatino Linotype" w:cs="Arial"/>
          <w:lang w:val="es-ES" w:eastAsia="es-ES"/>
        </w:rPr>
      </w:pPr>
    </w:p>
    <w:p w14:paraId="2024BD0A" w14:textId="77777777" w:rsidR="00356C11" w:rsidRDefault="00356C11" w:rsidP="004108E1">
      <w:pPr>
        <w:spacing w:line="360" w:lineRule="auto"/>
        <w:rPr>
          <w:rFonts w:ascii="Palatino Linotype" w:hAnsi="Palatino Linotype" w:cs="Arial"/>
          <w:lang w:val="es-ES" w:eastAsia="es-ES"/>
        </w:rPr>
      </w:pPr>
    </w:p>
    <w:p w14:paraId="3C74DF42" w14:textId="77777777" w:rsidR="00356C11" w:rsidRDefault="00356C11" w:rsidP="004108E1">
      <w:pPr>
        <w:spacing w:line="360" w:lineRule="auto"/>
        <w:rPr>
          <w:rFonts w:ascii="Palatino Linotype" w:hAnsi="Palatino Linotype" w:cs="Arial"/>
          <w:lang w:val="es-ES" w:eastAsia="es-ES"/>
        </w:rPr>
      </w:pPr>
    </w:p>
    <w:p w14:paraId="6AA5AA69" w14:textId="77777777" w:rsidR="00356C11" w:rsidRDefault="00356C11" w:rsidP="004108E1">
      <w:pPr>
        <w:spacing w:line="360" w:lineRule="auto"/>
        <w:rPr>
          <w:rFonts w:ascii="Palatino Linotype" w:hAnsi="Palatino Linotype" w:cs="Arial"/>
          <w:lang w:val="es-ES" w:eastAsia="es-ES"/>
        </w:rPr>
      </w:pPr>
    </w:p>
    <w:p w14:paraId="70876A43" w14:textId="77777777" w:rsidR="00356C11" w:rsidRPr="00356C11" w:rsidRDefault="00356C11" w:rsidP="004108E1">
      <w:pPr>
        <w:spacing w:line="360" w:lineRule="auto"/>
        <w:rPr>
          <w:rFonts w:ascii="Palatino Linotype" w:hAnsi="Palatino Linotype" w:cs="Arial"/>
          <w:lang w:val="es-ES" w:eastAsia="es-ES"/>
        </w:rPr>
      </w:pPr>
    </w:p>
    <w:p w14:paraId="160490AB" w14:textId="77777777" w:rsidR="004108E1" w:rsidRPr="00356C11" w:rsidRDefault="004108E1" w:rsidP="004108E1">
      <w:pPr>
        <w:spacing w:line="360" w:lineRule="auto"/>
        <w:jc w:val="center"/>
        <w:rPr>
          <w:rFonts w:ascii="Palatino Linotype" w:hAnsi="Palatino Linotype" w:cs="Arial"/>
          <w:lang w:eastAsia="es-ES"/>
        </w:rPr>
      </w:pPr>
      <w:bookmarkStart w:id="1" w:name="_Toc66992242"/>
      <w:r w:rsidRPr="00356C11">
        <w:rPr>
          <w:rFonts w:ascii="Palatino Linotype" w:hAnsi="Palatino Linotype" w:cs="Arial"/>
          <w:b/>
          <w:lang w:eastAsia="es-ES"/>
        </w:rPr>
        <w:lastRenderedPageBreak/>
        <w:t>C</w:t>
      </w:r>
      <w:r w:rsidR="00356C11">
        <w:rPr>
          <w:rFonts w:ascii="Palatino Linotype" w:hAnsi="Palatino Linotype" w:cs="Arial"/>
          <w:b/>
          <w:lang w:eastAsia="es-ES"/>
        </w:rPr>
        <w:t xml:space="preserve"> </w:t>
      </w:r>
      <w:r w:rsidRPr="00356C11">
        <w:rPr>
          <w:rFonts w:ascii="Palatino Linotype" w:hAnsi="Palatino Linotype" w:cs="Arial"/>
          <w:b/>
          <w:lang w:eastAsia="es-ES"/>
        </w:rPr>
        <w:t>O</w:t>
      </w:r>
      <w:r w:rsidR="00356C11">
        <w:rPr>
          <w:rFonts w:ascii="Palatino Linotype" w:hAnsi="Palatino Linotype" w:cs="Arial"/>
          <w:b/>
          <w:lang w:eastAsia="es-ES"/>
        </w:rPr>
        <w:t xml:space="preserve"> </w:t>
      </w:r>
      <w:r w:rsidRPr="00356C11">
        <w:rPr>
          <w:rFonts w:ascii="Palatino Linotype" w:hAnsi="Palatino Linotype" w:cs="Arial"/>
          <w:b/>
          <w:lang w:eastAsia="es-ES"/>
        </w:rPr>
        <w:t>N</w:t>
      </w:r>
      <w:r w:rsidR="00356C11">
        <w:rPr>
          <w:rFonts w:ascii="Palatino Linotype" w:hAnsi="Palatino Linotype" w:cs="Arial"/>
          <w:b/>
          <w:lang w:eastAsia="es-ES"/>
        </w:rPr>
        <w:t xml:space="preserve"> </w:t>
      </w:r>
      <w:r w:rsidRPr="00356C11">
        <w:rPr>
          <w:rFonts w:ascii="Palatino Linotype" w:hAnsi="Palatino Linotype" w:cs="Arial"/>
          <w:b/>
          <w:lang w:eastAsia="es-ES"/>
        </w:rPr>
        <w:t>S</w:t>
      </w:r>
      <w:r w:rsidR="00356C11">
        <w:rPr>
          <w:rFonts w:ascii="Palatino Linotype" w:hAnsi="Palatino Linotype" w:cs="Arial"/>
          <w:b/>
          <w:lang w:eastAsia="es-ES"/>
        </w:rPr>
        <w:t xml:space="preserve"> </w:t>
      </w:r>
      <w:r w:rsidRPr="00356C11">
        <w:rPr>
          <w:rFonts w:ascii="Palatino Linotype" w:hAnsi="Palatino Linotype" w:cs="Arial"/>
          <w:b/>
          <w:lang w:eastAsia="es-ES"/>
        </w:rPr>
        <w:t>I</w:t>
      </w:r>
      <w:r w:rsidR="00356C11">
        <w:rPr>
          <w:rFonts w:ascii="Palatino Linotype" w:hAnsi="Palatino Linotype" w:cs="Arial"/>
          <w:b/>
          <w:lang w:eastAsia="es-ES"/>
        </w:rPr>
        <w:t xml:space="preserve"> </w:t>
      </w:r>
      <w:r w:rsidRPr="00356C11">
        <w:rPr>
          <w:rFonts w:ascii="Palatino Linotype" w:hAnsi="Palatino Linotype" w:cs="Arial"/>
          <w:b/>
          <w:lang w:eastAsia="es-ES"/>
        </w:rPr>
        <w:t>D</w:t>
      </w:r>
      <w:r w:rsidR="00356C11">
        <w:rPr>
          <w:rFonts w:ascii="Palatino Linotype" w:hAnsi="Palatino Linotype" w:cs="Arial"/>
          <w:b/>
          <w:lang w:eastAsia="es-ES"/>
        </w:rPr>
        <w:t xml:space="preserve"> </w:t>
      </w:r>
      <w:r w:rsidRPr="00356C11">
        <w:rPr>
          <w:rFonts w:ascii="Palatino Linotype" w:hAnsi="Palatino Linotype" w:cs="Arial"/>
          <w:b/>
          <w:lang w:eastAsia="es-ES"/>
        </w:rPr>
        <w:t>E</w:t>
      </w:r>
      <w:r w:rsidR="00356C11">
        <w:rPr>
          <w:rFonts w:ascii="Palatino Linotype" w:hAnsi="Palatino Linotype" w:cs="Arial"/>
          <w:b/>
          <w:lang w:eastAsia="es-ES"/>
        </w:rPr>
        <w:t xml:space="preserve"> </w:t>
      </w:r>
      <w:r w:rsidRPr="00356C11">
        <w:rPr>
          <w:rFonts w:ascii="Palatino Linotype" w:hAnsi="Palatino Linotype" w:cs="Arial"/>
          <w:b/>
          <w:lang w:eastAsia="es-ES"/>
        </w:rPr>
        <w:t>R</w:t>
      </w:r>
      <w:r w:rsidR="00356C11">
        <w:rPr>
          <w:rFonts w:ascii="Palatino Linotype" w:hAnsi="Palatino Linotype" w:cs="Arial"/>
          <w:b/>
          <w:lang w:eastAsia="es-ES"/>
        </w:rPr>
        <w:t xml:space="preserve"> </w:t>
      </w:r>
      <w:r w:rsidRPr="00356C11">
        <w:rPr>
          <w:rFonts w:ascii="Palatino Linotype" w:hAnsi="Palatino Linotype" w:cs="Arial"/>
          <w:b/>
          <w:lang w:eastAsia="es-ES"/>
        </w:rPr>
        <w:t>A</w:t>
      </w:r>
      <w:r w:rsidR="00356C11">
        <w:rPr>
          <w:rFonts w:ascii="Palatino Linotype" w:hAnsi="Palatino Linotype" w:cs="Arial"/>
          <w:b/>
          <w:lang w:eastAsia="es-ES"/>
        </w:rPr>
        <w:t xml:space="preserve"> </w:t>
      </w:r>
      <w:r w:rsidRPr="00356C11">
        <w:rPr>
          <w:rFonts w:ascii="Palatino Linotype" w:hAnsi="Palatino Linotype" w:cs="Arial"/>
          <w:b/>
          <w:lang w:eastAsia="es-ES"/>
        </w:rPr>
        <w:t>N</w:t>
      </w:r>
      <w:r w:rsidR="00356C11">
        <w:rPr>
          <w:rFonts w:ascii="Palatino Linotype" w:hAnsi="Palatino Linotype" w:cs="Arial"/>
          <w:b/>
          <w:lang w:eastAsia="es-ES"/>
        </w:rPr>
        <w:t xml:space="preserve"> </w:t>
      </w:r>
      <w:r w:rsidRPr="00356C11">
        <w:rPr>
          <w:rFonts w:ascii="Palatino Linotype" w:hAnsi="Palatino Linotype" w:cs="Arial"/>
          <w:b/>
          <w:lang w:eastAsia="es-ES"/>
        </w:rPr>
        <w:t>D</w:t>
      </w:r>
      <w:r w:rsidR="00356C11">
        <w:rPr>
          <w:rFonts w:ascii="Palatino Linotype" w:hAnsi="Palatino Linotype" w:cs="Arial"/>
          <w:b/>
          <w:lang w:eastAsia="es-ES"/>
        </w:rPr>
        <w:t xml:space="preserve"> </w:t>
      </w:r>
      <w:r w:rsidRPr="00356C11">
        <w:rPr>
          <w:rFonts w:ascii="Palatino Linotype" w:hAnsi="Palatino Linotype" w:cs="Arial"/>
          <w:b/>
          <w:lang w:eastAsia="es-ES"/>
        </w:rPr>
        <w:t>O</w:t>
      </w:r>
      <w:bookmarkEnd w:id="1"/>
    </w:p>
    <w:p w14:paraId="482E9B34" w14:textId="77777777" w:rsidR="004108E1" w:rsidRPr="00356C11" w:rsidRDefault="004108E1" w:rsidP="004108E1">
      <w:pPr>
        <w:spacing w:line="360" w:lineRule="auto"/>
        <w:jc w:val="center"/>
        <w:rPr>
          <w:rFonts w:ascii="Palatino Linotype" w:hAnsi="Palatino Linotype" w:cs="Arial"/>
          <w:lang w:eastAsia="es-ES"/>
        </w:rPr>
      </w:pPr>
    </w:p>
    <w:p w14:paraId="3F0504BD" w14:textId="77777777" w:rsidR="004108E1" w:rsidRPr="00356C11" w:rsidRDefault="004108E1" w:rsidP="004108E1">
      <w:pPr>
        <w:spacing w:line="360" w:lineRule="auto"/>
        <w:jc w:val="both"/>
        <w:rPr>
          <w:rFonts w:ascii="Palatino Linotype" w:hAnsi="Palatino Linotype" w:cs="Arial"/>
          <w:b/>
          <w:lang w:eastAsia="es-ES"/>
        </w:rPr>
      </w:pPr>
      <w:bookmarkStart w:id="2" w:name="_Toc66992243"/>
      <w:r w:rsidRPr="00356C11">
        <w:rPr>
          <w:rFonts w:ascii="Palatino Linotype" w:hAnsi="Palatino Linotype" w:cs="Arial"/>
          <w:b/>
          <w:lang w:eastAsia="es-ES"/>
        </w:rPr>
        <w:t>PRIMERO. De la competencia</w:t>
      </w:r>
      <w:bookmarkEnd w:id="2"/>
    </w:p>
    <w:p w14:paraId="3E93A140" w14:textId="77777777" w:rsidR="004108E1" w:rsidRPr="00356C11" w:rsidRDefault="004108E1" w:rsidP="004108E1">
      <w:pPr>
        <w:pStyle w:val="Prrafodelista"/>
        <w:numPr>
          <w:ilvl w:val="0"/>
          <w:numId w:val="1"/>
        </w:numPr>
        <w:spacing w:before="240" w:after="240" w:line="360" w:lineRule="auto"/>
        <w:ind w:left="0" w:firstLine="0"/>
        <w:jc w:val="both"/>
        <w:rPr>
          <w:rFonts w:ascii="Palatino Linotype" w:hAnsi="Palatino Linotype"/>
          <w:sz w:val="24"/>
        </w:rPr>
      </w:pPr>
      <w:r w:rsidRPr="00356C11">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09DDEE1"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037C3449" w14:textId="77777777" w:rsidR="004108E1" w:rsidRPr="00356C11" w:rsidRDefault="004108E1" w:rsidP="004108E1">
      <w:pPr>
        <w:keepNext/>
        <w:keepLines/>
        <w:spacing w:line="360" w:lineRule="auto"/>
        <w:outlineLvl w:val="1"/>
        <w:rPr>
          <w:rFonts w:ascii="Palatino Linotype" w:eastAsiaTheme="majorEastAsia" w:hAnsi="Palatino Linotype" w:cstheme="majorBidi"/>
          <w:b/>
        </w:rPr>
      </w:pPr>
      <w:bookmarkStart w:id="3" w:name="_Toc66992244"/>
      <w:r w:rsidRPr="00356C11">
        <w:rPr>
          <w:rFonts w:ascii="Palatino Linotype" w:eastAsiaTheme="majorEastAsia" w:hAnsi="Palatino Linotype" w:cstheme="majorBidi"/>
          <w:b/>
        </w:rPr>
        <w:t>SEGUNDO. De la oportunidad y procedencia.</w:t>
      </w:r>
      <w:bookmarkEnd w:id="3"/>
    </w:p>
    <w:p w14:paraId="4EEE8021" w14:textId="77777777" w:rsidR="004108E1" w:rsidRPr="00356C11" w:rsidRDefault="004108E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eastAsia="Calibri" w:hAnsi="Palatino Linotype" w:cs="Arial"/>
          <w:sz w:val="24"/>
          <w:lang w:val="es-ES_tradnl" w:eastAsia="es-ES"/>
        </w:rPr>
        <w:t xml:space="preserve">El medio de impugnación fue presentado a través del </w:t>
      </w:r>
      <w:r w:rsidRPr="00356C11">
        <w:rPr>
          <w:rFonts w:ascii="Palatino Linotype" w:eastAsia="Calibri" w:hAnsi="Palatino Linotype" w:cs="Arial"/>
          <w:b/>
          <w:sz w:val="24"/>
          <w:lang w:val="es-ES_tradnl" w:eastAsia="es-ES"/>
        </w:rPr>
        <w:t>SAIMEX,</w:t>
      </w:r>
      <w:r w:rsidRPr="00356C11">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356C11">
        <w:rPr>
          <w:rFonts w:ascii="Palatino Linotype" w:eastAsia="Calibri" w:hAnsi="Palatino Linotype" w:cs="Arial"/>
          <w:b/>
          <w:sz w:val="24"/>
          <w:lang w:val="es-ES_tradnl" w:eastAsia="es-ES"/>
        </w:rPr>
        <w:t>SUJETO OBLIGADO</w:t>
      </w:r>
      <w:r w:rsidRPr="00356C11">
        <w:rPr>
          <w:rFonts w:ascii="Palatino Linotype" w:eastAsia="Calibri" w:hAnsi="Palatino Linotype" w:cs="Arial"/>
          <w:sz w:val="24"/>
          <w:lang w:val="es-ES_tradnl" w:eastAsia="es-ES"/>
        </w:rPr>
        <w:t xml:space="preserve"> entregó respuesta a la solicitud el día </w:t>
      </w:r>
      <w:r w:rsidR="00062B6E" w:rsidRPr="00356C11">
        <w:rPr>
          <w:rFonts w:ascii="Palatino Linotype" w:eastAsia="Calibri" w:hAnsi="Palatino Linotype" w:cs="Arial"/>
          <w:sz w:val="24"/>
          <w:lang w:val="es-ES_tradnl" w:eastAsia="es-ES"/>
        </w:rPr>
        <w:t>veinte (20) de junio</w:t>
      </w:r>
      <w:r w:rsidRPr="00356C11">
        <w:rPr>
          <w:rFonts w:ascii="Palatino Linotype" w:eastAsia="Calibri" w:hAnsi="Palatino Linotype" w:cs="Arial"/>
          <w:sz w:val="24"/>
          <w:lang w:val="es-ES_tradnl" w:eastAsia="es-ES"/>
        </w:rPr>
        <w:t xml:space="preserve"> de dos mil veintitrés, </w:t>
      </w:r>
      <w:r w:rsidRPr="00356C11">
        <w:rPr>
          <w:rFonts w:ascii="Palatino Linotype" w:eastAsiaTheme="minorEastAsia" w:hAnsi="Palatino Linotype" w:cs="Arial"/>
          <w:sz w:val="24"/>
          <w:lang w:val="es-ES_tradnl" w:eastAsia="es-ES"/>
        </w:rPr>
        <w:t xml:space="preserve">de tal forma que el plazo para interponer el recurso de revisión transcurrió del </w:t>
      </w:r>
      <w:r w:rsidR="00062B6E" w:rsidRPr="00356C11">
        <w:rPr>
          <w:rFonts w:ascii="Palatino Linotype" w:eastAsiaTheme="minorEastAsia" w:hAnsi="Palatino Linotype" w:cs="Arial"/>
          <w:sz w:val="24"/>
          <w:lang w:val="es-ES_tradnl" w:eastAsia="es-ES"/>
        </w:rPr>
        <w:t>veintiuno de junio al once (11) de julio de dos mil veintitrés</w:t>
      </w:r>
      <w:r w:rsidRPr="00356C11">
        <w:rPr>
          <w:rFonts w:ascii="Palatino Linotype" w:eastAsiaTheme="minorEastAsia" w:hAnsi="Palatino Linotype" w:cs="Arial"/>
          <w:sz w:val="24"/>
          <w:lang w:val="es-ES_tradnl" w:eastAsia="es-ES"/>
        </w:rPr>
        <w:t xml:space="preserve">; en consecuencia, presentó su inconformidad el día </w:t>
      </w:r>
      <w:r w:rsidR="00062B6E" w:rsidRPr="00356C11">
        <w:rPr>
          <w:rFonts w:ascii="Palatino Linotype" w:eastAsiaTheme="minorEastAsia" w:hAnsi="Palatino Linotype" w:cs="Arial"/>
          <w:sz w:val="24"/>
          <w:lang w:val="es-ES_tradnl" w:eastAsia="es-ES"/>
        </w:rPr>
        <w:t>veintiséis (26) de junio</w:t>
      </w:r>
      <w:r w:rsidRPr="00356C11">
        <w:rPr>
          <w:rFonts w:ascii="Palatino Linotype" w:eastAsiaTheme="minorEastAsia" w:hAnsi="Palatino Linotype" w:cs="Arial"/>
          <w:sz w:val="24"/>
          <w:lang w:val="es-ES_tradnl" w:eastAsia="es-ES"/>
        </w:rPr>
        <w:t xml:space="preserve"> de dos mil veintitrés, por lo que se encuentra dentro de los márgenes temporales previstos en el artículo 178 de la </w:t>
      </w:r>
      <w:r w:rsidRPr="00356C11">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356C11">
        <w:rPr>
          <w:rFonts w:ascii="Palatino Linotype" w:eastAsiaTheme="minorEastAsia" w:hAnsi="Palatino Linotype" w:cs="Arial"/>
          <w:sz w:val="24"/>
          <w:lang w:val="es-ES_tradnl" w:eastAsia="es-ES"/>
        </w:rPr>
        <w:t>vigente.</w:t>
      </w:r>
    </w:p>
    <w:p w14:paraId="2EB640E4" w14:textId="77777777" w:rsidR="004108E1" w:rsidRPr="00356C11" w:rsidRDefault="004108E1" w:rsidP="004108E1">
      <w:pPr>
        <w:pStyle w:val="Prrafodelista"/>
        <w:numPr>
          <w:ilvl w:val="0"/>
          <w:numId w:val="1"/>
        </w:numPr>
        <w:spacing w:line="360" w:lineRule="auto"/>
        <w:ind w:left="0" w:firstLine="0"/>
        <w:jc w:val="both"/>
        <w:rPr>
          <w:rFonts w:ascii="Palatino Linotype" w:hAnsi="Palatino Linotype" w:cs="Arial"/>
          <w:sz w:val="24"/>
          <w:lang w:val="es-ES" w:eastAsia="es-ES"/>
        </w:rPr>
      </w:pPr>
      <w:r w:rsidRPr="00356C11">
        <w:rPr>
          <w:rFonts w:ascii="Palatino Linotype" w:eastAsia="Calibri" w:hAnsi="Palatino Linotype" w:cs="Arial"/>
          <w:sz w:val="24"/>
          <w:lang w:val="es-ES_tradnl" w:eastAsia="es-ES"/>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0E42892" w14:textId="77777777" w:rsidR="004108E1" w:rsidRPr="00356C11" w:rsidRDefault="004108E1" w:rsidP="004108E1">
      <w:pPr>
        <w:pStyle w:val="Prrafodelista"/>
        <w:rPr>
          <w:rFonts w:ascii="Palatino Linotype" w:hAnsi="Palatino Linotype" w:cs="Arial"/>
          <w:sz w:val="24"/>
          <w:lang w:val="es-ES" w:eastAsia="es-ES"/>
        </w:rPr>
      </w:pPr>
    </w:p>
    <w:p w14:paraId="6BF5364A" w14:textId="77777777" w:rsidR="004108E1" w:rsidRPr="00356C11" w:rsidRDefault="004108E1" w:rsidP="002C423A">
      <w:pPr>
        <w:spacing w:line="360" w:lineRule="auto"/>
        <w:ind w:right="49"/>
        <w:contextualSpacing/>
        <w:jc w:val="both"/>
        <w:rPr>
          <w:rFonts w:ascii="Palatino Linotype" w:eastAsia="MS Gothic" w:hAnsi="Palatino Linotype" w:cstheme="majorBidi"/>
          <w:iCs/>
          <w:lang w:val="es-ES" w:eastAsia="es-ES"/>
        </w:rPr>
      </w:pPr>
      <w:bookmarkStart w:id="4" w:name="_Toc497905366"/>
      <w:bookmarkStart w:id="5" w:name="_Toc495427547"/>
      <w:bookmarkStart w:id="6" w:name="_Toc466377653"/>
      <w:bookmarkStart w:id="7" w:name="_Toc466371865"/>
      <w:r w:rsidRPr="00356C11">
        <w:rPr>
          <w:rFonts w:ascii="Palatino Linotype" w:eastAsia="MS Gothic" w:hAnsi="Palatino Linotype" w:cstheme="majorBidi"/>
          <w:b/>
          <w:lang w:val="es-ES_tradnl" w:eastAsia="es-ES"/>
        </w:rPr>
        <w:t xml:space="preserve">TERCERO. </w:t>
      </w:r>
      <w:r w:rsidR="002C423A" w:rsidRPr="00356C11">
        <w:rPr>
          <w:rFonts w:ascii="Palatino Linotype" w:eastAsia="MS Gothic" w:hAnsi="Palatino Linotype" w:cstheme="majorBidi"/>
          <w:b/>
          <w:lang w:val="es-ES_tradnl" w:eastAsia="es-ES"/>
        </w:rPr>
        <w:t>De las causales de Sobreseimiento</w:t>
      </w:r>
    </w:p>
    <w:p w14:paraId="39309923" w14:textId="77777777" w:rsidR="004108E1" w:rsidRPr="00356C11" w:rsidRDefault="004108E1" w:rsidP="004108E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356C11">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356C11">
        <w:rPr>
          <w:rFonts w:ascii="Palatino Linotype" w:eastAsia="Calibri" w:hAnsi="Palatino Linotype" w:cs="Arial"/>
          <w:lang w:val="es-ES"/>
        </w:rPr>
        <w:t>Ley de Transparencia y Acceso a la Información Pública del Estado de México y Municipios</w:t>
      </w:r>
      <w:r w:rsidRPr="00356C11">
        <w:rPr>
          <w:rFonts w:ascii="Palatino Linotype" w:hAnsi="Palatino Linotype" w:cs="Arial"/>
          <w:lang w:val="es-ES"/>
        </w:rPr>
        <w:t>.</w:t>
      </w:r>
    </w:p>
    <w:p w14:paraId="186FAF0E" w14:textId="77777777" w:rsidR="004108E1" w:rsidRPr="00356C11" w:rsidRDefault="004108E1" w:rsidP="004108E1">
      <w:pPr>
        <w:spacing w:line="360" w:lineRule="auto"/>
        <w:ind w:right="49"/>
        <w:contextualSpacing/>
        <w:jc w:val="both"/>
        <w:rPr>
          <w:rFonts w:ascii="Palatino Linotype" w:eastAsiaTheme="minorEastAsia" w:hAnsi="Palatino Linotype"/>
          <w:lang w:val="es-ES_tradnl" w:eastAsia="es-ES"/>
        </w:rPr>
      </w:pPr>
    </w:p>
    <w:p w14:paraId="0F9B6FAD" w14:textId="77777777" w:rsidR="004108E1" w:rsidRPr="00356C11" w:rsidRDefault="002F0068" w:rsidP="004108E1">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sidRPr="00356C11">
        <w:rPr>
          <w:rFonts w:ascii="Palatino Linotype" w:hAnsi="Palatino Linotype" w:cs="Arial"/>
          <w:lang w:val="es-ES"/>
        </w:rPr>
        <w:t>Se</w:t>
      </w:r>
      <w:r w:rsidR="004108E1" w:rsidRPr="00356C11">
        <w:rPr>
          <w:rFonts w:ascii="Palatino Linotype" w:hAnsi="Palatino Linotype" w:cs="Arial"/>
          <w:lang w:val="es-ES"/>
        </w:rPr>
        <w:t xml:space="preserve"> anexa el siguiente cuadro con la solicitud del Recurrente y la respuesta del Sujeto Obligado:</w:t>
      </w:r>
    </w:p>
    <w:p w14:paraId="5917ED2E" w14:textId="77777777" w:rsidR="004108E1" w:rsidRPr="00356C11" w:rsidRDefault="004108E1" w:rsidP="004108E1">
      <w:pPr>
        <w:pStyle w:val="Prrafodelista"/>
        <w:rPr>
          <w:rFonts w:ascii="Palatino Linotype" w:eastAsia="MS Gothic" w:hAnsi="Palatino Linotype" w:cstheme="majorBidi"/>
          <w:iCs/>
          <w:sz w:val="24"/>
          <w:lang w:val="es-ES" w:eastAsia="es-ES"/>
        </w:rPr>
      </w:pPr>
    </w:p>
    <w:tbl>
      <w:tblPr>
        <w:tblStyle w:val="Tablaconcuadrcula4-nfasis3"/>
        <w:tblW w:w="9067" w:type="dxa"/>
        <w:tblLayout w:type="fixed"/>
        <w:tblLook w:val="04A0" w:firstRow="1" w:lastRow="0" w:firstColumn="1" w:lastColumn="0" w:noHBand="0" w:noVBand="1"/>
      </w:tblPr>
      <w:tblGrid>
        <w:gridCol w:w="3328"/>
        <w:gridCol w:w="2853"/>
        <w:gridCol w:w="2886"/>
      </w:tblGrid>
      <w:tr w:rsidR="006D15A3" w:rsidRPr="00356C11" w14:paraId="3C235E34" w14:textId="77777777" w:rsidTr="006D1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5F2D36F" w14:textId="77777777" w:rsidR="006D15A3" w:rsidRPr="00356C11" w:rsidRDefault="006D15A3" w:rsidP="004108E1">
            <w:pPr>
              <w:ind w:right="49"/>
              <w:contextualSpacing/>
              <w:jc w:val="both"/>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t>SOLICITUD</w:t>
            </w:r>
          </w:p>
        </w:tc>
        <w:tc>
          <w:tcPr>
            <w:tcW w:w="2853" w:type="dxa"/>
          </w:tcPr>
          <w:p w14:paraId="4FA5F502" w14:textId="77777777" w:rsidR="006D15A3" w:rsidRPr="00356C11" w:rsidRDefault="006D15A3" w:rsidP="004108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t>RESPUESTA</w:t>
            </w:r>
          </w:p>
        </w:tc>
        <w:tc>
          <w:tcPr>
            <w:tcW w:w="2886" w:type="dxa"/>
          </w:tcPr>
          <w:p w14:paraId="2CB52399" w14:textId="77777777" w:rsidR="006D15A3" w:rsidRPr="00356C11" w:rsidRDefault="006D15A3" w:rsidP="004108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t>OBSERVACIONES</w:t>
            </w:r>
          </w:p>
        </w:tc>
      </w:tr>
      <w:tr w:rsidR="006D15A3" w:rsidRPr="00356C11" w14:paraId="1F678CA2" w14:textId="77777777" w:rsidTr="006D1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33E1BE84" w14:textId="77777777" w:rsidR="006D15A3" w:rsidRPr="00356C11" w:rsidRDefault="006D15A3" w:rsidP="00EB4DF3">
            <w:pPr>
              <w:pStyle w:val="Prrafodelista"/>
              <w:numPr>
                <w:ilvl w:val="0"/>
                <w:numId w:val="12"/>
              </w:numPr>
              <w:ind w:left="29" w:right="49" w:firstLine="0"/>
              <w:jc w:val="both"/>
              <w:rPr>
                <w:rFonts w:ascii="Palatino Linotype" w:eastAsia="MS Gothic" w:hAnsi="Palatino Linotype" w:cstheme="majorBidi"/>
                <w:b w:val="0"/>
                <w:i/>
                <w:sz w:val="20"/>
                <w:lang w:val="es-ES_tradnl" w:eastAsia="es-ES"/>
              </w:rPr>
            </w:pPr>
            <w:r w:rsidRPr="00356C11">
              <w:rPr>
                <w:rFonts w:ascii="Palatino Linotype" w:hAnsi="Palatino Linotype"/>
                <w:b w:val="0"/>
                <w:color w:val="000000"/>
                <w:sz w:val="20"/>
              </w:rPr>
              <w:t>Que el Secretario del Ayuntamiento, Presidente Municipal, Síndico Municipal, Primer Regidor, Segundo Regidor, Tercer Regidor, Cuarto Regidor, Quinto Regidor, Sexto Regidor, Séptimo Regidor, Octavo Regidor, Noveno Regidor, informen y narren la cronología de tiempos escolares que ocupo el Servidor Público referido en la solicitud para trasladarse de Tultepec a Juchitepec, tiempos hora clase y retorno durante sus estudios;</w:t>
            </w:r>
          </w:p>
          <w:p w14:paraId="7656AEAF" w14:textId="77777777" w:rsidR="006D15A3" w:rsidRPr="00356C11" w:rsidRDefault="006D15A3" w:rsidP="004108E1">
            <w:pPr>
              <w:ind w:right="49"/>
              <w:contextualSpacing/>
              <w:jc w:val="both"/>
              <w:rPr>
                <w:rFonts w:ascii="Palatino Linotype" w:eastAsia="MS Gothic" w:hAnsi="Palatino Linotype" w:cstheme="majorBidi"/>
                <w:b w:val="0"/>
                <w:iCs/>
                <w:sz w:val="20"/>
                <w:lang w:val="es-ES" w:eastAsia="es-ES"/>
              </w:rPr>
            </w:pPr>
          </w:p>
        </w:tc>
        <w:tc>
          <w:tcPr>
            <w:tcW w:w="2853" w:type="dxa"/>
          </w:tcPr>
          <w:p w14:paraId="76785C84" w14:textId="77777777" w:rsidR="006D15A3" w:rsidRPr="00356C11" w:rsidRDefault="006D15A3" w:rsidP="004108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MS Gothic" w:hAnsi="Palatino Linotype" w:cstheme="majorBidi"/>
                <w:i/>
                <w:iCs/>
                <w:sz w:val="20"/>
                <w:lang w:val="es-ES" w:eastAsia="es-ES"/>
              </w:rPr>
            </w:pPr>
            <w:r w:rsidRPr="00356C11">
              <w:rPr>
                <w:rFonts w:ascii="Palatino Linotype" w:eastAsia="MS Gothic" w:hAnsi="Palatino Linotype" w:cstheme="majorBidi"/>
                <w:i/>
                <w:iCs/>
                <w:sz w:val="20"/>
                <w:lang w:eastAsia="es-ES"/>
              </w:rPr>
              <w:t>“…Ahora bien, por los tiempos de trayecto como sujeto obligado es información que no es administrada ni generada por lo que no es un carácter de información pública…”</w:t>
            </w:r>
          </w:p>
          <w:p w14:paraId="0282385B" w14:textId="77777777" w:rsidR="006D15A3" w:rsidRPr="00356C11" w:rsidRDefault="006D15A3" w:rsidP="006D15A3">
            <w:pPr>
              <w:cnfStyle w:val="000000100000" w:firstRow="0" w:lastRow="0" w:firstColumn="0" w:lastColumn="0" w:oddVBand="0" w:evenVBand="0" w:oddHBand="1" w:evenHBand="0" w:firstRowFirstColumn="0" w:firstRowLastColumn="0" w:lastRowFirstColumn="0" w:lastRowLastColumn="0"/>
              <w:rPr>
                <w:rFonts w:ascii="Palatino Linotype" w:eastAsia="MS Gothic" w:hAnsi="Palatino Linotype" w:cstheme="majorBidi"/>
                <w:sz w:val="20"/>
                <w:lang w:val="es-ES" w:eastAsia="es-ES"/>
              </w:rPr>
            </w:pPr>
          </w:p>
          <w:p w14:paraId="58B8AD09" w14:textId="77777777" w:rsidR="006D15A3" w:rsidRPr="00356C11" w:rsidRDefault="006D15A3" w:rsidP="006D15A3">
            <w:pPr>
              <w:cnfStyle w:val="000000100000" w:firstRow="0" w:lastRow="0" w:firstColumn="0" w:lastColumn="0" w:oddVBand="0" w:evenVBand="0" w:oddHBand="1" w:evenHBand="0" w:firstRowFirstColumn="0" w:firstRowLastColumn="0" w:lastRowFirstColumn="0" w:lastRowLastColumn="0"/>
              <w:rPr>
                <w:rFonts w:ascii="Palatino Linotype" w:eastAsia="MS Gothic" w:hAnsi="Palatino Linotype" w:cstheme="majorBidi"/>
                <w:sz w:val="20"/>
                <w:lang w:val="es-ES" w:eastAsia="es-ES"/>
              </w:rPr>
            </w:pPr>
          </w:p>
        </w:tc>
        <w:tc>
          <w:tcPr>
            <w:tcW w:w="2886" w:type="dxa"/>
          </w:tcPr>
          <w:p w14:paraId="3FD31208" w14:textId="77777777" w:rsidR="006D15A3" w:rsidRPr="00356C11" w:rsidRDefault="006D15A3" w:rsidP="004108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MS Gothic" w:hAnsi="Palatino Linotype" w:cstheme="majorBidi"/>
                <w:iCs/>
                <w:sz w:val="20"/>
                <w:lang w:eastAsia="es-ES"/>
              </w:rPr>
            </w:pPr>
            <w:r w:rsidRPr="00356C11">
              <w:rPr>
                <w:rFonts w:ascii="Palatino Linotype" w:eastAsia="MS Gothic" w:hAnsi="Palatino Linotype" w:cstheme="majorBidi"/>
                <w:iCs/>
                <w:sz w:val="20"/>
                <w:lang w:val="es-ES" w:eastAsia="es-ES"/>
              </w:rPr>
              <w:t>Se advierte que la información solicitada en este punto, corresponde a un derecho de petición.</w:t>
            </w:r>
          </w:p>
        </w:tc>
      </w:tr>
      <w:tr w:rsidR="006D15A3" w:rsidRPr="00356C11" w14:paraId="45CB8BD7" w14:textId="77777777" w:rsidTr="006D15A3">
        <w:tc>
          <w:tcPr>
            <w:cnfStyle w:val="001000000000" w:firstRow="0" w:lastRow="0" w:firstColumn="1" w:lastColumn="0" w:oddVBand="0" w:evenVBand="0" w:oddHBand="0" w:evenHBand="0" w:firstRowFirstColumn="0" w:firstRowLastColumn="0" w:lastRowFirstColumn="0" w:lastRowLastColumn="0"/>
            <w:tcW w:w="3328" w:type="dxa"/>
          </w:tcPr>
          <w:p w14:paraId="628AE084" w14:textId="77777777" w:rsidR="006D15A3" w:rsidRPr="00356C11" w:rsidRDefault="006D15A3" w:rsidP="00EB4DF3">
            <w:pPr>
              <w:pStyle w:val="Prrafodelista"/>
              <w:numPr>
                <w:ilvl w:val="0"/>
                <w:numId w:val="12"/>
              </w:numPr>
              <w:ind w:left="0" w:right="49" w:firstLine="0"/>
              <w:jc w:val="both"/>
              <w:rPr>
                <w:rFonts w:ascii="Palatino Linotype" w:eastAsia="MS Gothic" w:hAnsi="Palatino Linotype" w:cstheme="majorBidi"/>
                <w:b w:val="0"/>
                <w:sz w:val="20"/>
                <w:lang w:val="es-ES_tradnl" w:eastAsia="es-ES"/>
              </w:rPr>
            </w:pPr>
            <w:r w:rsidRPr="00356C11">
              <w:rPr>
                <w:rFonts w:ascii="Palatino Linotype" w:eastAsia="MS Gothic" w:hAnsi="Palatino Linotype" w:cstheme="majorBidi"/>
                <w:b w:val="0"/>
                <w:sz w:val="20"/>
                <w:lang w:val="es-ES_tradnl" w:eastAsia="es-ES"/>
              </w:rPr>
              <w:t xml:space="preserve">Informe de fecha de inicio y término de la licenciatura, del </w:t>
            </w:r>
            <w:r w:rsidRPr="00356C11">
              <w:rPr>
                <w:rFonts w:ascii="Palatino Linotype" w:eastAsia="MS Gothic" w:hAnsi="Palatino Linotype" w:cstheme="majorBidi"/>
                <w:b w:val="0"/>
                <w:sz w:val="20"/>
                <w:lang w:val="es-ES_tradnl" w:eastAsia="es-ES"/>
              </w:rPr>
              <w:lastRenderedPageBreak/>
              <w:t>servidor público referido en la solicitud de información;</w:t>
            </w:r>
          </w:p>
          <w:p w14:paraId="04D4149A" w14:textId="77777777" w:rsidR="006D15A3" w:rsidRPr="00356C11" w:rsidRDefault="006D15A3" w:rsidP="004108E1">
            <w:pPr>
              <w:ind w:right="49"/>
              <w:contextualSpacing/>
              <w:jc w:val="both"/>
              <w:rPr>
                <w:rFonts w:ascii="Palatino Linotype" w:eastAsia="MS Gothic" w:hAnsi="Palatino Linotype" w:cstheme="majorBidi"/>
                <w:b w:val="0"/>
                <w:iCs/>
                <w:sz w:val="20"/>
                <w:lang w:val="es-ES" w:eastAsia="es-ES"/>
              </w:rPr>
            </w:pPr>
          </w:p>
        </w:tc>
        <w:tc>
          <w:tcPr>
            <w:tcW w:w="2853" w:type="dxa"/>
          </w:tcPr>
          <w:p w14:paraId="572719F5" w14:textId="77777777" w:rsidR="006D15A3" w:rsidRPr="00356C11" w:rsidRDefault="006D15A3" w:rsidP="00EB4DF3">
            <w:pPr>
              <w:ind w:right="49"/>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lastRenderedPageBreak/>
              <w:t xml:space="preserve">En el título que adjuntó el Sujeto Obligado, se advierte </w:t>
            </w:r>
            <w:r w:rsidRPr="00356C11">
              <w:rPr>
                <w:rFonts w:ascii="Palatino Linotype" w:eastAsia="MS Gothic" w:hAnsi="Palatino Linotype" w:cstheme="majorBidi"/>
                <w:iCs/>
                <w:sz w:val="20"/>
                <w:lang w:val="es-ES" w:eastAsia="es-ES"/>
              </w:rPr>
              <w:lastRenderedPageBreak/>
              <w:t xml:space="preserve">la fecha de término de la licenciatura. </w:t>
            </w:r>
          </w:p>
          <w:p w14:paraId="121BA6D2" w14:textId="77777777" w:rsidR="006D15A3" w:rsidRPr="00356C11" w:rsidRDefault="006D15A3" w:rsidP="00EB4DF3">
            <w:pPr>
              <w:ind w:right="49"/>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p>
        </w:tc>
        <w:tc>
          <w:tcPr>
            <w:tcW w:w="2886" w:type="dxa"/>
          </w:tcPr>
          <w:p w14:paraId="49DB7F76" w14:textId="77777777" w:rsidR="006D15A3" w:rsidRPr="00356C11" w:rsidRDefault="006D15A3" w:rsidP="006D15A3">
            <w:pPr>
              <w:ind w:right="49"/>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lastRenderedPageBreak/>
              <w:t xml:space="preserve">No hay fuente obligacional que constriña al Sujeto </w:t>
            </w:r>
            <w:r w:rsidRPr="00356C11">
              <w:rPr>
                <w:rFonts w:ascii="Palatino Linotype" w:eastAsia="MS Gothic" w:hAnsi="Palatino Linotype" w:cstheme="majorBidi"/>
                <w:iCs/>
                <w:sz w:val="20"/>
                <w:lang w:val="es-ES" w:eastAsia="es-ES"/>
              </w:rPr>
              <w:lastRenderedPageBreak/>
              <w:t xml:space="preserve">Obligado a generar, poseer o administrar la información solicitada. </w:t>
            </w:r>
          </w:p>
          <w:p w14:paraId="04B59C0D" w14:textId="77777777" w:rsidR="006D15A3" w:rsidRPr="00356C11" w:rsidRDefault="006D15A3" w:rsidP="006D15A3">
            <w:pPr>
              <w:ind w:right="49"/>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p>
          <w:p w14:paraId="46304B74" w14:textId="77777777" w:rsidR="006D15A3" w:rsidRPr="00356C11" w:rsidRDefault="006D15A3" w:rsidP="006D15A3">
            <w:pPr>
              <w:ind w:right="49"/>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t>Se advierte que la información solicitada en este punto, corresponde a un derecho de petición.</w:t>
            </w:r>
          </w:p>
        </w:tc>
      </w:tr>
      <w:tr w:rsidR="006D15A3" w:rsidRPr="00356C11" w14:paraId="5C8AD132" w14:textId="77777777" w:rsidTr="006D1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2CC083C2" w14:textId="77777777" w:rsidR="006D15A3" w:rsidRPr="00356C11" w:rsidRDefault="006D15A3" w:rsidP="00EB4DF3">
            <w:pPr>
              <w:pStyle w:val="Prrafodelista"/>
              <w:numPr>
                <w:ilvl w:val="0"/>
                <w:numId w:val="12"/>
              </w:numPr>
              <w:ind w:left="29" w:right="49" w:hanging="29"/>
              <w:jc w:val="both"/>
              <w:rPr>
                <w:rFonts w:ascii="Palatino Linotype" w:eastAsia="MS Gothic" w:hAnsi="Palatino Linotype" w:cstheme="majorBidi"/>
                <w:b w:val="0"/>
                <w:sz w:val="20"/>
                <w:lang w:val="es-ES_tradnl" w:eastAsia="es-ES"/>
              </w:rPr>
            </w:pPr>
            <w:r w:rsidRPr="00356C11">
              <w:rPr>
                <w:rFonts w:ascii="Palatino Linotype" w:eastAsia="MS Gothic" w:hAnsi="Palatino Linotype" w:cstheme="majorBidi"/>
                <w:b w:val="0"/>
                <w:sz w:val="20"/>
                <w:lang w:val="es-ES_tradnl" w:eastAsia="es-ES"/>
              </w:rPr>
              <w:lastRenderedPageBreak/>
              <w:t>Periodo en el que trabajo como servidor público de Cuautitlán México, puesto, funciones, días de semana que laboraba y horario del servidor público referido en la solicitud de información;</w:t>
            </w:r>
          </w:p>
          <w:p w14:paraId="708B7C58" w14:textId="77777777" w:rsidR="006D15A3" w:rsidRPr="00356C11" w:rsidRDefault="006D15A3" w:rsidP="00EB4DF3">
            <w:pPr>
              <w:ind w:right="49"/>
              <w:contextualSpacing/>
              <w:jc w:val="both"/>
              <w:rPr>
                <w:rFonts w:ascii="Palatino Linotype" w:eastAsia="MS Gothic" w:hAnsi="Palatino Linotype" w:cstheme="majorBidi"/>
                <w:b w:val="0"/>
                <w:iCs/>
                <w:sz w:val="20"/>
                <w:lang w:val="es-ES" w:eastAsia="es-ES"/>
              </w:rPr>
            </w:pPr>
          </w:p>
        </w:tc>
        <w:tc>
          <w:tcPr>
            <w:tcW w:w="2853" w:type="dxa"/>
          </w:tcPr>
          <w:p w14:paraId="322E3820" w14:textId="77777777" w:rsidR="006D15A3" w:rsidRPr="00356C11" w:rsidRDefault="006D15A3" w:rsidP="00EB4DF3">
            <w:pPr>
              <w:ind w:right="-3652"/>
              <w:cnfStyle w:val="000000100000" w:firstRow="0" w:lastRow="0" w:firstColumn="0" w:lastColumn="0" w:oddVBand="0" w:evenVBand="0" w:oddHBand="1"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t>No se pronunció</w:t>
            </w:r>
          </w:p>
        </w:tc>
        <w:tc>
          <w:tcPr>
            <w:tcW w:w="2886" w:type="dxa"/>
          </w:tcPr>
          <w:p w14:paraId="322BFCB7" w14:textId="77777777" w:rsidR="006D15A3" w:rsidRPr="00356C11" w:rsidRDefault="006D15A3" w:rsidP="006D15A3">
            <w:pPr>
              <w:tabs>
                <w:tab w:val="left" w:pos="2353"/>
              </w:tabs>
              <w:ind w:right="33"/>
              <w:cnfStyle w:val="000000100000" w:firstRow="0" w:lastRow="0" w:firstColumn="0" w:lastColumn="0" w:oddVBand="0" w:evenVBand="0" w:oddHBand="1" w:evenHBand="0" w:firstRowFirstColumn="0" w:firstRowLastColumn="0" w:lastRowFirstColumn="0" w:lastRowLastColumn="0"/>
              <w:rPr>
                <w:rFonts w:ascii="Palatino Linotype" w:eastAsia="MS Gothic" w:hAnsi="Palatino Linotype" w:cstheme="majorBidi"/>
                <w:iCs/>
                <w:sz w:val="20"/>
                <w:lang w:val="es-ES" w:eastAsia="es-ES"/>
              </w:rPr>
            </w:pPr>
            <w:r w:rsidRPr="00356C11">
              <w:rPr>
                <w:rFonts w:ascii="Palatino Linotype" w:eastAsia="MS Gothic" w:hAnsi="Palatino Linotype" w:cstheme="majorBidi"/>
                <w:iCs/>
                <w:sz w:val="20"/>
                <w:lang w:val="es-ES" w:eastAsia="es-ES"/>
              </w:rPr>
              <w:t xml:space="preserve">Se advierte incompetencia para generar poseer y administrar la información solicitada.  </w:t>
            </w:r>
          </w:p>
        </w:tc>
      </w:tr>
      <w:tr w:rsidR="006D15A3" w:rsidRPr="00356C11" w14:paraId="66A6EFEF" w14:textId="77777777" w:rsidTr="006D15A3">
        <w:tc>
          <w:tcPr>
            <w:cnfStyle w:val="001000000000" w:firstRow="0" w:lastRow="0" w:firstColumn="1" w:lastColumn="0" w:oddVBand="0" w:evenVBand="0" w:oddHBand="0" w:evenHBand="0" w:firstRowFirstColumn="0" w:firstRowLastColumn="0" w:lastRowFirstColumn="0" w:lastRowLastColumn="0"/>
            <w:tcW w:w="3328" w:type="dxa"/>
          </w:tcPr>
          <w:p w14:paraId="54884766" w14:textId="77777777" w:rsidR="006D15A3" w:rsidRPr="00356C11" w:rsidRDefault="006D15A3" w:rsidP="00EB4DF3">
            <w:pPr>
              <w:pStyle w:val="Prrafodelista"/>
              <w:numPr>
                <w:ilvl w:val="0"/>
                <w:numId w:val="12"/>
              </w:numPr>
              <w:ind w:left="29" w:right="49" w:firstLine="0"/>
              <w:jc w:val="both"/>
              <w:rPr>
                <w:rFonts w:ascii="Palatino Linotype" w:eastAsia="MS Gothic" w:hAnsi="Palatino Linotype" w:cstheme="majorBidi"/>
                <w:b w:val="0"/>
                <w:sz w:val="20"/>
                <w:lang w:val="es-ES_tradnl" w:eastAsia="es-ES"/>
              </w:rPr>
            </w:pPr>
            <w:r w:rsidRPr="00356C11">
              <w:rPr>
                <w:rFonts w:ascii="Palatino Linotype" w:eastAsia="MS Gothic" w:hAnsi="Palatino Linotype" w:cstheme="majorBidi"/>
                <w:b w:val="0"/>
                <w:sz w:val="20"/>
                <w:lang w:val="es-ES_tradnl" w:eastAsia="es-ES"/>
              </w:rPr>
              <w:t xml:space="preserve">Copia de los oficios de turno a los servidores públicos referidos en el punto a, para dar respuesta a la solicitud de información. </w:t>
            </w:r>
          </w:p>
          <w:p w14:paraId="0B2804E6" w14:textId="77777777" w:rsidR="006D15A3" w:rsidRPr="00356C11" w:rsidRDefault="006D15A3" w:rsidP="00EB4DF3">
            <w:pPr>
              <w:ind w:right="49"/>
              <w:contextualSpacing/>
              <w:jc w:val="both"/>
              <w:rPr>
                <w:rFonts w:ascii="Palatino Linotype" w:eastAsia="MS Gothic" w:hAnsi="Palatino Linotype" w:cstheme="majorBidi"/>
                <w:b w:val="0"/>
                <w:iCs/>
                <w:sz w:val="20"/>
                <w:lang w:val="es-ES" w:eastAsia="es-ES"/>
              </w:rPr>
            </w:pPr>
          </w:p>
        </w:tc>
        <w:tc>
          <w:tcPr>
            <w:tcW w:w="2853" w:type="dxa"/>
          </w:tcPr>
          <w:p w14:paraId="1950B42A" w14:textId="77777777" w:rsidR="006D15A3" w:rsidRPr="00356C11" w:rsidRDefault="006D15A3" w:rsidP="004108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eastAsia="es-ES"/>
              </w:rPr>
            </w:pPr>
            <w:r w:rsidRPr="00356C11">
              <w:rPr>
                <w:rFonts w:ascii="Palatino Linotype" w:eastAsia="MS Gothic" w:hAnsi="Palatino Linotype" w:cstheme="majorBidi"/>
                <w:iCs/>
                <w:sz w:val="20"/>
                <w:lang w:eastAsia="es-ES"/>
              </w:rPr>
              <w:t>No se pronunció</w:t>
            </w:r>
          </w:p>
          <w:p w14:paraId="481C631C" w14:textId="77777777" w:rsidR="006D15A3" w:rsidRPr="00356C11" w:rsidRDefault="006D15A3" w:rsidP="004108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val="es-ES" w:eastAsia="es-ES"/>
              </w:rPr>
            </w:pPr>
          </w:p>
        </w:tc>
        <w:tc>
          <w:tcPr>
            <w:tcW w:w="2886" w:type="dxa"/>
          </w:tcPr>
          <w:p w14:paraId="0412F753" w14:textId="77777777" w:rsidR="006D15A3" w:rsidRPr="00356C11" w:rsidRDefault="002C423A" w:rsidP="004108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MS Gothic" w:hAnsi="Palatino Linotype" w:cstheme="majorBidi"/>
                <w:iCs/>
                <w:sz w:val="20"/>
                <w:lang w:eastAsia="es-ES"/>
              </w:rPr>
            </w:pPr>
            <w:r w:rsidRPr="00356C11">
              <w:rPr>
                <w:rFonts w:ascii="Palatino Linotype" w:eastAsia="MS Gothic" w:hAnsi="Palatino Linotype" w:cstheme="majorBidi"/>
                <w:iCs/>
                <w:sz w:val="20"/>
                <w:lang w:eastAsia="es-ES"/>
              </w:rPr>
              <w:t>Se trata de Hechos futuros</w:t>
            </w:r>
          </w:p>
        </w:tc>
      </w:tr>
    </w:tbl>
    <w:p w14:paraId="2D4F9A4A" w14:textId="77777777" w:rsidR="004108E1" w:rsidRPr="00356C11" w:rsidRDefault="004108E1" w:rsidP="004108E1">
      <w:pPr>
        <w:spacing w:line="360" w:lineRule="auto"/>
        <w:ind w:right="49"/>
        <w:contextualSpacing/>
        <w:jc w:val="both"/>
        <w:rPr>
          <w:rFonts w:ascii="Palatino Linotype" w:eastAsia="MS Gothic" w:hAnsi="Palatino Linotype" w:cstheme="majorBidi"/>
          <w:iCs/>
          <w:lang w:val="es-ES" w:eastAsia="es-ES"/>
        </w:rPr>
      </w:pPr>
    </w:p>
    <w:p w14:paraId="61DEC307" w14:textId="77777777" w:rsidR="00621BFC" w:rsidRPr="00356C11" w:rsidRDefault="00621BFC" w:rsidP="00621BFC">
      <w:pPr>
        <w:numPr>
          <w:ilvl w:val="0"/>
          <w:numId w:val="1"/>
        </w:numPr>
        <w:spacing w:line="360" w:lineRule="auto"/>
        <w:ind w:left="0" w:right="49" w:firstLine="0"/>
        <w:contextualSpacing/>
        <w:jc w:val="both"/>
        <w:rPr>
          <w:rFonts w:ascii="Palatino Linotype" w:hAnsi="Palatino Linotype" w:cs="Tahoma"/>
        </w:rPr>
      </w:pPr>
      <w:r w:rsidRPr="00356C11">
        <w:rPr>
          <w:rFonts w:ascii="Palatino Linotype" w:hAnsi="Palatino Linotype" w:cs="Tahoma"/>
        </w:rPr>
        <w:t xml:space="preserve">Ahora bien, respecto al punto a. señalado en el cuadro anterior, </w:t>
      </w:r>
      <w:r w:rsidRPr="00356C11">
        <w:rPr>
          <w:rFonts w:ascii="Palatino Linotype" w:eastAsia="MS Mincho" w:hAnsi="Palatino Linotype" w:cs="Arial"/>
          <w:lang w:val="es-ES_tradnl"/>
        </w:rPr>
        <w:t xml:space="preserve">al respecto, </w:t>
      </w:r>
      <w:r w:rsidRPr="00356C11">
        <w:rPr>
          <w:rFonts w:ascii="Palatino Linotype" w:eastAsia="MS Mincho" w:hAnsi="Palatino Linotype"/>
          <w:lang w:val="es-ES_tradnl"/>
        </w:rPr>
        <w:t xml:space="preserve">este Órgano Garante advierte que </w:t>
      </w:r>
      <w:r w:rsidRPr="00356C11">
        <w:rPr>
          <w:rFonts w:ascii="Palatino Linotype" w:eastAsia="MS Mincho" w:hAnsi="Palatino Linotype" w:cs="Arial"/>
          <w:lang w:val="es-ES_tradnl" w:eastAsia="es-ES"/>
        </w:rPr>
        <w:t>dicha solicitud no constituye un derecho de acceso a la información pública, sino más bien un derecho de petición, debido a que se tratan de manifestaciones subjetivas vertidas por el entonces solicitante, interrogantes y declaraciones que no se colman con la entrega de documentos, situación que conlleva a afirmar que se está en presencia del ejercicio del derecho enunciado. Bajo ese contexto, es importante dejar en claro lo que debe entenderse por derecho de petición y por derecho de acceso a la información pública.</w:t>
      </w:r>
    </w:p>
    <w:p w14:paraId="39ECBB96" w14:textId="77777777" w:rsidR="00621BFC" w:rsidRPr="00356C11" w:rsidRDefault="00621BFC" w:rsidP="00621BFC">
      <w:pPr>
        <w:pStyle w:val="Prrafodelista"/>
        <w:rPr>
          <w:rFonts w:ascii="Palatino Linotype" w:eastAsia="MS Mincho" w:hAnsi="Palatino Linotype" w:cs="Arial"/>
          <w:sz w:val="24"/>
          <w:lang w:val="es-ES_tradnl" w:eastAsia="es-ES"/>
        </w:rPr>
      </w:pPr>
    </w:p>
    <w:p w14:paraId="49E52D60" w14:textId="77777777" w:rsidR="00621BFC" w:rsidRPr="00356C11" w:rsidRDefault="00621BFC" w:rsidP="00621BFC">
      <w:pPr>
        <w:numPr>
          <w:ilvl w:val="0"/>
          <w:numId w:val="1"/>
        </w:numPr>
        <w:spacing w:line="360" w:lineRule="auto"/>
        <w:ind w:left="0" w:right="49" w:firstLine="0"/>
        <w:contextualSpacing/>
        <w:jc w:val="both"/>
        <w:rPr>
          <w:rFonts w:ascii="Palatino Linotype" w:hAnsi="Palatino Linotype" w:cs="Tahoma"/>
        </w:rPr>
      </w:pPr>
      <w:r w:rsidRPr="00356C11">
        <w:rPr>
          <w:rFonts w:ascii="Palatino Linotype" w:eastAsia="MS Mincho" w:hAnsi="Palatino Linotype" w:cs="Arial"/>
          <w:lang w:val="es-ES_tradnl" w:eastAsia="es-ES"/>
        </w:rPr>
        <w:t xml:space="preserve">Por lo que respecta a la definición de Derecho de Petición, el Maestro Ignacio Burgoa Orihuela refiere: </w:t>
      </w:r>
    </w:p>
    <w:p w14:paraId="780AAB71" w14:textId="77777777" w:rsidR="00621BFC" w:rsidRPr="00356C11" w:rsidRDefault="00621BFC" w:rsidP="00621BFC">
      <w:pPr>
        <w:autoSpaceDE w:val="0"/>
        <w:autoSpaceDN w:val="0"/>
        <w:adjustRightInd w:val="0"/>
        <w:spacing w:line="360" w:lineRule="auto"/>
        <w:ind w:left="720"/>
        <w:contextualSpacing/>
        <w:jc w:val="both"/>
        <w:rPr>
          <w:rFonts w:ascii="Palatino Linotype" w:eastAsia="MS Mincho" w:hAnsi="Palatino Linotype" w:cs="Arial"/>
          <w:lang w:val="es-ES_tradnl" w:eastAsia="es-ES"/>
        </w:rPr>
      </w:pPr>
    </w:p>
    <w:p w14:paraId="4C5FF9A6" w14:textId="77777777" w:rsidR="00621BFC" w:rsidRPr="00356C11" w:rsidRDefault="00621BFC" w:rsidP="00621BFC">
      <w:pPr>
        <w:autoSpaceDE w:val="0"/>
        <w:autoSpaceDN w:val="0"/>
        <w:adjustRightInd w:val="0"/>
        <w:spacing w:line="276" w:lineRule="auto"/>
        <w:ind w:left="851" w:right="901"/>
        <w:jc w:val="both"/>
        <w:rPr>
          <w:rFonts w:ascii="Palatino Linotype" w:eastAsia="MS Mincho" w:hAnsi="Palatino Linotype" w:cs="Arial"/>
          <w:i/>
          <w:sz w:val="22"/>
          <w:lang w:val="es-ES_tradnl" w:eastAsia="es-ES"/>
        </w:rPr>
      </w:pPr>
      <w:r w:rsidRPr="00356C11">
        <w:rPr>
          <w:rFonts w:ascii="Palatino Linotype" w:eastAsia="MS Mincho" w:hAnsi="Palatino Linotype" w:cs="Arial"/>
          <w:b/>
          <w:sz w:val="22"/>
          <w:lang w:val="es-ES_tradnl" w:eastAsia="es-ES"/>
        </w:rPr>
        <w:lastRenderedPageBreak/>
        <w:t>“</w:t>
      </w:r>
      <w:r w:rsidRPr="00356C11">
        <w:rPr>
          <w:rFonts w:ascii="Palatino Linotype" w:eastAsia="MS Mincho" w:hAnsi="Palatino Linotype" w:cs="Arial"/>
          <w:sz w:val="22"/>
          <w:lang w:val="es-ES_tradnl" w:eastAsia="es-ES"/>
        </w:rPr>
        <w:t>…</w:t>
      </w:r>
      <w:r w:rsidRPr="00356C11">
        <w:rPr>
          <w:rFonts w:ascii="Palatino Linotype" w:eastAsia="MS Mincho" w:hAnsi="Palatino Linotype" w:cs="Arial"/>
          <w:i/>
          <w:sz w:val="22"/>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356C11">
        <w:rPr>
          <w:rFonts w:ascii="Palatino Linotype" w:eastAsia="MS Mincho" w:hAnsi="Palatino Linotype"/>
          <w:b/>
          <w:i/>
          <w:sz w:val="22"/>
          <w:lang w:val="es-ES_tradnl" w:eastAsia="es-ES"/>
        </w:rPr>
        <w:t>“</w:t>
      </w:r>
      <w:r w:rsidRPr="00356C11">
        <w:rPr>
          <w:rFonts w:ascii="Palatino Linotype" w:eastAsia="MS Mincho" w:hAnsi="Palatino Linotype" w:cs="Arial"/>
          <w:i/>
          <w:sz w:val="22"/>
          <w:lang w:val="es-ES_tradnl" w:eastAsia="es-ES"/>
        </w:rPr>
        <w:t xml:space="preserve"> (sic)</w:t>
      </w:r>
    </w:p>
    <w:p w14:paraId="18F928DA" w14:textId="77777777" w:rsidR="00621BFC" w:rsidRPr="00356C11" w:rsidRDefault="00621BFC" w:rsidP="00621BFC">
      <w:pPr>
        <w:autoSpaceDE w:val="0"/>
        <w:autoSpaceDN w:val="0"/>
        <w:adjustRightInd w:val="0"/>
        <w:spacing w:line="360" w:lineRule="auto"/>
        <w:ind w:left="720" w:right="901"/>
        <w:contextualSpacing/>
        <w:jc w:val="both"/>
        <w:rPr>
          <w:rFonts w:ascii="Palatino Linotype" w:eastAsia="MS Mincho" w:hAnsi="Palatino Linotype" w:cs="Arial"/>
          <w:i/>
          <w:lang w:val="es-ES_tradnl" w:eastAsia="es-ES"/>
        </w:rPr>
      </w:pPr>
    </w:p>
    <w:p w14:paraId="29A0FAFA" w14:textId="77777777" w:rsidR="00621BFC" w:rsidRPr="00356C11" w:rsidRDefault="00621BFC" w:rsidP="00621BFC">
      <w:pPr>
        <w:numPr>
          <w:ilvl w:val="0"/>
          <w:numId w:val="1"/>
        </w:numPr>
        <w:autoSpaceDE w:val="0"/>
        <w:autoSpaceDN w:val="0"/>
        <w:adjustRightInd w:val="0"/>
        <w:spacing w:before="240" w:after="240" w:line="360" w:lineRule="auto"/>
        <w:ind w:left="0" w:right="616"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 xml:space="preserve">Por su parte, David Cienfuegos Salgado, concibe al derecho de petición como: </w:t>
      </w:r>
    </w:p>
    <w:p w14:paraId="1FC9231C" w14:textId="77777777" w:rsidR="00621BFC" w:rsidRPr="00356C11" w:rsidRDefault="00621BFC" w:rsidP="00621BFC">
      <w:pPr>
        <w:autoSpaceDE w:val="0"/>
        <w:autoSpaceDN w:val="0"/>
        <w:adjustRightInd w:val="0"/>
        <w:spacing w:line="276" w:lineRule="auto"/>
        <w:ind w:left="851" w:right="822"/>
        <w:contextualSpacing/>
        <w:jc w:val="both"/>
        <w:rPr>
          <w:rFonts w:ascii="Palatino Linotype" w:eastAsia="MS Mincho" w:hAnsi="Palatino Linotype" w:cs="Arial"/>
          <w:i/>
          <w:sz w:val="22"/>
          <w:lang w:val="es-ES_tradnl" w:eastAsia="es-ES"/>
        </w:rPr>
      </w:pPr>
      <w:r w:rsidRPr="00356C11">
        <w:rPr>
          <w:rFonts w:ascii="Palatino Linotype" w:eastAsia="MS Mincho" w:hAnsi="Palatino Linotype" w:cs="Arial"/>
          <w:b/>
          <w:i/>
          <w:sz w:val="22"/>
          <w:lang w:val="es-ES_tradnl" w:eastAsia="es-ES"/>
        </w:rPr>
        <w:t>“</w:t>
      </w:r>
      <w:r w:rsidRPr="00356C11">
        <w:rPr>
          <w:rFonts w:ascii="Palatino Linotype" w:eastAsia="MS Mincho" w:hAnsi="Palatino Linotype" w:cs="Arial"/>
          <w:i/>
          <w:sz w:val="22"/>
          <w:lang w:val="es-ES_tradnl" w:eastAsia="es-ES"/>
        </w:rPr>
        <w:t>el derecho de toda persona a ser escuchado por quienes ejercen el poder público.</w:t>
      </w:r>
      <w:r w:rsidRPr="00356C11">
        <w:rPr>
          <w:rFonts w:ascii="Palatino Linotype" w:eastAsia="MS Mincho" w:hAnsi="Palatino Linotype" w:cs="Arial"/>
          <w:b/>
          <w:i/>
          <w:sz w:val="22"/>
          <w:lang w:val="es-ES_tradnl" w:eastAsia="es-ES"/>
        </w:rPr>
        <w:t>”</w:t>
      </w:r>
      <w:r w:rsidRPr="00356C11">
        <w:rPr>
          <w:rFonts w:ascii="Palatino Linotype" w:eastAsia="MS Mincho" w:hAnsi="Palatino Linotype" w:cs="Arial"/>
          <w:i/>
          <w:sz w:val="22"/>
          <w:lang w:val="es-ES_tradnl" w:eastAsia="es-ES"/>
        </w:rPr>
        <w:t xml:space="preserve"> (sic) </w:t>
      </w:r>
    </w:p>
    <w:p w14:paraId="0254BE4B" w14:textId="77777777" w:rsidR="00621BFC" w:rsidRPr="00356C11" w:rsidRDefault="00621BFC" w:rsidP="00621BFC">
      <w:pPr>
        <w:autoSpaceDE w:val="0"/>
        <w:autoSpaceDN w:val="0"/>
        <w:adjustRightInd w:val="0"/>
        <w:spacing w:line="276" w:lineRule="auto"/>
        <w:ind w:left="720" w:right="901"/>
        <w:contextualSpacing/>
        <w:jc w:val="both"/>
        <w:rPr>
          <w:rFonts w:ascii="Palatino Linotype" w:eastAsia="MS Mincho" w:hAnsi="Palatino Linotype" w:cs="Arial"/>
          <w:i/>
          <w:lang w:val="es-ES_tradnl" w:eastAsia="es-ES"/>
        </w:rPr>
      </w:pPr>
    </w:p>
    <w:p w14:paraId="081503EA"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 xml:space="preserve"> A este respecto, para diferenciar el derecho de petición al derecho de acceso a la información, resulta conducente señalar que José Guadalupe Robles, conceptualiza el derecho a la información como: </w:t>
      </w:r>
    </w:p>
    <w:p w14:paraId="2943D21F" w14:textId="77777777" w:rsidR="00621BFC" w:rsidRPr="00356C11" w:rsidRDefault="00621BFC" w:rsidP="00621BFC">
      <w:pPr>
        <w:autoSpaceDE w:val="0"/>
        <w:autoSpaceDN w:val="0"/>
        <w:adjustRightInd w:val="0"/>
        <w:spacing w:before="240" w:after="240" w:line="276" w:lineRule="auto"/>
        <w:ind w:left="851" w:right="616"/>
        <w:contextualSpacing/>
        <w:jc w:val="both"/>
        <w:rPr>
          <w:rFonts w:ascii="Palatino Linotype" w:eastAsia="MS Mincho" w:hAnsi="Palatino Linotype" w:cs="Arial"/>
          <w:i/>
          <w:sz w:val="22"/>
          <w:lang w:val="es-ES_tradnl" w:eastAsia="es-ES"/>
        </w:rPr>
      </w:pPr>
      <w:r w:rsidRPr="00356C11">
        <w:rPr>
          <w:rFonts w:ascii="Palatino Linotype" w:eastAsia="MS Mincho" w:hAnsi="Palatino Linotype" w:cs="Arial"/>
          <w:b/>
          <w:i/>
          <w:sz w:val="22"/>
          <w:lang w:val="es-ES_tradnl" w:eastAsia="es-ES"/>
        </w:rPr>
        <w:t>“</w:t>
      </w:r>
      <w:r w:rsidRPr="00356C11">
        <w:rPr>
          <w:rFonts w:ascii="Palatino Linotype" w:eastAsia="MS Mincho" w:hAnsi="Palatino Linotype" w:cs="Arial"/>
          <w:i/>
          <w:sz w:val="22"/>
          <w:lang w:val="es-ES_tradnl" w:eastAsia="es-ES"/>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356C11">
        <w:rPr>
          <w:rFonts w:ascii="Palatino Linotype" w:eastAsia="MS Mincho" w:hAnsi="Palatino Linotype" w:cs="Arial"/>
          <w:b/>
          <w:i/>
          <w:sz w:val="22"/>
          <w:lang w:val="es-ES_tradnl" w:eastAsia="es-ES"/>
        </w:rPr>
        <w:t>”</w:t>
      </w:r>
      <w:r w:rsidRPr="00356C11">
        <w:rPr>
          <w:rFonts w:ascii="Palatino Linotype" w:eastAsia="MS Mincho" w:hAnsi="Palatino Linotype" w:cs="Arial"/>
          <w:i/>
          <w:sz w:val="22"/>
          <w:lang w:val="es-ES_tradnl" w:eastAsia="es-ES"/>
        </w:rPr>
        <w:t xml:space="preserve"> (sic) </w:t>
      </w:r>
    </w:p>
    <w:p w14:paraId="29E0BCE1" w14:textId="77777777" w:rsidR="00621BFC" w:rsidRPr="00356C11" w:rsidRDefault="00621BFC" w:rsidP="00621BFC">
      <w:pPr>
        <w:spacing w:line="360" w:lineRule="auto"/>
        <w:ind w:left="720" w:right="901"/>
        <w:contextualSpacing/>
        <w:jc w:val="both"/>
        <w:rPr>
          <w:rFonts w:ascii="Palatino Linotype" w:eastAsia="MS Mincho" w:hAnsi="Palatino Linotype" w:cs="Arial"/>
          <w:i/>
          <w:lang w:val="es-ES_tradnl" w:eastAsia="es-ES"/>
        </w:rPr>
      </w:pPr>
    </w:p>
    <w:p w14:paraId="2DBAD539"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lang w:val="es-ES_tradnl" w:eastAsia="es-ES"/>
        </w:rPr>
      </w:pPr>
      <w:r w:rsidRPr="00356C11">
        <w:rPr>
          <w:rFonts w:ascii="Palatino Linotype" w:eastAsia="MS Mincho" w:hAnsi="Palatino Linotype" w:cs="Arial"/>
          <w:lang w:val="es-ES_tradnl" w:eastAsia="es-ES"/>
        </w:rPr>
        <w:t xml:space="preserve">Ahora bien, el derecho </w:t>
      </w:r>
      <w:r w:rsidRPr="00356C11">
        <w:rPr>
          <w:rFonts w:ascii="Palatino Linotype" w:eastAsia="MS Mincho" w:hAnsi="Palatino Linotype"/>
          <w:lang w:val="es-ES_tradnl" w:eastAsia="es-ES"/>
        </w:rPr>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7392C6DB" w14:textId="77777777" w:rsidR="00621BFC" w:rsidRPr="00356C11" w:rsidRDefault="00621BFC" w:rsidP="00621BFC">
      <w:pPr>
        <w:spacing w:line="360" w:lineRule="auto"/>
        <w:ind w:left="720"/>
        <w:contextualSpacing/>
        <w:jc w:val="both"/>
        <w:rPr>
          <w:rFonts w:ascii="Palatino Linotype" w:eastAsia="MS Mincho" w:hAnsi="Palatino Linotype"/>
          <w:lang w:val="es-ES_tradnl" w:eastAsia="es-ES"/>
        </w:rPr>
      </w:pPr>
    </w:p>
    <w:p w14:paraId="60E3AB44"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92E40EC" w14:textId="77777777" w:rsidR="00621BFC" w:rsidRPr="00356C11" w:rsidRDefault="00621BFC" w:rsidP="00621BFC">
      <w:pPr>
        <w:spacing w:line="360" w:lineRule="auto"/>
        <w:contextualSpacing/>
        <w:jc w:val="both"/>
        <w:rPr>
          <w:rFonts w:ascii="Palatino Linotype" w:eastAsia="MS Mincho" w:hAnsi="Palatino Linotype" w:cs="Arial"/>
          <w:lang w:val="es-ES_tradnl" w:eastAsia="es-ES"/>
        </w:rPr>
      </w:pPr>
    </w:p>
    <w:p w14:paraId="1E7D62D2"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lastRenderedPageBreak/>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4B44D7E6" w14:textId="77777777" w:rsidR="00621BFC" w:rsidRPr="00356C11" w:rsidRDefault="00621BFC" w:rsidP="00621BFC">
      <w:pPr>
        <w:spacing w:line="360" w:lineRule="auto"/>
        <w:contextualSpacing/>
        <w:jc w:val="both"/>
        <w:rPr>
          <w:rFonts w:ascii="Palatino Linotype" w:eastAsia="MS Mincho" w:hAnsi="Palatino Linotype" w:cs="Arial"/>
          <w:lang w:val="es-ES_tradnl" w:eastAsia="es-ES"/>
        </w:rPr>
      </w:pPr>
    </w:p>
    <w:p w14:paraId="2B1B6294"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54A1A14E" w14:textId="77777777" w:rsidR="00621BFC" w:rsidRPr="00356C11" w:rsidRDefault="00621BFC" w:rsidP="00621BFC">
      <w:pPr>
        <w:spacing w:line="360" w:lineRule="auto"/>
        <w:contextualSpacing/>
        <w:jc w:val="both"/>
        <w:rPr>
          <w:rFonts w:ascii="Palatino Linotype" w:eastAsia="MS Mincho" w:hAnsi="Palatino Linotype" w:cs="Arial"/>
          <w:lang w:val="es-ES_tradnl" w:eastAsia="es-ES"/>
        </w:rPr>
      </w:pPr>
    </w:p>
    <w:p w14:paraId="57B6097F"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w:t>
      </w:r>
      <w:r w:rsidRPr="00356C11">
        <w:rPr>
          <w:rFonts w:ascii="Palatino Linotype" w:eastAsia="MS Mincho" w:hAnsi="Palatino Linotype" w:cs="Arial"/>
          <w:lang w:val="es-ES_tradnl" w:eastAsia="es-ES"/>
        </w:rPr>
        <w:lastRenderedPageBreak/>
        <w:t>su fuente o fecha de elaboración. Los documentos podrán estar en cualquier medio, sea escrito, impreso, sonoro, visual, electrónico, informático u holográfico.</w:t>
      </w:r>
    </w:p>
    <w:p w14:paraId="7D973702" w14:textId="77777777" w:rsidR="00621BFC" w:rsidRPr="00356C11" w:rsidRDefault="00621BFC" w:rsidP="00621BFC">
      <w:pPr>
        <w:spacing w:line="360" w:lineRule="auto"/>
        <w:contextualSpacing/>
        <w:jc w:val="both"/>
        <w:rPr>
          <w:rFonts w:ascii="Palatino Linotype" w:eastAsia="MS Mincho" w:hAnsi="Palatino Linotype" w:cs="Arial"/>
          <w:lang w:val="es-ES_tradnl" w:eastAsia="es-ES"/>
        </w:rPr>
      </w:pPr>
    </w:p>
    <w:p w14:paraId="2D263AD1"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14:paraId="2EAB3DC4" w14:textId="77777777" w:rsidR="00621BFC" w:rsidRPr="00356C11" w:rsidRDefault="00621BFC" w:rsidP="00621BFC">
      <w:pPr>
        <w:spacing w:line="360" w:lineRule="auto"/>
        <w:contextualSpacing/>
        <w:jc w:val="both"/>
        <w:rPr>
          <w:rFonts w:ascii="Palatino Linotype" w:eastAsia="MS Mincho" w:hAnsi="Palatino Linotype" w:cs="Arial"/>
          <w:lang w:val="es-ES_tradnl" w:eastAsia="es-ES"/>
        </w:rPr>
      </w:pPr>
    </w:p>
    <w:p w14:paraId="7A6D59DF"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lang w:val="es-ES_tradnl"/>
        </w:rPr>
      </w:pPr>
      <w:r w:rsidRPr="00356C11">
        <w:rPr>
          <w:rFonts w:ascii="Palatino Linotype" w:eastAsia="MS Mincho" w:hAnsi="Palatino Linotype" w:cs="Arial"/>
          <w:lang w:val="es-ES_tradnl"/>
        </w:rPr>
        <w:t xml:space="preserve">Corolario a lo anterior, el doctrinario Ernesto Villanueva Villanueva define al derecho de acceso a la información como: </w:t>
      </w:r>
    </w:p>
    <w:p w14:paraId="501DBFC4" w14:textId="77777777" w:rsidR="00621BFC" w:rsidRPr="00356C11" w:rsidRDefault="00621BFC" w:rsidP="00621BFC">
      <w:pPr>
        <w:spacing w:line="276" w:lineRule="auto"/>
        <w:ind w:left="720" w:right="902"/>
        <w:contextualSpacing/>
        <w:jc w:val="both"/>
        <w:rPr>
          <w:rFonts w:ascii="Palatino Linotype" w:eastAsia="MS Mincho" w:hAnsi="Palatino Linotype" w:cs="Arial"/>
          <w:i/>
          <w:sz w:val="22"/>
          <w:lang w:val="es-ES_tradnl"/>
        </w:rPr>
      </w:pPr>
      <w:r w:rsidRPr="00356C11">
        <w:rPr>
          <w:rFonts w:ascii="Palatino Linotype" w:eastAsia="MS Mincho" w:hAnsi="Palatino Linotype" w:cs="Arial"/>
          <w:b/>
          <w:i/>
          <w:sz w:val="22"/>
          <w:lang w:val="es-ES_tradnl"/>
        </w:rPr>
        <w:t>“</w:t>
      </w:r>
      <w:r w:rsidRPr="00356C11">
        <w:rPr>
          <w:rFonts w:ascii="Palatino Linotype" w:eastAsia="MS Mincho" w:hAnsi="Palatino Linotype" w:cs="Arial"/>
          <w:i/>
          <w:sz w:val="22"/>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356C11">
        <w:rPr>
          <w:rFonts w:ascii="Palatino Linotype" w:eastAsia="MS Mincho" w:hAnsi="Palatino Linotype" w:cs="Arial"/>
          <w:b/>
          <w:i/>
          <w:sz w:val="22"/>
          <w:lang w:val="es-ES_tradnl"/>
        </w:rPr>
        <w:t>”</w:t>
      </w:r>
      <w:r w:rsidRPr="00356C11">
        <w:rPr>
          <w:rFonts w:ascii="Palatino Linotype" w:eastAsia="MS Mincho" w:hAnsi="Palatino Linotype" w:cs="Arial"/>
          <w:i/>
          <w:sz w:val="22"/>
          <w:vertAlign w:val="superscript"/>
          <w:lang w:val="es-ES_tradnl"/>
        </w:rPr>
        <w:t xml:space="preserve"> </w:t>
      </w:r>
      <w:r w:rsidRPr="00356C11">
        <w:rPr>
          <w:rFonts w:ascii="Palatino Linotype" w:eastAsia="MS Mincho" w:hAnsi="Palatino Linotype" w:cs="Arial"/>
          <w:i/>
          <w:sz w:val="22"/>
          <w:lang w:val="es-ES_tradnl"/>
        </w:rPr>
        <w:t xml:space="preserve">(sic) </w:t>
      </w:r>
    </w:p>
    <w:p w14:paraId="20529081" w14:textId="77777777" w:rsidR="00621BFC" w:rsidRPr="00356C11" w:rsidRDefault="00621BFC" w:rsidP="00621BFC">
      <w:pPr>
        <w:spacing w:line="360" w:lineRule="auto"/>
        <w:ind w:left="720" w:right="902"/>
        <w:contextualSpacing/>
        <w:jc w:val="both"/>
        <w:rPr>
          <w:rFonts w:ascii="Palatino Linotype" w:eastAsia="MS Mincho" w:hAnsi="Palatino Linotype" w:cs="Arial"/>
          <w:i/>
          <w:lang w:val="es-ES_tradnl" w:eastAsia="es-ES"/>
        </w:rPr>
      </w:pPr>
    </w:p>
    <w:p w14:paraId="1A7E7796" w14:textId="77777777" w:rsidR="00621BFC" w:rsidRPr="00356C11" w:rsidRDefault="00621BFC" w:rsidP="00621BFC">
      <w:pPr>
        <w:numPr>
          <w:ilvl w:val="0"/>
          <w:numId w:val="1"/>
        </w:numPr>
        <w:spacing w:before="240" w:after="240" w:line="360" w:lineRule="auto"/>
        <w:ind w:left="0" w:firstLine="0"/>
        <w:contextualSpacing/>
        <w:jc w:val="both"/>
        <w:rPr>
          <w:rFonts w:ascii="Palatino Linotype" w:eastAsia="MS Mincho" w:hAnsi="Palatino Linotype" w:cs="Arial"/>
          <w:b/>
          <w:u w:val="single"/>
          <w:lang w:val="es-ES_tradnl" w:eastAsia="es-ES"/>
        </w:rPr>
      </w:pPr>
      <w:r w:rsidRPr="00356C11">
        <w:rPr>
          <w:rFonts w:ascii="Palatino Linotype" w:eastAsia="MS Mincho" w:hAnsi="Palatino Linotype" w:cs="Arial"/>
          <w:lang w:val="es-ES_tradnl" w:eastAsia="es-ES"/>
        </w:rPr>
        <w:t xml:space="preserve">De lo anterior, se puede concluir que la distinción entre el derecho de petición y el derecho de acceso a la información estriba principalmente en que en el primero de ellos, </w:t>
      </w:r>
      <w:r w:rsidRPr="00356C11">
        <w:rPr>
          <w:rFonts w:ascii="Palatino Linotype" w:eastAsia="MS Mincho" w:hAnsi="Palatino Linotype" w:cs="Arial"/>
          <w:color w:val="000000"/>
          <w:lang w:val="es-ES_tradnl"/>
        </w:rPr>
        <w:t xml:space="preserve">la pretensión del peticionario consiste generalmente en obligar a la autoridad responsable a que actúe en el sentido de contestar lo solicitado, mientras que en el </w:t>
      </w:r>
      <w:r w:rsidRPr="00356C11">
        <w:rPr>
          <w:rFonts w:ascii="Palatino Linotype" w:eastAsia="MS Mincho" w:hAnsi="Palatino Linotype" w:cs="Arial"/>
          <w:bCs/>
          <w:lang w:val="es-ES_tradnl" w:eastAsia="es-CO"/>
        </w:rPr>
        <w:t xml:space="preserve">segundo supuesto </w:t>
      </w:r>
      <w:r w:rsidRPr="00356C11">
        <w:rPr>
          <w:rFonts w:ascii="Palatino Linotype" w:eastAsia="MS Mincho" w:hAnsi="Palatino Linotype" w:cs="Arial"/>
          <w:b/>
          <w:bCs/>
          <w:u w:val="single"/>
          <w:lang w:val="es-ES_tradnl" w:eastAsia="es-CO"/>
        </w:rPr>
        <w:t>la solicitud de acceso a la información pública se encamina primordialmente a</w:t>
      </w:r>
      <w:r w:rsidRPr="00356C11">
        <w:rPr>
          <w:rFonts w:ascii="Palatino Linotype" w:eastAsia="MS Mincho" w:hAnsi="Palatino Linotype" w:cs="Arial"/>
          <w:b/>
          <w:u w:val="single"/>
          <w:lang w:val="es-ES_tradnl" w:eastAsia="es-ES"/>
        </w:rPr>
        <w:t xml:space="preserve"> permitir el </w:t>
      </w:r>
      <w:r w:rsidRPr="00356C11">
        <w:rPr>
          <w:rFonts w:ascii="Palatino Linotype" w:eastAsia="MS Mincho" w:hAnsi="Palatino Linotype" w:cs="Arial"/>
          <w:b/>
          <w:u w:val="single"/>
          <w:lang w:val="es-ES_tradnl" w:eastAsia="es-CO"/>
        </w:rPr>
        <w:t xml:space="preserve">acceso a datos, registros y todo tipo de información pública que conste en documentos, sea generada o se encuentre en posesión de </w:t>
      </w:r>
      <w:r w:rsidRPr="00356C11">
        <w:rPr>
          <w:rFonts w:ascii="Palatino Linotype" w:eastAsia="MS Mincho" w:hAnsi="Palatino Linotype" w:cs="Arial"/>
          <w:b/>
          <w:u w:val="single"/>
          <w:lang w:val="es-ES_tradnl" w:eastAsia="es-ES"/>
        </w:rPr>
        <w:t xml:space="preserve">la autoridad. </w:t>
      </w:r>
    </w:p>
    <w:p w14:paraId="00BE7D5A" w14:textId="77777777" w:rsidR="00621BFC" w:rsidRPr="00356C11" w:rsidRDefault="00621BFC" w:rsidP="00621BFC">
      <w:pPr>
        <w:spacing w:line="360" w:lineRule="auto"/>
        <w:ind w:left="720"/>
        <w:contextualSpacing/>
        <w:jc w:val="both"/>
        <w:rPr>
          <w:rFonts w:ascii="Palatino Linotype" w:eastAsia="MS Mincho" w:hAnsi="Palatino Linotype" w:cs="Arial"/>
          <w:lang w:val="es-ES_tradnl" w:eastAsia="es-ES"/>
        </w:rPr>
      </w:pPr>
    </w:p>
    <w:p w14:paraId="26DBA097" w14:textId="77777777" w:rsidR="00621BFC" w:rsidRPr="00356C11" w:rsidRDefault="00621BFC" w:rsidP="00621BFC">
      <w:pPr>
        <w:numPr>
          <w:ilvl w:val="0"/>
          <w:numId w:val="1"/>
        </w:numPr>
        <w:tabs>
          <w:tab w:val="left" w:pos="0"/>
        </w:tabs>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lastRenderedPageBreak/>
        <w:t>Así las cosas, debe señalarse que El Recurrente desea una contestación a su petición, mediante un documento ad hoc para satisfacer su pretensión, aunado a que como quedó asentado previamente este Órgano Garante del derecho de acceso a la Información pública no se encuentra facultado para ordenar al Sujeto Obligado</w:t>
      </w:r>
      <w:r w:rsidRPr="00356C11">
        <w:rPr>
          <w:rFonts w:ascii="Palatino Linotype" w:eastAsia="MS Mincho" w:hAnsi="Palatino Linotype" w:cs="Arial"/>
          <w:b/>
          <w:lang w:val="es-ES_tradnl" w:eastAsia="es-ES"/>
        </w:rPr>
        <w:t xml:space="preserve"> </w:t>
      </w:r>
      <w:r w:rsidRPr="00356C11">
        <w:rPr>
          <w:rFonts w:ascii="Palatino Linotype" w:eastAsia="MS Mincho" w:hAnsi="Palatino Linotype" w:cs="Arial"/>
          <w:lang w:val="es-ES_tradnl" w:eastAsia="es-ES"/>
        </w:rPr>
        <w:t>a realizar acciones respecto de cuestionamientos a manera de petición.</w:t>
      </w:r>
    </w:p>
    <w:p w14:paraId="52AC91DA" w14:textId="77777777" w:rsidR="00621BFC" w:rsidRPr="00356C11" w:rsidRDefault="00621BFC" w:rsidP="00621BFC">
      <w:pPr>
        <w:rPr>
          <w:rFonts w:ascii="Palatino Linotype" w:eastAsia="MS Mincho" w:hAnsi="Palatino Linotype" w:cs="Arial"/>
          <w:lang w:val="es-ES_tradnl" w:eastAsia="es-ES"/>
        </w:rPr>
      </w:pPr>
    </w:p>
    <w:p w14:paraId="41644B19" w14:textId="77777777" w:rsidR="00621BFC" w:rsidRPr="00356C11" w:rsidRDefault="00621BFC" w:rsidP="00621BFC">
      <w:pPr>
        <w:numPr>
          <w:ilvl w:val="0"/>
          <w:numId w:val="1"/>
        </w:numPr>
        <w:tabs>
          <w:tab w:val="left" w:pos="0"/>
        </w:tabs>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Mincho" w:hAnsi="Palatino Linotype" w:cs="Arial"/>
          <w:lang w:val="es-ES_tradnl" w:eastAsia="es-ES"/>
        </w:rPr>
        <w:t xml:space="preserve">Por lo que la entrega de una razón o un razonamiento por parte de </w:t>
      </w:r>
      <w:r w:rsidRPr="00356C11">
        <w:rPr>
          <w:rFonts w:ascii="Palatino Linotype" w:eastAsia="MS Mincho" w:hAnsi="Palatino Linotype" w:cs="Arial"/>
          <w:b/>
        </w:rPr>
        <w:t>EL SUJETO OBLIGADO</w:t>
      </w:r>
      <w:r w:rsidRPr="00356C11">
        <w:rPr>
          <w:rFonts w:ascii="Palatino Linotype" w:eastAsia="MS Mincho" w:hAnsi="Palatino Linotype" w:cs="Arial"/>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w:t>
      </w:r>
    </w:p>
    <w:p w14:paraId="3FA1D9A5" w14:textId="77777777" w:rsidR="00621BFC" w:rsidRPr="00356C11" w:rsidRDefault="00621BFC" w:rsidP="00621BFC">
      <w:pPr>
        <w:tabs>
          <w:tab w:val="left" w:pos="360"/>
        </w:tabs>
        <w:spacing w:before="240" w:after="240" w:line="360" w:lineRule="auto"/>
        <w:contextualSpacing/>
        <w:jc w:val="both"/>
        <w:rPr>
          <w:rFonts w:ascii="Palatino Linotype" w:eastAsia="MS Mincho" w:hAnsi="Palatino Linotype" w:cs="Arial"/>
          <w:lang w:val="es-ES_tradnl" w:eastAsia="es-ES"/>
        </w:rPr>
      </w:pPr>
    </w:p>
    <w:p w14:paraId="3F27676F" w14:textId="77777777" w:rsidR="00621BFC" w:rsidRPr="00356C11" w:rsidRDefault="00621BFC" w:rsidP="002275DF">
      <w:pPr>
        <w:numPr>
          <w:ilvl w:val="0"/>
          <w:numId w:val="1"/>
        </w:numPr>
        <w:tabs>
          <w:tab w:val="left" w:pos="0"/>
        </w:tabs>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eastAsia="MS Gothic" w:hAnsi="Palatino Linotype" w:cstheme="majorBidi"/>
          <w:iCs/>
          <w:lang w:val="es-ES" w:eastAsia="es-ES"/>
        </w:rPr>
        <w:t xml:space="preserve">Por otro lado, respecto al punto b. que se enlisa en el recuadro del párrafo veintiocho, el Sujeto Obligado entregó el Título profesional del servidor público en el que se advierte la fecha de </w:t>
      </w:r>
      <w:r w:rsidR="002275DF" w:rsidRPr="00356C11">
        <w:rPr>
          <w:rFonts w:ascii="Palatino Linotype" w:eastAsia="MS Gothic" w:hAnsi="Palatino Linotype" w:cstheme="majorBidi"/>
          <w:iCs/>
          <w:lang w:val="es-ES" w:eastAsia="es-ES"/>
        </w:rPr>
        <w:t>término</w:t>
      </w:r>
      <w:r w:rsidRPr="00356C11">
        <w:rPr>
          <w:rFonts w:ascii="Palatino Linotype" w:eastAsia="MS Gothic" w:hAnsi="Palatino Linotype" w:cstheme="majorBidi"/>
          <w:iCs/>
          <w:lang w:val="es-ES" w:eastAsia="es-ES"/>
        </w:rPr>
        <w:t xml:space="preserve"> de la licenciatur</w:t>
      </w:r>
      <w:r w:rsidR="002275DF" w:rsidRPr="00356C11">
        <w:rPr>
          <w:rFonts w:ascii="Palatino Linotype" w:eastAsia="MS Gothic" w:hAnsi="Palatino Linotype" w:cstheme="majorBidi"/>
          <w:iCs/>
          <w:lang w:val="es-ES" w:eastAsia="es-ES"/>
        </w:rPr>
        <w:t xml:space="preserve">a, si bien no se advierte la fecha de inicio, lo cierto es que no existe fuente obligacional que constriña al Sujeto Obligado a generar, poseer o administrar la información solicitada, además de que corresponde a un derecho de petición. </w:t>
      </w:r>
      <w:r w:rsidR="002275DF" w:rsidRPr="00356C11">
        <w:rPr>
          <w:rFonts w:ascii="Palatino Linotype" w:eastAsia="MS Mincho" w:hAnsi="Palatino Linotype" w:cs="Arial"/>
          <w:lang w:val="es-ES_tradnl" w:eastAsia="es-ES"/>
        </w:rPr>
        <w:t>Asimismo</w:t>
      </w:r>
      <w:r w:rsidRPr="00356C11">
        <w:rPr>
          <w:rFonts w:ascii="Palatino Linotype" w:eastAsia="MS Gothic" w:hAnsi="Palatino Linotype" w:cstheme="majorBidi"/>
          <w:iCs/>
          <w:lang w:val="es-ES" w:eastAsia="es-ES"/>
        </w:rPr>
        <w:t xml:space="preserve">, </w:t>
      </w:r>
      <w:r w:rsidRPr="00356C11">
        <w:rPr>
          <w:rFonts w:ascii="Palatino Linotype" w:hAnsi="Palatino Linotype" w:cs="Arial"/>
        </w:rPr>
        <w:t xml:space="preserve">es necesario señalar que éste Órgano Garante no está facultado para pronunciarse sobre la veracidad de la información que los Sujetos Obligados ponen a disposición de los solicitantes; situación que se aleja de las atribuciones de este Instituto </w:t>
      </w:r>
      <w:r w:rsidRPr="00356C11">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65B7D4A7" w14:textId="77777777" w:rsidR="00621BFC" w:rsidRPr="00356C11" w:rsidRDefault="00621BFC" w:rsidP="00621BFC">
      <w:pPr>
        <w:rPr>
          <w:rFonts w:ascii="Palatino Linotype" w:hAnsi="Palatino Linotype"/>
        </w:rPr>
      </w:pPr>
    </w:p>
    <w:p w14:paraId="586607DF" w14:textId="77777777" w:rsidR="00621BFC" w:rsidRPr="00356C11" w:rsidRDefault="00621BFC" w:rsidP="00621BFC">
      <w:pPr>
        <w:numPr>
          <w:ilvl w:val="0"/>
          <w:numId w:val="1"/>
        </w:numPr>
        <w:tabs>
          <w:tab w:val="left" w:pos="0"/>
        </w:tabs>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hAnsi="Palatino Linotype"/>
        </w:rPr>
        <w:lastRenderedPageBreak/>
        <w:t>Sirviendo de apoyo a lo anterior por analogía, el criterio 31-10 emitido por el ahora Instituto Nacional de Transparencia, Acceso a la Información y Protección de Datos Personales, que a la letra dice:</w:t>
      </w:r>
    </w:p>
    <w:p w14:paraId="5D48E3DB" w14:textId="77777777" w:rsidR="00621BFC" w:rsidRPr="00356C11" w:rsidRDefault="00621BFC" w:rsidP="002275DF">
      <w:pPr>
        <w:pStyle w:val="Default"/>
        <w:spacing w:before="240" w:after="360" w:line="360" w:lineRule="auto"/>
        <w:ind w:left="720" w:right="850"/>
        <w:jc w:val="both"/>
        <w:rPr>
          <w:rFonts w:ascii="Palatino Linotype" w:hAnsi="Palatino Linotype"/>
          <w:i/>
          <w:sz w:val="22"/>
        </w:rPr>
      </w:pPr>
      <w:r w:rsidRPr="00356C11">
        <w:rPr>
          <w:rFonts w:ascii="Palatino Linotype" w:hAnsi="Palatino Linotype"/>
          <w:i/>
          <w:sz w:val="22"/>
        </w:rPr>
        <w:t xml:space="preserve">El Instituto Federal de Acceso a la Información y Protección de Datos </w:t>
      </w:r>
      <w:r w:rsidRPr="00356C11">
        <w:rPr>
          <w:rFonts w:ascii="Palatino Linotype" w:hAnsi="Palatino Linotype"/>
          <w:b/>
          <w:i/>
          <w:sz w:val="22"/>
        </w:rPr>
        <w:t>no cuenta con facultades para pronunciarse respecto de la veracidad de los documentos proporcionados por los sujetos obligados.</w:t>
      </w:r>
      <w:r w:rsidRPr="00356C1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05A2D56" w14:textId="77777777" w:rsidR="00E10456" w:rsidRPr="00356C11" w:rsidRDefault="00621BFC" w:rsidP="00E10456">
      <w:pPr>
        <w:numPr>
          <w:ilvl w:val="0"/>
          <w:numId w:val="1"/>
        </w:numPr>
        <w:tabs>
          <w:tab w:val="left" w:pos="0"/>
        </w:tabs>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hAnsi="Palatino Linotype" w:cs="Arial"/>
        </w:rPr>
        <w:t xml:space="preserve">Así mismo, la </w:t>
      </w:r>
      <w:r w:rsidRPr="00356C11">
        <w:rPr>
          <w:rFonts w:ascii="Palatino Linotype" w:hAnsi="Palatino Linotype" w:cs="Arial"/>
          <w:b/>
        </w:rPr>
        <w:t>Ley de Transparencia y Acceso a la Información Pública del Estado de México y Municipios</w:t>
      </w:r>
      <w:r w:rsidRPr="00356C11">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w:t>
      </w:r>
      <w:r w:rsidR="00E10456" w:rsidRPr="00356C11">
        <w:rPr>
          <w:rFonts w:ascii="Palatino Linotype" w:hAnsi="Palatino Linotype" w:cs="Arial"/>
        </w:rPr>
        <w:t>n comento que a la letra señala:</w:t>
      </w:r>
    </w:p>
    <w:p w14:paraId="2E8A21D9" w14:textId="77777777" w:rsidR="00E10456" w:rsidRPr="00356C11" w:rsidRDefault="00E10456" w:rsidP="00E10456">
      <w:pPr>
        <w:pStyle w:val="Prrafodelista"/>
        <w:spacing w:line="360" w:lineRule="auto"/>
        <w:ind w:left="851" w:right="902"/>
        <w:jc w:val="both"/>
        <w:rPr>
          <w:rFonts w:ascii="Palatino Linotype" w:hAnsi="Palatino Linotype" w:cs="Arial"/>
          <w:b/>
          <w:i/>
        </w:rPr>
      </w:pPr>
      <w:r w:rsidRPr="00356C11">
        <w:rPr>
          <w:rFonts w:ascii="Palatino Linotype" w:hAnsi="Palatino Linotype" w:cs="Arial"/>
          <w:i/>
        </w:rPr>
        <w:t xml:space="preserve">Artículo 3.- La información pública generada, administrada o en posesión de los Sujetos Obligados en ejercicio de sus atribuciones, será accesible de manera permanente a </w:t>
      </w:r>
      <w:r w:rsidRPr="00356C11">
        <w:rPr>
          <w:rFonts w:ascii="Palatino Linotype" w:hAnsi="Palatino Linotype" w:cs="Arial"/>
          <w:i/>
        </w:rPr>
        <w:lastRenderedPageBreak/>
        <w:t xml:space="preserve">cualquier persona, privilegiando el principio de máxima publicidad de la información. </w:t>
      </w:r>
      <w:r w:rsidRPr="00356C11">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04414100" w14:textId="77777777" w:rsidR="00E10456" w:rsidRPr="00356C11" w:rsidRDefault="00621BFC" w:rsidP="00E10456">
      <w:pPr>
        <w:numPr>
          <w:ilvl w:val="0"/>
          <w:numId w:val="1"/>
        </w:numPr>
        <w:tabs>
          <w:tab w:val="left" w:pos="0"/>
        </w:tabs>
        <w:spacing w:before="240" w:after="240" w:line="360" w:lineRule="auto"/>
        <w:ind w:left="0" w:firstLine="0"/>
        <w:contextualSpacing/>
        <w:jc w:val="both"/>
        <w:rPr>
          <w:rFonts w:ascii="Palatino Linotype" w:eastAsia="MS Mincho" w:hAnsi="Palatino Linotype" w:cs="Arial"/>
          <w:lang w:val="es-ES_tradnl" w:eastAsia="es-ES"/>
        </w:rPr>
      </w:pPr>
      <w:r w:rsidRPr="00356C11">
        <w:rPr>
          <w:rFonts w:ascii="Palatino Linotype" w:hAnsi="Palatino Linotype" w:cs="Arial"/>
          <w:noProof/>
        </w:rPr>
        <w:t xml:space="preserve">Numerales que compelen al </w:t>
      </w:r>
      <w:r w:rsidRPr="00356C11">
        <w:rPr>
          <w:rFonts w:ascii="Palatino Linotype" w:hAnsi="Palatino Linotype" w:cs="Arial"/>
          <w:b/>
          <w:noProof/>
        </w:rPr>
        <w:t>SUJETO OBLIGADO</w:t>
      </w:r>
      <w:r w:rsidRPr="00356C11">
        <w:rPr>
          <w:rFonts w:ascii="Palatino Linotype" w:hAnsi="Palatino Linotype" w:cs="Arial"/>
          <w:noProof/>
        </w:rPr>
        <w:t xml:space="preserve"> a apegarse en todo momento a los criterios ya expuestos, imipidiendo a este Órgano Colegiado cuestionar la veracidad de la información.</w:t>
      </w:r>
      <w:r w:rsidR="00E10456" w:rsidRPr="00356C11">
        <w:rPr>
          <w:rFonts w:ascii="Palatino Linotype" w:hAnsi="Palatino Linotype" w:cs="Arial"/>
          <w:noProof/>
        </w:rPr>
        <w:t xml:space="preserve"> En ese contexto, se tiene por atendida la parte de la solicitud del particular sobre la fecha de incio y termino de la licenciatura del servidor público. </w:t>
      </w:r>
    </w:p>
    <w:p w14:paraId="56675532" w14:textId="77777777" w:rsidR="00AA61DA" w:rsidRPr="00356C11" w:rsidRDefault="00AA61DA" w:rsidP="00E10456">
      <w:pPr>
        <w:spacing w:line="360" w:lineRule="auto"/>
        <w:ind w:right="49"/>
        <w:contextualSpacing/>
        <w:jc w:val="both"/>
        <w:rPr>
          <w:rFonts w:ascii="Palatino Linotype" w:eastAsia="MS Gothic" w:hAnsi="Palatino Linotype" w:cstheme="majorBidi"/>
          <w:iCs/>
          <w:lang w:val="es-ES" w:eastAsia="es-ES"/>
        </w:rPr>
      </w:pPr>
    </w:p>
    <w:p w14:paraId="553C41D8" w14:textId="77777777" w:rsidR="005905B7" w:rsidRPr="00356C11" w:rsidRDefault="00E10456" w:rsidP="005905B7">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sidRPr="00356C11">
        <w:rPr>
          <w:rFonts w:ascii="Palatino Linotype" w:eastAsia="MS Gothic" w:hAnsi="Palatino Linotype" w:cstheme="majorBidi"/>
          <w:iCs/>
          <w:lang w:val="es-ES" w:eastAsia="es-ES"/>
        </w:rPr>
        <w:t xml:space="preserve">Ahora bien, </w:t>
      </w:r>
      <w:r w:rsidR="005905B7" w:rsidRPr="00356C11">
        <w:rPr>
          <w:rFonts w:ascii="Palatino Linotype" w:eastAsia="MS Gothic" w:hAnsi="Palatino Linotype" w:cstheme="majorBidi"/>
          <w:iCs/>
          <w:lang w:val="es-ES" w:eastAsia="es-ES"/>
        </w:rPr>
        <w:t xml:space="preserve">respecto a la información referida en el punto c. de la solicitud, se advierte </w:t>
      </w:r>
      <w:r w:rsidR="00497460" w:rsidRPr="00356C11">
        <w:rPr>
          <w:rFonts w:ascii="Palatino Linotype" w:eastAsia="MS Gothic" w:hAnsi="Palatino Linotype" w:cstheme="majorBidi"/>
          <w:iCs/>
          <w:lang w:val="es-ES" w:eastAsia="es-ES"/>
        </w:rPr>
        <w:t>que el Sujeto Obligado no es competente para conocer de la información solicitada</w:t>
      </w:r>
      <w:r w:rsidR="005905B7" w:rsidRPr="00356C11">
        <w:rPr>
          <w:rFonts w:ascii="Palatino Linotype" w:eastAsia="MS Gothic" w:hAnsi="Palatino Linotype" w:cstheme="majorBidi"/>
          <w:iCs/>
          <w:lang w:val="es-ES" w:eastAsia="es-ES"/>
        </w:rPr>
        <w:t xml:space="preserve">, </w:t>
      </w:r>
      <w:r w:rsidR="00497460" w:rsidRPr="00356C11">
        <w:rPr>
          <w:rFonts w:ascii="Palatino Linotype" w:eastAsia="MS Gothic" w:hAnsi="Palatino Linotype" w:cstheme="majorBidi"/>
          <w:iCs/>
          <w:lang w:val="es-ES" w:eastAsia="es-ES"/>
        </w:rPr>
        <w:t>pues corresponde a un</w:t>
      </w:r>
      <w:r w:rsidR="005905B7" w:rsidRPr="00356C11">
        <w:rPr>
          <w:rFonts w:ascii="Palatino Linotype" w:eastAsia="MS Gothic" w:hAnsi="Palatino Linotype" w:cstheme="majorBidi"/>
          <w:iCs/>
          <w:lang w:val="es-ES" w:eastAsia="es-ES"/>
        </w:rPr>
        <w:t xml:space="preserve"> Sujeto Obligado diverso, </w:t>
      </w:r>
      <w:r w:rsidR="005905B7" w:rsidRPr="00356C11">
        <w:rPr>
          <w:rFonts w:ascii="Palatino Linotype" w:eastAsia="MS Gothic" w:hAnsi="Palatino Linotype" w:cstheme="majorBidi"/>
          <w:iCs/>
          <w:lang w:val="es-ES_tradnl" w:eastAsia="es-ES"/>
        </w:rPr>
        <w:t xml:space="preserve">por lo que, </w:t>
      </w:r>
      <w:r w:rsidR="005905B7" w:rsidRPr="00356C11">
        <w:rPr>
          <w:rFonts w:ascii="Palatino Linotype" w:eastAsia="MS Gothic" w:hAnsi="Palatino Linotype" w:cstheme="majorBidi"/>
          <w:iCs/>
          <w:lang w:val="es-ES" w:eastAsia="es-ES"/>
        </w:rPr>
        <w:t>es necesario traer a contexto lo dispuesto en el artículo 167 de la Ley de Transparencia y Acceso a la Información Pública del Estado de México y Municipios:</w:t>
      </w:r>
    </w:p>
    <w:p w14:paraId="03B6DDC7" w14:textId="77777777" w:rsidR="005905B7" w:rsidRPr="00356C11" w:rsidRDefault="005905B7" w:rsidP="005905B7">
      <w:pPr>
        <w:spacing w:line="276" w:lineRule="auto"/>
        <w:ind w:left="851" w:right="822"/>
        <w:contextualSpacing/>
        <w:jc w:val="both"/>
        <w:rPr>
          <w:rFonts w:ascii="Palatino Linotype" w:eastAsia="MS Gothic" w:hAnsi="Palatino Linotype" w:cstheme="majorBidi"/>
          <w:i/>
          <w:iCs/>
          <w:sz w:val="22"/>
          <w:lang w:val="es-ES_tradnl" w:eastAsia="es-ES"/>
        </w:rPr>
      </w:pPr>
      <w:r w:rsidRPr="00356C11">
        <w:rPr>
          <w:rFonts w:ascii="Palatino Linotype" w:eastAsia="MS Gothic" w:hAnsi="Palatino Linotype" w:cstheme="majorBidi"/>
          <w:iCs/>
          <w:sz w:val="22"/>
          <w:lang w:val="es-ES_tradnl" w:eastAsia="es-ES"/>
        </w:rPr>
        <w:t>“</w:t>
      </w:r>
      <w:r w:rsidRPr="00356C11">
        <w:rPr>
          <w:rFonts w:ascii="Palatino Linotype" w:eastAsia="MS Gothic" w:hAnsi="Palatino Linotype" w:cstheme="majorBidi"/>
          <w:b/>
          <w:i/>
          <w:iCs/>
          <w:sz w:val="22"/>
          <w:lang w:val="es-ES_tradnl" w:eastAsia="es-ES"/>
        </w:rPr>
        <w:t>Artículo 167.</w:t>
      </w:r>
      <w:r w:rsidRPr="00356C11">
        <w:rPr>
          <w:rFonts w:ascii="Palatino Linotype" w:eastAsia="MS Gothic" w:hAnsi="Palatino Linotype" w:cstheme="majorBidi"/>
          <w:i/>
          <w:iCs/>
          <w:sz w:val="22"/>
          <w:lang w:val="es-ES_tradnl" w:eastAsia="es-ES"/>
        </w:rPr>
        <w:t xml:space="preserve"> </w:t>
      </w:r>
      <w:r w:rsidRPr="00356C11">
        <w:rPr>
          <w:rFonts w:ascii="Palatino Linotype" w:eastAsia="MS Gothic" w:hAnsi="Palatino Linotype" w:cstheme="majorBidi"/>
          <w:b/>
          <w:i/>
          <w:iCs/>
          <w:sz w:val="22"/>
          <w:lang w:val="es-ES_tradnl" w:eastAsia="es-ES"/>
        </w:rPr>
        <w:t>Cuando las unidades de transparencia determinen la</w:t>
      </w:r>
      <w:r w:rsidRPr="00356C11">
        <w:rPr>
          <w:rFonts w:ascii="Palatino Linotype" w:eastAsia="MS Gothic" w:hAnsi="Palatino Linotype" w:cstheme="majorBidi"/>
          <w:i/>
          <w:iCs/>
          <w:sz w:val="22"/>
          <w:lang w:val="es-ES_tradnl" w:eastAsia="es-ES"/>
        </w:rPr>
        <w:t xml:space="preserve"> notoria </w:t>
      </w:r>
      <w:r w:rsidRPr="00356C11">
        <w:rPr>
          <w:rFonts w:ascii="Palatino Linotype" w:eastAsia="MS Gothic" w:hAnsi="Palatino Linotype" w:cstheme="majorBidi"/>
          <w:b/>
          <w:i/>
          <w:iCs/>
          <w:sz w:val="22"/>
          <w:lang w:val="es-ES_tradnl" w:eastAsia="es-ES"/>
        </w:rPr>
        <w:t>incompetencia por parte de los sujetos obligados</w:t>
      </w:r>
      <w:r w:rsidRPr="00356C11">
        <w:rPr>
          <w:rFonts w:ascii="Palatino Linotype" w:eastAsia="MS Gothic" w:hAnsi="Palatino Linotype" w:cstheme="majorBidi"/>
          <w:i/>
          <w:iCs/>
          <w:sz w:val="22"/>
          <w:lang w:val="es-ES_tradnl" w:eastAsia="es-ES"/>
        </w:rPr>
        <w:t xml:space="preserve">, dentro del ámbito de aplicación, para atender la solicitud de acceso a la información, </w:t>
      </w:r>
      <w:r w:rsidRPr="00356C11">
        <w:rPr>
          <w:rFonts w:ascii="Palatino Linotype" w:eastAsia="MS Gothic" w:hAnsi="Palatino Linotype" w:cstheme="majorBidi"/>
          <w:b/>
          <w:i/>
          <w:iCs/>
          <w:sz w:val="22"/>
          <w:lang w:val="es-ES_tradnl" w:eastAsia="es-ES"/>
        </w:rPr>
        <w:t>deberán comunicarlo al solicitante, dentro de los tres días hábiles posteriores a la recepción de la solicitud y, en su caso orientar al solicitante, el o los sujetos obligados competentes.</w:t>
      </w:r>
      <w:r w:rsidRPr="00356C11">
        <w:rPr>
          <w:rFonts w:ascii="Palatino Linotype" w:eastAsia="MS Gothic" w:hAnsi="Palatino Linotype" w:cstheme="majorBidi"/>
          <w:i/>
          <w:iCs/>
          <w:sz w:val="22"/>
          <w:lang w:val="es-ES_tradnl" w:eastAsia="es-ES"/>
        </w:rPr>
        <w:t xml:space="preserve"> </w:t>
      </w:r>
    </w:p>
    <w:p w14:paraId="1966DAC3" w14:textId="77777777" w:rsidR="005905B7" w:rsidRPr="00356C11" w:rsidRDefault="005905B7" w:rsidP="005905B7">
      <w:pPr>
        <w:spacing w:line="276" w:lineRule="auto"/>
        <w:ind w:left="851" w:right="822"/>
        <w:contextualSpacing/>
        <w:jc w:val="both"/>
        <w:rPr>
          <w:rFonts w:ascii="Palatino Linotype" w:eastAsia="MS Gothic" w:hAnsi="Palatino Linotype" w:cstheme="majorBidi"/>
          <w:i/>
          <w:iCs/>
          <w:sz w:val="22"/>
          <w:lang w:val="es-ES_tradnl" w:eastAsia="es-ES"/>
        </w:rPr>
      </w:pPr>
      <w:r w:rsidRPr="00356C11">
        <w:rPr>
          <w:rFonts w:ascii="Palatino Linotype" w:eastAsia="MS Gothic" w:hAnsi="Palatino Linotype" w:cstheme="majorBidi"/>
          <w:i/>
          <w:iCs/>
          <w:sz w:val="22"/>
          <w:lang w:val="es-ES_tradnl" w:eastAsia="es-ES"/>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19E3188C" w14:textId="77777777" w:rsidR="005905B7" w:rsidRPr="00356C11" w:rsidRDefault="005905B7" w:rsidP="005905B7">
      <w:pPr>
        <w:spacing w:line="276" w:lineRule="auto"/>
        <w:ind w:left="851" w:right="822"/>
        <w:contextualSpacing/>
        <w:jc w:val="both"/>
        <w:rPr>
          <w:rFonts w:ascii="Palatino Linotype" w:eastAsia="MS Gothic" w:hAnsi="Palatino Linotype" w:cstheme="majorBidi"/>
          <w:iCs/>
          <w:sz w:val="22"/>
          <w:lang w:val="es-ES_tradnl" w:eastAsia="es-ES"/>
        </w:rPr>
      </w:pPr>
      <w:r w:rsidRPr="00356C11">
        <w:rPr>
          <w:rFonts w:ascii="Palatino Linotype" w:eastAsia="MS Gothic" w:hAnsi="Palatino Linotype" w:cstheme="majorBidi"/>
          <w:b/>
          <w:i/>
          <w:iCs/>
          <w:sz w:val="22"/>
          <w:lang w:val="es-ES_tradnl" w:eastAsia="es-ES"/>
        </w:rPr>
        <w:t>Si transcurrido el plazo señalado en el primer párrafo de este artículo, el sujeto obligado no declina la competencia en los términ</w:t>
      </w:r>
      <w:r w:rsidRPr="00356C11">
        <w:rPr>
          <w:rFonts w:ascii="Palatino Linotype" w:eastAsia="MS Gothic" w:hAnsi="Palatino Linotype" w:cstheme="majorBidi"/>
          <w:i/>
          <w:iCs/>
          <w:sz w:val="22"/>
          <w:lang w:val="es-ES_tradnl" w:eastAsia="es-ES"/>
        </w:rPr>
        <w:t>o</w:t>
      </w:r>
      <w:r w:rsidRPr="00356C11">
        <w:rPr>
          <w:rFonts w:ascii="Palatino Linotype" w:eastAsia="MS Gothic" w:hAnsi="Palatino Linotype" w:cstheme="majorBidi"/>
          <w:b/>
          <w:i/>
          <w:iCs/>
          <w:sz w:val="22"/>
          <w:lang w:val="es-ES_tradnl" w:eastAsia="es-ES"/>
        </w:rPr>
        <w:t xml:space="preserve">s </w:t>
      </w:r>
      <w:r w:rsidRPr="00356C11">
        <w:rPr>
          <w:rFonts w:ascii="Palatino Linotype" w:eastAsia="MS Gothic" w:hAnsi="Palatino Linotype" w:cstheme="majorBidi"/>
          <w:i/>
          <w:iCs/>
          <w:sz w:val="22"/>
          <w:lang w:val="es-ES_tradnl" w:eastAsia="es-ES"/>
        </w:rPr>
        <w:t>establecidos</w:t>
      </w:r>
      <w:r w:rsidRPr="00356C11">
        <w:rPr>
          <w:rFonts w:ascii="Palatino Linotype" w:eastAsia="MS Gothic" w:hAnsi="Palatino Linotype" w:cstheme="majorBidi"/>
          <w:b/>
          <w:i/>
          <w:iCs/>
          <w:sz w:val="22"/>
          <w:lang w:val="es-ES_tradnl" w:eastAsia="es-ES"/>
        </w:rPr>
        <w:t>, podrá canalizar la solicitud ante el sujeto obligado competente.</w:t>
      </w:r>
      <w:r w:rsidRPr="00356C11">
        <w:rPr>
          <w:rFonts w:ascii="Palatino Linotype" w:eastAsia="MS Gothic" w:hAnsi="Palatino Linotype" w:cstheme="majorBidi"/>
          <w:i/>
          <w:iCs/>
          <w:sz w:val="22"/>
          <w:lang w:val="es-ES_tradnl" w:eastAsia="es-ES"/>
        </w:rPr>
        <w:t>”</w:t>
      </w:r>
    </w:p>
    <w:p w14:paraId="3831850E" w14:textId="77777777" w:rsidR="005905B7" w:rsidRPr="00356C11" w:rsidRDefault="005905B7" w:rsidP="005905B7">
      <w:pPr>
        <w:spacing w:line="276" w:lineRule="auto"/>
        <w:ind w:left="851" w:right="822"/>
        <w:contextualSpacing/>
        <w:jc w:val="both"/>
        <w:rPr>
          <w:rFonts w:ascii="Palatino Linotype" w:eastAsia="MS Gothic" w:hAnsi="Palatino Linotype" w:cstheme="majorBidi"/>
          <w:iCs/>
          <w:sz w:val="22"/>
          <w:lang w:val="es-ES_tradnl" w:eastAsia="es-ES"/>
        </w:rPr>
      </w:pPr>
      <w:r w:rsidRPr="00356C11">
        <w:rPr>
          <w:rFonts w:ascii="Palatino Linotype" w:eastAsia="MS Gothic" w:hAnsi="Palatino Linotype" w:cstheme="majorBidi"/>
          <w:iCs/>
          <w:sz w:val="22"/>
          <w:lang w:val="es-ES_tradnl" w:eastAsia="es-ES"/>
        </w:rPr>
        <w:t>(Énfasis añadido)</w:t>
      </w:r>
    </w:p>
    <w:p w14:paraId="5ECA4DE4" w14:textId="77777777" w:rsidR="005905B7" w:rsidRPr="00356C11" w:rsidRDefault="005905B7" w:rsidP="005905B7">
      <w:pPr>
        <w:spacing w:line="360" w:lineRule="auto"/>
        <w:ind w:right="49"/>
        <w:contextualSpacing/>
        <w:jc w:val="both"/>
        <w:rPr>
          <w:rFonts w:ascii="Palatino Linotype" w:eastAsia="MS Gothic" w:hAnsi="Palatino Linotype" w:cstheme="majorBidi"/>
          <w:iCs/>
          <w:lang w:val="es-ES_tradnl" w:eastAsia="es-ES"/>
        </w:rPr>
      </w:pPr>
    </w:p>
    <w:p w14:paraId="121AFB93" w14:textId="77777777" w:rsidR="00A47442" w:rsidRPr="00356C11" w:rsidRDefault="00A47442" w:rsidP="00A47442">
      <w:pPr>
        <w:numPr>
          <w:ilvl w:val="0"/>
          <w:numId w:val="1"/>
        </w:numPr>
        <w:spacing w:line="360" w:lineRule="auto"/>
        <w:ind w:left="0" w:right="49" w:firstLine="0"/>
        <w:contextualSpacing/>
        <w:jc w:val="both"/>
        <w:rPr>
          <w:rFonts w:ascii="Palatino Linotype" w:eastAsia="MS Gothic" w:hAnsi="Palatino Linotype" w:cstheme="majorBidi"/>
          <w:iCs/>
          <w:lang w:eastAsia="es-ES"/>
        </w:rPr>
      </w:pPr>
      <w:r w:rsidRPr="00356C11">
        <w:rPr>
          <w:rFonts w:ascii="Palatino Linotype" w:eastAsia="MS Gothic" w:hAnsi="Palatino Linotype" w:cstheme="majorBidi"/>
          <w:iCs/>
          <w:lang w:val="es-ES" w:eastAsia="es-ES"/>
        </w:rPr>
        <w:lastRenderedPageBreak/>
        <w:t xml:space="preserve">Asimismo, resulta </w:t>
      </w:r>
      <w:r w:rsidRPr="00356C11">
        <w:rPr>
          <w:rFonts w:ascii="Palatino Linotype" w:eastAsia="MS Gothic" w:hAnsi="Palatino Linotype" w:cstheme="majorBidi"/>
          <w:iCs/>
          <w:lang w:val="es-ES_tradnl" w:eastAsia="es-ES"/>
        </w:rPr>
        <w:t xml:space="preserve">necesario traer a colación, el </w:t>
      </w:r>
      <w:r w:rsidRPr="00356C11">
        <w:rPr>
          <w:rFonts w:ascii="Palatino Linotype" w:eastAsia="MS Gothic" w:hAnsi="Palatino Linotype" w:cstheme="majorBidi"/>
          <w:iCs/>
          <w:lang w:val="es-ES" w:eastAsia="es-ES"/>
        </w:rPr>
        <w:t xml:space="preserve">Criterio 13/17, </w:t>
      </w:r>
      <w:r w:rsidRPr="00356C11">
        <w:rPr>
          <w:rFonts w:ascii="Palatino Linotype" w:eastAsia="MS Gothic" w:hAnsi="Palatino Linotype" w:cstheme="majorBidi"/>
          <w:iCs/>
          <w:lang w:eastAsia="es-ES"/>
        </w:rPr>
        <w:t xml:space="preserve">emitido por el Instituto Nacional de Transparencia, Acceso a la Información y Protección de Datos Personales, que dispone lo siguiente: </w:t>
      </w:r>
    </w:p>
    <w:p w14:paraId="3031DE6A" w14:textId="77777777" w:rsidR="00A47442" w:rsidRPr="00356C11" w:rsidRDefault="00A47442" w:rsidP="00A47442">
      <w:pPr>
        <w:spacing w:line="276" w:lineRule="auto"/>
        <w:ind w:left="851" w:right="822"/>
        <w:contextualSpacing/>
        <w:jc w:val="both"/>
        <w:rPr>
          <w:rFonts w:ascii="Palatino Linotype" w:eastAsia="MS Gothic" w:hAnsi="Palatino Linotype" w:cstheme="majorBidi"/>
          <w:i/>
          <w:iCs/>
          <w:sz w:val="22"/>
          <w:lang w:eastAsia="es-ES"/>
        </w:rPr>
      </w:pPr>
      <w:r w:rsidRPr="00356C11">
        <w:rPr>
          <w:rFonts w:ascii="Palatino Linotype" w:eastAsia="MS Gothic" w:hAnsi="Palatino Linotype" w:cstheme="majorBidi"/>
          <w:i/>
          <w:iCs/>
          <w:sz w:val="22"/>
          <w:lang w:eastAsia="es-ES"/>
        </w:rPr>
        <w:t>“</w:t>
      </w:r>
      <w:r w:rsidRPr="00356C11">
        <w:rPr>
          <w:rFonts w:ascii="Palatino Linotype" w:eastAsia="MS Gothic" w:hAnsi="Palatino Linotype" w:cstheme="majorBidi"/>
          <w:b/>
          <w:bCs/>
          <w:i/>
          <w:iCs/>
          <w:sz w:val="22"/>
          <w:lang w:eastAsia="es-ES"/>
        </w:rPr>
        <w:t xml:space="preserve">Incompetencia. </w:t>
      </w:r>
      <w:r w:rsidRPr="00356C11">
        <w:rPr>
          <w:rFonts w:ascii="Palatino Linotype" w:eastAsia="MS Gothic" w:hAnsi="Palatino Linotype" w:cstheme="majorBidi"/>
          <w:i/>
          <w:iCs/>
          <w:sz w:val="22"/>
          <w:lang w:eastAsia="es-ES"/>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042E6233" w14:textId="77777777" w:rsidR="00A47442" w:rsidRPr="00356C11" w:rsidRDefault="00A47442" w:rsidP="00A47442">
      <w:pPr>
        <w:spacing w:line="276" w:lineRule="auto"/>
        <w:ind w:left="851" w:right="822"/>
        <w:contextualSpacing/>
        <w:jc w:val="both"/>
        <w:rPr>
          <w:rFonts w:ascii="Palatino Linotype" w:eastAsia="MS Gothic" w:hAnsi="Palatino Linotype" w:cstheme="majorBidi"/>
          <w:i/>
          <w:iCs/>
          <w:lang w:eastAsia="es-ES"/>
        </w:rPr>
      </w:pPr>
    </w:p>
    <w:p w14:paraId="027A0244" w14:textId="77777777" w:rsidR="005905B7" w:rsidRPr="00356C11" w:rsidRDefault="00A47442" w:rsidP="005905B7">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sidRPr="00356C11">
        <w:rPr>
          <w:rFonts w:ascii="Palatino Linotype" w:eastAsia="MS Gothic" w:hAnsi="Palatino Linotype" w:cstheme="majorBidi"/>
          <w:iCs/>
          <w:lang w:val="es-ES" w:eastAsia="es-ES"/>
        </w:rPr>
        <w:t>En ese caso, es notoria la incompetencia por parte del Sujeto Obligado para generar, poseer o administrar la información solicitada, toda vez que corresponde a un Sujeto Obligado diverso, por lo que no es procedente ordenar la entrega de la información requerida.</w:t>
      </w:r>
    </w:p>
    <w:p w14:paraId="1DB5A5F9" w14:textId="77777777" w:rsidR="00A47442" w:rsidRPr="00356C11" w:rsidRDefault="00A47442" w:rsidP="00A47442">
      <w:pPr>
        <w:spacing w:line="360" w:lineRule="auto"/>
        <w:ind w:right="49"/>
        <w:contextualSpacing/>
        <w:jc w:val="both"/>
        <w:rPr>
          <w:rFonts w:ascii="Palatino Linotype" w:eastAsia="MS Gothic" w:hAnsi="Palatino Linotype" w:cstheme="majorBidi"/>
          <w:iCs/>
          <w:lang w:val="es-ES" w:eastAsia="es-ES"/>
        </w:rPr>
      </w:pPr>
    </w:p>
    <w:p w14:paraId="5CAD0EEF" w14:textId="77777777" w:rsidR="002C423A" w:rsidRPr="00303A32" w:rsidRDefault="00A47442" w:rsidP="002C423A">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303A32">
        <w:rPr>
          <w:rFonts w:ascii="Palatino Linotype" w:eastAsia="MS Gothic" w:hAnsi="Palatino Linotype" w:cstheme="majorBidi"/>
          <w:iCs/>
          <w:lang w:val="es-ES" w:eastAsia="es-ES"/>
        </w:rPr>
        <w:t xml:space="preserve">Por otro lado, de la solicitud señalada en el punto d. sobre los oficios de turnó a los servidores públicos habilitados para dar respuesta a la solicitud de información; el Sujeto Obligado no se pronunció, </w:t>
      </w:r>
      <w:r w:rsidR="002C423A" w:rsidRPr="00303A32">
        <w:rPr>
          <w:rFonts w:ascii="Palatino Linotype" w:eastAsia="MS Gothic" w:hAnsi="Palatino Linotype" w:cstheme="majorBidi"/>
          <w:iCs/>
          <w:lang w:val="es-ES" w:eastAsia="es-ES"/>
        </w:rPr>
        <w:t xml:space="preserve">sin embargo, este Órgano Garante advierte que se trata de Hechos Futuros, pues son documentos que a la fecha de la solicitud no se han generado, </w:t>
      </w:r>
      <w:r w:rsidR="002C423A" w:rsidRPr="00303A32">
        <w:rPr>
          <w:rFonts w:ascii="Palatino Linotype" w:hAnsi="Palatino Linotype"/>
          <w:color w:val="000000"/>
        </w:rPr>
        <w:t>sirve como referencia la Jurisprudencia emitida por la Suprema Corte de Justicia de la Nación, que es del texto y rubro siguiente:</w:t>
      </w:r>
    </w:p>
    <w:p w14:paraId="7622D09F" w14:textId="77777777" w:rsidR="002C423A" w:rsidRPr="00303A32" w:rsidRDefault="002C423A" w:rsidP="002C423A">
      <w:pPr>
        <w:pStyle w:val="Prrafodelista"/>
        <w:autoSpaceDE w:val="0"/>
        <w:autoSpaceDN w:val="0"/>
        <w:adjustRightInd w:val="0"/>
        <w:spacing w:after="120" w:line="276" w:lineRule="auto"/>
        <w:ind w:left="851" w:right="900"/>
        <w:jc w:val="both"/>
        <w:rPr>
          <w:rFonts w:ascii="Palatino Linotype" w:hAnsi="Palatino Linotype"/>
          <w:i/>
        </w:rPr>
      </w:pPr>
      <w:r w:rsidRPr="00303A32">
        <w:rPr>
          <w:rFonts w:ascii="Palatino Linotype" w:hAnsi="Palatino Linotype"/>
          <w:b/>
          <w:i/>
          <w:color w:val="000000"/>
        </w:rPr>
        <w:t>“</w:t>
      </w:r>
      <w:r w:rsidRPr="00303A32">
        <w:rPr>
          <w:rFonts w:ascii="Palatino Linotype" w:hAnsi="Palatino Linotype"/>
          <w:b/>
          <w:i/>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303A32">
        <w:rPr>
          <w:rFonts w:ascii="Palatino Linotype" w:hAnsi="Palatino Linotype"/>
          <w:i/>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w:t>
      </w:r>
      <w:r w:rsidRPr="00303A32">
        <w:rPr>
          <w:rFonts w:ascii="Palatino Linotype" w:hAnsi="Palatino Linotype"/>
          <w:i/>
        </w:rPr>
        <w:lastRenderedPageBreak/>
        <w:t>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303A32">
        <w:rPr>
          <w:rFonts w:ascii="Palatino Linotype" w:hAnsi="Palatino Linotype" w:cs="Arial"/>
          <w:i/>
        </w:rPr>
        <w:t xml:space="preserve">No obstante, en términos del </w:t>
      </w:r>
      <w:r w:rsidRPr="00303A32">
        <w:rPr>
          <w:rFonts w:ascii="Palatino Linotype" w:hAnsi="Palatino Linotype"/>
          <w:i/>
        </w:rPr>
        <w:t xml:space="preserve">artículo 6 de la Constitución Política de los Estados Unidos Mexicanos, toda persona sin necesidad de acreditar interés alguno, tendrá acceso gratuito a la información pública </w:t>
      </w:r>
      <w:r w:rsidRPr="00303A32">
        <w:rPr>
          <w:rFonts w:ascii="Palatino Linotype" w:hAnsi="Palatino Linotype"/>
          <w:b/>
          <w:i/>
        </w:rPr>
        <w:t>en posesión</w:t>
      </w:r>
      <w:r w:rsidRPr="00303A32">
        <w:rPr>
          <w:rFonts w:ascii="Palatino Linotype" w:hAnsi="Palatino Linotype"/>
          <w:i/>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30AA4FE2" w14:textId="77777777" w:rsidR="002C423A" w:rsidRPr="00303A32" w:rsidRDefault="002C423A" w:rsidP="002C423A">
      <w:pPr>
        <w:pStyle w:val="Prrafodelista"/>
        <w:autoSpaceDE w:val="0"/>
        <w:autoSpaceDN w:val="0"/>
        <w:adjustRightInd w:val="0"/>
        <w:spacing w:after="120" w:line="276" w:lineRule="auto"/>
        <w:ind w:left="851" w:right="900"/>
        <w:jc w:val="both"/>
        <w:rPr>
          <w:rFonts w:ascii="Palatino Linotype" w:hAnsi="Palatino Linotype"/>
          <w:i/>
          <w:sz w:val="24"/>
        </w:rPr>
      </w:pPr>
    </w:p>
    <w:p w14:paraId="10C76F24"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hAnsi="Palatino Linotype" w:cs="Arial"/>
          <w:sz w:val="24"/>
        </w:rPr>
        <w:t xml:space="preserve">Robustecen lo anterior </w:t>
      </w:r>
      <w:r w:rsidRPr="00303A32">
        <w:rPr>
          <w:rFonts w:ascii="Palatino Linotype" w:eastAsia="Palatino Linotype" w:hAnsi="Palatino Linotype" w:cs="Palatino Linotype"/>
          <w:color w:val="000000"/>
          <w:sz w:val="24"/>
        </w:rPr>
        <w:t>los Criterios 1/2010 y 2/2010,  emitidos por el “Comité de Acceso a la Información y Protección de Datos personales” de la Suprema Corte de Justicia de la Nación, que disponen: </w:t>
      </w:r>
    </w:p>
    <w:p w14:paraId="4DFF69FB" w14:textId="77777777" w:rsidR="002C423A" w:rsidRPr="00303A32" w:rsidRDefault="002C423A" w:rsidP="002C423A">
      <w:pPr>
        <w:pBdr>
          <w:top w:val="nil"/>
          <w:left w:val="nil"/>
          <w:bottom w:val="nil"/>
          <w:right w:val="nil"/>
          <w:between w:val="nil"/>
        </w:pBdr>
        <w:spacing w:line="276" w:lineRule="auto"/>
        <w:ind w:left="851" w:right="900"/>
        <w:rPr>
          <w:color w:val="000000"/>
          <w:sz w:val="22"/>
        </w:rPr>
      </w:pPr>
      <w:r w:rsidRPr="00303A32">
        <w:rPr>
          <w:rFonts w:ascii="Palatino Linotype" w:eastAsia="Palatino Linotype" w:hAnsi="Palatino Linotype" w:cs="Palatino Linotype"/>
          <w:i/>
          <w:color w:val="000000"/>
          <w:sz w:val="22"/>
        </w:rPr>
        <w:t> “</w:t>
      </w:r>
      <w:r w:rsidRPr="00303A32">
        <w:rPr>
          <w:rFonts w:ascii="Palatino Linotype" w:eastAsia="Palatino Linotype" w:hAnsi="Palatino Linotype" w:cs="Palatino Linotype"/>
          <w:b/>
          <w:i/>
          <w:color w:val="000000"/>
          <w:sz w:val="22"/>
        </w:rPr>
        <w:t>Criterio 1/2010</w:t>
      </w:r>
    </w:p>
    <w:p w14:paraId="5A919AF9" w14:textId="77777777" w:rsidR="002C423A" w:rsidRPr="00303A32" w:rsidRDefault="002C423A" w:rsidP="002C423A">
      <w:pPr>
        <w:pBdr>
          <w:top w:val="nil"/>
          <w:left w:val="nil"/>
          <w:bottom w:val="nil"/>
          <w:right w:val="nil"/>
          <w:between w:val="nil"/>
        </w:pBdr>
        <w:spacing w:line="276" w:lineRule="auto"/>
        <w:ind w:left="851" w:right="900"/>
        <w:jc w:val="both"/>
        <w:rPr>
          <w:color w:val="000000"/>
          <w:sz w:val="22"/>
        </w:rPr>
      </w:pPr>
      <w:r w:rsidRPr="00303A32">
        <w:rPr>
          <w:rFonts w:ascii="Palatino Linotype" w:eastAsia="Palatino Linotype" w:hAnsi="Palatino Linotype" w:cs="Palatino Linotype"/>
          <w:b/>
          <w:i/>
          <w:color w:val="000000"/>
          <w:sz w:val="22"/>
        </w:rPr>
        <w:t>SOLICITUD DE ACCESO A LA INFORMACIÓN. SU OTORGAMIENTO ES RESPECTO DE AQUELLA QUE EXISTA Y SE HUBIESE GENERADO AL MOMENTO DE LA PETICIÓN.</w:t>
      </w:r>
    </w:p>
    <w:p w14:paraId="1EF325AA" w14:textId="77777777" w:rsidR="002C423A" w:rsidRPr="00303A32" w:rsidRDefault="002C423A" w:rsidP="002C423A">
      <w:pPr>
        <w:pBdr>
          <w:top w:val="nil"/>
          <w:left w:val="nil"/>
          <w:bottom w:val="nil"/>
          <w:right w:val="nil"/>
          <w:between w:val="nil"/>
        </w:pBdr>
        <w:spacing w:line="276" w:lineRule="auto"/>
        <w:ind w:left="851" w:right="900"/>
        <w:jc w:val="both"/>
        <w:rPr>
          <w:color w:val="000000"/>
          <w:sz w:val="22"/>
        </w:rPr>
      </w:pPr>
      <w:r w:rsidRPr="00303A32">
        <w:rPr>
          <w:rFonts w:ascii="Palatino Linotype" w:eastAsia="Palatino Linotype" w:hAnsi="Palatino Linotype" w:cs="Palatino Linotype"/>
          <w:b/>
          <w:i/>
          <w:color w:val="000000"/>
          <w:sz w:val="22"/>
        </w:rPr>
        <w:t>El otorgamiento de la información procede respecto de aquella que sea existente y se encuentre en posesión del órgano de Estado, al momento de la solicitud</w:t>
      </w:r>
      <w:r w:rsidRPr="00303A32">
        <w:rPr>
          <w:rFonts w:ascii="Palatino Linotype" w:eastAsia="Palatino Linotype" w:hAnsi="Palatino Linotype" w:cs="Palatino Linotype"/>
          <w:i/>
          <w:color w:val="000000"/>
          <w:sz w:val="22"/>
        </w:rPr>
        <w:t xml:space="preserve">; por lo que </w:t>
      </w:r>
      <w:r w:rsidRPr="00303A32">
        <w:rPr>
          <w:rFonts w:ascii="Palatino Linotype" w:eastAsia="Palatino Linotype" w:hAnsi="Palatino Linotype" w:cs="Palatino Linotype"/>
          <w:b/>
          <w:i/>
          <w:color w:val="000000"/>
          <w:sz w:val="22"/>
        </w:rPr>
        <w:t>resulta inconducente otorgar la que se genere en fecha futura</w:t>
      </w:r>
      <w:r w:rsidRPr="00303A32">
        <w:rPr>
          <w:rFonts w:ascii="Palatino Linotype" w:eastAsia="Palatino Linotype" w:hAnsi="Palatino Linotype" w:cs="Palatino Linotype"/>
          <w:i/>
          <w:color w:val="000000"/>
          <w:sz w:val="22"/>
        </w:rPr>
        <w:t xml:space="preserve">, en tanto ningún órgano de Estado puede verse vinculado en el otorgamiento de información de </w:t>
      </w:r>
      <w:r w:rsidRPr="00303A32">
        <w:rPr>
          <w:rFonts w:ascii="Palatino Linotype" w:eastAsia="Palatino Linotype" w:hAnsi="Palatino Linotype" w:cs="Palatino Linotype"/>
          <w:i/>
          <w:color w:val="000000"/>
          <w:sz w:val="22"/>
        </w:rPr>
        <w:lastRenderedPageBreak/>
        <w:t>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70F8B11D" w14:textId="77777777" w:rsidR="002C423A" w:rsidRPr="00303A32" w:rsidRDefault="002C423A" w:rsidP="002C423A">
      <w:pPr>
        <w:pBdr>
          <w:top w:val="nil"/>
          <w:left w:val="nil"/>
          <w:bottom w:val="nil"/>
          <w:right w:val="nil"/>
          <w:between w:val="nil"/>
        </w:pBdr>
        <w:spacing w:line="276" w:lineRule="auto"/>
        <w:ind w:left="851" w:right="900"/>
        <w:jc w:val="both"/>
        <w:rPr>
          <w:color w:val="000000"/>
          <w:sz w:val="22"/>
        </w:rPr>
      </w:pPr>
      <w:r w:rsidRPr="00303A32">
        <w:rPr>
          <w:rFonts w:ascii="Palatino Linotype" w:eastAsia="Palatino Linotype" w:hAnsi="Palatino Linotype" w:cs="Palatino Linotype"/>
          <w:i/>
          <w:color w:val="000000"/>
          <w:sz w:val="22"/>
        </w:rPr>
        <w:t>Clasificación de Información 69/2009-A. 30 de septiembre de 2009. Unanimidad de votos.”</w:t>
      </w:r>
    </w:p>
    <w:p w14:paraId="0FAF94E2" w14:textId="77777777" w:rsidR="002C423A" w:rsidRPr="00303A32" w:rsidRDefault="002C423A" w:rsidP="002C423A">
      <w:pPr>
        <w:pBdr>
          <w:top w:val="nil"/>
          <w:left w:val="nil"/>
          <w:bottom w:val="nil"/>
          <w:right w:val="nil"/>
          <w:between w:val="nil"/>
        </w:pBdr>
        <w:spacing w:line="276" w:lineRule="auto"/>
        <w:ind w:left="851" w:right="900"/>
        <w:rPr>
          <w:color w:val="000000"/>
          <w:sz w:val="22"/>
        </w:rPr>
      </w:pPr>
      <w:r w:rsidRPr="00303A32">
        <w:rPr>
          <w:rFonts w:ascii="Palatino Linotype" w:eastAsia="Palatino Linotype" w:hAnsi="Palatino Linotype" w:cs="Palatino Linotype"/>
          <w:i/>
          <w:color w:val="000000"/>
          <w:sz w:val="22"/>
        </w:rPr>
        <w:t>“</w:t>
      </w:r>
      <w:r w:rsidRPr="00303A32">
        <w:rPr>
          <w:rFonts w:ascii="Palatino Linotype" w:eastAsia="Palatino Linotype" w:hAnsi="Palatino Linotype" w:cs="Palatino Linotype"/>
          <w:b/>
          <w:i/>
          <w:color w:val="000000"/>
          <w:sz w:val="22"/>
        </w:rPr>
        <w:t>Criterio 2/2010.</w:t>
      </w:r>
    </w:p>
    <w:p w14:paraId="5DEF5294" w14:textId="77777777" w:rsidR="002C423A" w:rsidRPr="00303A32" w:rsidRDefault="002C423A" w:rsidP="002C423A">
      <w:pPr>
        <w:pBdr>
          <w:top w:val="nil"/>
          <w:left w:val="nil"/>
          <w:bottom w:val="nil"/>
          <w:right w:val="nil"/>
          <w:between w:val="nil"/>
        </w:pBdr>
        <w:spacing w:line="276" w:lineRule="auto"/>
        <w:ind w:left="851" w:right="900"/>
        <w:jc w:val="both"/>
        <w:rPr>
          <w:color w:val="000000"/>
          <w:sz w:val="22"/>
        </w:rPr>
      </w:pPr>
      <w:r w:rsidRPr="00303A32">
        <w:rPr>
          <w:rFonts w:ascii="Palatino Linotype" w:eastAsia="Palatino Linotype" w:hAnsi="Palatino Linotype" w:cs="Palatino Linotype"/>
          <w:b/>
          <w:i/>
          <w:color w:val="000000"/>
          <w:sz w:val="22"/>
        </w:rPr>
        <w:t>SOLICITUD DE ACCESO A LA INFORMACIÓN. ES MATERIA DE ANÁLISIS Y OTORGAMIENTO LA GENERADA HASTA LA FECHA DE LA SOLICITUD EN CASO DE IMPRECISIÓN TEMPORAL. </w:t>
      </w:r>
    </w:p>
    <w:p w14:paraId="413FE59C" w14:textId="77777777" w:rsidR="002C423A" w:rsidRPr="00303A32" w:rsidRDefault="002C423A" w:rsidP="002C423A">
      <w:pPr>
        <w:pBdr>
          <w:top w:val="nil"/>
          <w:left w:val="nil"/>
          <w:bottom w:val="nil"/>
          <w:right w:val="nil"/>
          <w:between w:val="nil"/>
        </w:pBdr>
        <w:spacing w:line="276" w:lineRule="auto"/>
        <w:ind w:left="851" w:right="900"/>
        <w:jc w:val="both"/>
        <w:rPr>
          <w:color w:val="000000"/>
          <w:sz w:val="22"/>
        </w:rPr>
      </w:pPr>
      <w:r w:rsidRPr="00303A32">
        <w:rPr>
          <w:rFonts w:ascii="Palatino Linotype" w:eastAsia="Palatino Linotype" w:hAnsi="Palatino Linotype" w:cs="Palatino Linotype"/>
          <w:i/>
          <w:color w:val="000000"/>
          <w:sz w:val="22"/>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4B587673" w14:textId="77777777" w:rsidR="002C423A" w:rsidRPr="00303A32" w:rsidRDefault="002C423A" w:rsidP="002C423A">
      <w:pPr>
        <w:pBdr>
          <w:top w:val="nil"/>
          <w:left w:val="nil"/>
          <w:bottom w:val="nil"/>
          <w:right w:val="nil"/>
          <w:between w:val="nil"/>
        </w:pBdr>
        <w:spacing w:line="276" w:lineRule="auto"/>
        <w:ind w:left="851" w:right="900"/>
        <w:jc w:val="both"/>
        <w:rPr>
          <w:color w:val="000000"/>
          <w:sz w:val="22"/>
        </w:rPr>
      </w:pPr>
      <w:r w:rsidRPr="00303A32">
        <w:rPr>
          <w:rFonts w:ascii="Palatino Linotype" w:eastAsia="Palatino Linotype" w:hAnsi="Palatino Linotype" w:cs="Palatino Linotype"/>
          <w:i/>
          <w:color w:val="000000"/>
          <w:sz w:val="22"/>
        </w:rPr>
        <w:t>Clasificación de Información 69/2009-A. 30 de septiembre de 2009. Unanimidad de votos.”(Sic)</w:t>
      </w:r>
    </w:p>
    <w:p w14:paraId="1BC4FF62"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6F8611C3"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hAnsi="Palatino Linotype" w:cs="Arial"/>
          <w:color w:val="000000"/>
          <w:sz w:val="24"/>
        </w:rPr>
        <w:t>Señalado lo anterior, se determina que el recurso de revisión no actualizan ninguna causal de procedencia que se relacione con la solicitud o la respuesta. En consecuencia, l</w:t>
      </w:r>
      <w:r w:rsidRPr="00303A32">
        <w:rPr>
          <w:rFonts w:ascii="Palatino Linotype" w:eastAsia="Calibri" w:hAnsi="Palatino Linotype" w:cs="Arial"/>
          <w:sz w:val="24"/>
        </w:rPr>
        <w:t>a falta de actualización de causal de procedencia, trae consigo que el recurso de revisión sea desechado por improcedente, de acuerdo al artículo 191 de la citada ley:</w:t>
      </w:r>
    </w:p>
    <w:p w14:paraId="05646AC4"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Artículo 191. El recurso será desechado por improcedente cuando:</w:t>
      </w:r>
    </w:p>
    <w:p w14:paraId="78609DAB"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p>
    <w:p w14:paraId="2D8D995D"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 xml:space="preserve">I. Sea extemporáneo por haber transcurrido el plazo establecido en la presente Ley, a partir de la respuesta; </w:t>
      </w:r>
    </w:p>
    <w:p w14:paraId="2C416286"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lastRenderedPageBreak/>
        <w:t xml:space="preserve">II. Se esté tramitando ante el Poder Judicial de la Federación algún recurso o medio de defensa interpuesto por el recurrente; </w:t>
      </w:r>
    </w:p>
    <w:p w14:paraId="636D6B12"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b/>
          <w:i/>
        </w:rPr>
      </w:pPr>
      <w:r w:rsidRPr="00303A32">
        <w:rPr>
          <w:rFonts w:ascii="Palatino Linotype" w:hAnsi="Palatino Linotype"/>
          <w:b/>
          <w:i/>
        </w:rPr>
        <w:t xml:space="preserve">III. No actualice alguno de los supuestos previstos en la presente Ley; </w:t>
      </w:r>
    </w:p>
    <w:p w14:paraId="77B17ACF"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 xml:space="preserve">IV. No se haya desahogado la prevención en los términos establecidos en la presente Ley; </w:t>
      </w:r>
    </w:p>
    <w:p w14:paraId="6EC15F44"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 xml:space="preserve">V. Se impugne la veracidad de la información proporcionada; </w:t>
      </w:r>
    </w:p>
    <w:p w14:paraId="0B70AE84"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b/>
          <w:i/>
        </w:rPr>
      </w:pPr>
      <w:r w:rsidRPr="00303A32">
        <w:rPr>
          <w:rFonts w:ascii="Palatino Linotype" w:hAnsi="Palatino Linotype"/>
          <w:b/>
          <w:i/>
        </w:rPr>
        <w:t xml:space="preserve">VI. Se trate de una consulta, o trámite en específico; y </w:t>
      </w:r>
    </w:p>
    <w:p w14:paraId="7CE3A656"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VII. El recurrente amplíe su solicitud en el recurso de revisión, únicamente respecto de los nuevos contenidos.</w:t>
      </w:r>
    </w:p>
    <w:p w14:paraId="44712DC6" w14:textId="77777777" w:rsidR="002C423A" w:rsidRPr="00303A32" w:rsidRDefault="002C423A" w:rsidP="002C423A">
      <w:pPr>
        <w:tabs>
          <w:tab w:val="left" w:pos="567"/>
        </w:tabs>
        <w:spacing w:line="360" w:lineRule="auto"/>
        <w:ind w:right="822"/>
        <w:jc w:val="both"/>
        <w:rPr>
          <w:rFonts w:ascii="Palatino Linotype" w:hAnsi="Palatino Linotype"/>
        </w:rPr>
      </w:pPr>
    </w:p>
    <w:p w14:paraId="44F5DA93" w14:textId="77777777" w:rsidR="002C423A" w:rsidRPr="00303A32" w:rsidRDefault="002C423A" w:rsidP="002C423A">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sidRPr="00303A32">
        <w:rPr>
          <w:rFonts w:ascii="Palatino Linotype" w:eastAsia="Calibri" w:hAnsi="Palatino Linotype" w:cs="Arial"/>
          <w:sz w:val="24"/>
        </w:rPr>
        <w:t>Al no actualizar ninguna causal de procedencia, el recurso de revisión deben ser desechados por improcedentes; sin embargo, una vez admitido, procederá el sobreseimiento de acuerdo a lo que establece el artículo 192 fracción IV, de la multicitada Ley de Transparencia:</w:t>
      </w:r>
    </w:p>
    <w:p w14:paraId="26CF047B" w14:textId="77777777" w:rsidR="002C423A" w:rsidRPr="00303A32" w:rsidRDefault="002C423A" w:rsidP="002C423A">
      <w:pPr>
        <w:pStyle w:val="Prrafodelista"/>
        <w:tabs>
          <w:tab w:val="left" w:pos="567"/>
        </w:tabs>
        <w:spacing w:line="360" w:lineRule="auto"/>
        <w:ind w:left="567" w:right="822"/>
        <w:jc w:val="both"/>
        <w:rPr>
          <w:rFonts w:ascii="Palatino Linotype" w:eastAsia="Calibri" w:hAnsi="Palatino Linotype" w:cs="Arial"/>
          <w:i/>
        </w:rPr>
      </w:pPr>
      <w:r w:rsidRPr="00303A32">
        <w:rPr>
          <w:rFonts w:ascii="Palatino Linotype" w:hAnsi="Palatino Linotype"/>
          <w:i/>
        </w:rPr>
        <w:t>Artículo 192. El recurso será sobreseído, en todo o en parte, cuando una vez admitido, se actualicen alguno de los siguientes supuestos:</w:t>
      </w:r>
    </w:p>
    <w:p w14:paraId="6EEBBCAC"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 xml:space="preserve">I. El recurrente se desista expresamente del recurso; </w:t>
      </w:r>
    </w:p>
    <w:p w14:paraId="64B1F217"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 xml:space="preserve">II. El recurrente fallezca o, tratándose de personas jurídicas colectivas, se disuelva; </w:t>
      </w:r>
    </w:p>
    <w:p w14:paraId="19A153DE"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i/>
        </w:rPr>
      </w:pPr>
      <w:r w:rsidRPr="00303A32">
        <w:rPr>
          <w:rFonts w:ascii="Palatino Linotype" w:hAnsi="Palatino Linotype"/>
          <w:i/>
        </w:rPr>
        <w:t xml:space="preserve">III. El sujeto obligado responsable del acto lo modifique o revoque de tal manera que el recurso de revisión quede sin materia; </w:t>
      </w:r>
    </w:p>
    <w:p w14:paraId="5D1B3A9F" w14:textId="77777777" w:rsidR="002C423A" w:rsidRPr="00303A32" w:rsidRDefault="002C423A" w:rsidP="002C423A">
      <w:pPr>
        <w:pStyle w:val="Prrafodelista"/>
        <w:tabs>
          <w:tab w:val="left" w:pos="567"/>
        </w:tabs>
        <w:spacing w:line="360" w:lineRule="auto"/>
        <w:ind w:left="567" w:right="822"/>
        <w:jc w:val="both"/>
        <w:rPr>
          <w:rFonts w:ascii="Palatino Linotype" w:hAnsi="Palatino Linotype"/>
          <w:b/>
          <w:i/>
        </w:rPr>
      </w:pPr>
      <w:r w:rsidRPr="00303A32">
        <w:rPr>
          <w:rFonts w:ascii="Palatino Linotype" w:hAnsi="Palatino Linotype"/>
          <w:b/>
          <w:i/>
        </w:rPr>
        <w:t xml:space="preserve">IV. Admitido el recurso de revisión, aparezca alguna causal de improcedencia en los términos de la presente Ley; y </w:t>
      </w:r>
    </w:p>
    <w:p w14:paraId="78A4D0D5" w14:textId="77777777" w:rsidR="002C423A" w:rsidRPr="00303A32" w:rsidRDefault="002C423A" w:rsidP="002C423A">
      <w:pPr>
        <w:pStyle w:val="Prrafodelista"/>
        <w:tabs>
          <w:tab w:val="left" w:pos="567"/>
        </w:tabs>
        <w:spacing w:line="360" w:lineRule="auto"/>
        <w:ind w:left="567" w:right="822"/>
        <w:jc w:val="both"/>
        <w:rPr>
          <w:rFonts w:ascii="Palatino Linotype" w:eastAsia="Calibri" w:hAnsi="Palatino Linotype" w:cs="Arial"/>
          <w:i/>
        </w:rPr>
      </w:pPr>
      <w:r w:rsidRPr="00303A32">
        <w:rPr>
          <w:rFonts w:ascii="Palatino Linotype" w:hAnsi="Palatino Linotype"/>
          <w:i/>
        </w:rPr>
        <w:t>V. Cuando por cualquier motivo quede sin materia el recurso.</w:t>
      </w:r>
    </w:p>
    <w:p w14:paraId="65EC6ADF"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39CCD1A4"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eastAsia="Calibri" w:hAnsi="Palatino Linotype" w:cs="Arial"/>
          <w:sz w:val="24"/>
        </w:rPr>
        <w:t xml:space="preserve">Es así que, el recurso de revisión actualiza la causal de sobreseimiento establecida en la fracción IV del artículo 192, en relación a la fracción III del artículo 191, ambos de la </w:t>
      </w:r>
      <w:r w:rsidRPr="00303A32">
        <w:rPr>
          <w:rFonts w:ascii="Palatino Linotype" w:eastAsia="Calibri" w:hAnsi="Palatino Linotype" w:cs="Arial"/>
          <w:sz w:val="24"/>
        </w:rPr>
        <w:lastRenderedPageBreak/>
        <w:t>Ley de Transparencia y Acceso a la Información Pública del Estado de México y Municipios.</w:t>
      </w:r>
    </w:p>
    <w:p w14:paraId="01935840"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0CAD304C"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hAnsi="Palatino Linotype" w:cs="Arial"/>
          <w:sz w:val="24"/>
        </w:rPr>
        <w:t xml:space="preserve">Bajo dicho consideraciones, </w:t>
      </w:r>
      <w:r w:rsidRPr="00303A32">
        <w:rPr>
          <w:rFonts w:ascii="Palatino Linotype" w:hAnsi="Palatino Linotype"/>
          <w:sz w:val="24"/>
        </w:rPr>
        <w:t>se colige que se actualiza la causal de improcedencia enunciada en el artículo 191 fracción III, de la Ley de Transparencia y Acceso a la Información Pública del Estado de México y Municipios; situación que trae aparejado el sobreseimiento, atendiendo a lo dispuesto en el artículo 192, fracción IV, de la Ley en la materia.</w:t>
      </w:r>
    </w:p>
    <w:p w14:paraId="6B228B0E"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273D8D50"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hAnsi="Palatino Linotype" w:cs="Arial"/>
          <w:sz w:val="24"/>
        </w:rPr>
        <w:t xml:space="preserve">Sirve como criterio orientador, lo establecido en la Jurisprudencia 1ª./J 3/99 de la Novena Época, emitida por la Primera Sala de la Suprema Corte de Justicia de la Nación, publicada en el Semanario Judicial de la Federación y su Gaceta, que en lo conducente dispone: </w:t>
      </w:r>
    </w:p>
    <w:p w14:paraId="7F63039C" w14:textId="77777777" w:rsidR="002C423A" w:rsidRPr="00303A32" w:rsidRDefault="002C423A" w:rsidP="002C423A">
      <w:pPr>
        <w:pStyle w:val="Prrafodelista"/>
        <w:spacing w:before="120" w:after="240" w:line="276" w:lineRule="auto"/>
        <w:ind w:left="851" w:right="822"/>
        <w:jc w:val="both"/>
        <w:rPr>
          <w:rFonts w:ascii="Palatino Linotype" w:hAnsi="Palatino Linotype" w:cs="Arial"/>
          <w:i/>
        </w:rPr>
      </w:pPr>
      <w:r w:rsidRPr="00303A32">
        <w:rPr>
          <w:rFonts w:ascii="Palatino Linotype" w:hAnsi="Palatino Linotype" w:cs="Arial"/>
          <w:b/>
          <w:i/>
        </w:rPr>
        <w:t xml:space="preserve">“IMPROCEDENCIA. ESTUDIO PREFERENCIAL DE LAS CAUSALES PREVISTAS EN EL ARTÍCULO 73 DE LA LEY DE AMPARO. </w:t>
      </w:r>
      <w:r w:rsidRPr="00303A32">
        <w:rPr>
          <w:rFonts w:ascii="Palatino Linotype" w:hAnsi="Palatino Linotype" w:cs="Arial"/>
          <w:i/>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148E77CD"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3896BE54" w14:textId="77777777" w:rsidR="002C423A" w:rsidRPr="00303A32" w:rsidRDefault="002C423A" w:rsidP="002C423A">
      <w:pPr>
        <w:pStyle w:val="Prrafodelista"/>
        <w:numPr>
          <w:ilvl w:val="0"/>
          <w:numId w:val="1"/>
        </w:numPr>
        <w:spacing w:before="240" w:after="240" w:line="360" w:lineRule="auto"/>
        <w:ind w:left="0" w:firstLine="0"/>
        <w:jc w:val="both"/>
        <w:rPr>
          <w:rFonts w:ascii="Palatino Linotype" w:hAnsi="Palatino Linotype"/>
          <w:sz w:val="24"/>
        </w:rPr>
      </w:pPr>
      <w:r w:rsidRPr="00303A32">
        <w:rPr>
          <w:rFonts w:ascii="Palatino Linotype" w:hAnsi="Palatino Linotype"/>
          <w:sz w:val="24"/>
        </w:rPr>
        <w:t xml:space="preserve">Por lo tanto, en términos del artículo 191 fracción III de la Ley de Transparencia y Acceso a la Información Pública del Estado de México y Municipios, este Órgano Garante considera procedente </w:t>
      </w:r>
      <w:r w:rsidRPr="00303A32">
        <w:rPr>
          <w:rFonts w:ascii="Palatino Linotype" w:hAnsi="Palatino Linotype"/>
          <w:b/>
          <w:sz w:val="24"/>
        </w:rPr>
        <w:t xml:space="preserve">SOBRESEER </w:t>
      </w:r>
      <w:r w:rsidRPr="00303A32">
        <w:rPr>
          <w:rFonts w:ascii="Palatino Linotype" w:hAnsi="Palatino Linotype"/>
          <w:sz w:val="24"/>
        </w:rPr>
        <w:t>el presente recurso de revisión, toda vez que se actualiza la fracción IV del artículo 192 del citado ordenamiento legal.</w:t>
      </w:r>
    </w:p>
    <w:p w14:paraId="0A10619A"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317D168E"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eastAsia="Calibri" w:hAnsi="Palatino Linotype" w:cs="Arial"/>
          <w:sz w:val="24"/>
          <w:lang w:val="es-ES_tradnl"/>
        </w:rPr>
        <w:lastRenderedPageBreak/>
        <w:t>No obstante, a efecto de no vulnerar los derechos del particular, este Órgano Garante deja a salvo sus derechos para que, si así lo desea, presente una nueva solicitud de acceso a la información requiriendo información que sea de su interés.</w:t>
      </w:r>
    </w:p>
    <w:p w14:paraId="26D7159C" w14:textId="77777777" w:rsidR="002C423A" w:rsidRPr="00303A32" w:rsidRDefault="002C423A" w:rsidP="002C423A">
      <w:pPr>
        <w:pStyle w:val="Prrafodelista"/>
        <w:spacing w:line="360" w:lineRule="auto"/>
        <w:ind w:left="0"/>
        <w:jc w:val="both"/>
        <w:rPr>
          <w:rFonts w:ascii="Palatino Linotype" w:hAnsi="Palatino Linotype" w:cs="Arial"/>
          <w:sz w:val="24"/>
        </w:rPr>
      </w:pPr>
    </w:p>
    <w:p w14:paraId="2464DB37" w14:textId="77777777" w:rsidR="002C423A" w:rsidRPr="00303A32" w:rsidRDefault="002C423A" w:rsidP="002C423A">
      <w:pPr>
        <w:pStyle w:val="Prrafodelista"/>
        <w:numPr>
          <w:ilvl w:val="0"/>
          <w:numId w:val="1"/>
        </w:numPr>
        <w:spacing w:line="360" w:lineRule="auto"/>
        <w:ind w:left="0" w:firstLine="0"/>
        <w:jc w:val="both"/>
        <w:rPr>
          <w:rFonts w:ascii="Palatino Linotype" w:hAnsi="Palatino Linotype" w:cs="Arial"/>
          <w:sz w:val="24"/>
        </w:rPr>
      </w:pPr>
      <w:r w:rsidRPr="00303A32">
        <w:rPr>
          <w:rFonts w:ascii="Palatino Linotype" w:hAnsi="Palatino Linotype" w:cs="Arial"/>
          <w:color w:val="222222"/>
          <w:sz w:val="24"/>
          <w:lang w:val="es-ES_tradnl"/>
        </w:rPr>
        <w:t xml:space="preserve">Por lo anteriormente expuesto y fundado, este </w:t>
      </w:r>
      <w:r w:rsidRPr="00303A32">
        <w:rPr>
          <w:rFonts w:ascii="Palatino Linotype" w:hAnsi="Palatino Linotype" w:cs="Arial"/>
          <w:b/>
          <w:bCs/>
          <w:color w:val="222222"/>
          <w:sz w:val="24"/>
          <w:lang w:val="es-ES_tradnl"/>
        </w:rPr>
        <w:t>ÓRGANO GARANTE</w:t>
      </w:r>
      <w:r w:rsidRPr="00303A32">
        <w:rPr>
          <w:rFonts w:ascii="Palatino Linotype" w:hAnsi="Palatino Linotype" w:cs="Arial"/>
          <w:color w:val="222222"/>
          <w:sz w:val="24"/>
          <w:lang w:val="es-ES_tradnl"/>
        </w:rPr>
        <w:t xml:space="preserve"> emite los siguientes:</w:t>
      </w:r>
    </w:p>
    <w:p w14:paraId="4C3A82C7" w14:textId="77777777" w:rsidR="002C423A" w:rsidRPr="00303A32" w:rsidRDefault="002C423A" w:rsidP="002C423A">
      <w:pPr>
        <w:pStyle w:val="Ttulo1"/>
        <w:spacing w:line="360" w:lineRule="auto"/>
        <w:jc w:val="center"/>
        <w:rPr>
          <w:rFonts w:ascii="Palatino Linotype" w:hAnsi="Palatino Linotype"/>
          <w:b/>
          <w:color w:val="000000" w:themeColor="text1"/>
          <w:sz w:val="24"/>
          <w:szCs w:val="24"/>
        </w:rPr>
      </w:pPr>
      <w:bookmarkStart w:id="8" w:name="_Toc61470701"/>
      <w:r w:rsidRPr="00303A32">
        <w:rPr>
          <w:rFonts w:ascii="Palatino Linotype" w:hAnsi="Palatino Linotype"/>
          <w:b/>
          <w:color w:val="000000" w:themeColor="text1"/>
          <w:sz w:val="24"/>
          <w:szCs w:val="24"/>
        </w:rPr>
        <w:t>R E S O L U T I V O S</w:t>
      </w:r>
      <w:bookmarkEnd w:id="8"/>
    </w:p>
    <w:p w14:paraId="7BB7F62A" w14:textId="77777777" w:rsidR="002C423A" w:rsidRPr="00303A32" w:rsidRDefault="002C423A" w:rsidP="002C423A">
      <w:pPr>
        <w:rPr>
          <w:lang w:eastAsia="en-US"/>
        </w:rPr>
      </w:pPr>
    </w:p>
    <w:p w14:paraId="5B6B9C59" w14:textId="77777777" w:rsidR="002C423A" w:rsidRPr="00303A32" w:rsidRDefault="002C423A" w:rsidP="002C423A">
      <w:pPr>
        <w:spacing w:after="240" w:line="360" w:lineRule="auto"/>
        <w:jc w:val="both"/>
        <w:rPr>
          <w:rFonts w:ascii="Palatino Linotype" w:hAnsi="Palatino Linotype"/>
          <w:lang w:val="es-ES" w:eastAsia="es-ES"/>
        </w:rPr>
      </w:pPr>
      <w:r w:rsidRPr="00303A32">
        <w:rPr>
          <w:rFonts w:ascii="Palatino Linotype" w:hAnsi="Palatino Linotype"/>
          <w:b/>
          <w:lang w:val="es-ES" w:eastAsia="es-ES"/>
        </w:rPr>
        <w:t>PRIMERO.</w:t>
      </w:r>
      <w:r w:rsidRPr="00303A32">
        <w:rPr>
          <w:rFonts w:ascii="Palatino Linotype" w:hAnsi="Palatino Linotype"/>
          <w:lang w:val="es-ES" w:eastAsia="es-ES"/>
        </w:rPr>
        <w:t xml:space="preserve"> Se </w:t>
      </w:r>
      <w:r w:rsidRPr="00303A32">
        <w:rPr>
          <w:rFonts w:ascii="Palatino Linotype" w:hAnsi="Palatino Linotype"/>
          <w:b/>
          <w:lang w:val="es-ES" w:eastAsia="es-ES"/>
        </w:rPr>
        <w:t xml:space="preserve">SOBRESEE el </w:t>
      </w:r>
      <w:r w:rsidRPr="00303A32">
        <w:rPr>
          <w:rFonts w:ascii="Palatino Linotype" w:hAnsi="Palatino Linotype"/>
          <w:lang w:val="es-ES" w:eastAsia="es-ES"/>
        </w:rPr>
        <w:t xml:space="preserve">recurso de revisión número </w:t>
      </w:r>
      <w:r w:rsidRPr="00303A32">
        <w:rPr>
          <w:rFonts w:ascii="Palatino Linotype" w:hAnsi="Palatino Linotype"/>
          <w:b/>
          <w:lang w:val="es-ES" w:eastAsia="es-ES"/>
        </w:rPr>
        <w:t>03668/INFOEM/IP/RR/2023</w:t>
      </w:r>
      <w:r w:rsidRPr="00303A32">
        <w:rPr>
          <w:rFonts w:ascii="Palatino Linotype" w:hAnsi="Palatino Linotype"/>
          <w:lang w:val="es-ES" w:eastAsia="es-ES"/>
        </w:rPr>
        <w:t xml:space="preserve">, conforme al artículo </w:t>
      </w:r>
      <w:r w:rsidRPr="00303A32">
        <w:rPr>
          <w:rFonts w:ascii="Palatino Linotype" w:hAnsi="Palatino Linotype"/>
          <w:b/>
          <w:lang w:val="es-ES" w:eastAsia="es-ES"/>
        </w:rPr>
        <w:t>192 fracción IV</w:t>
      </w:r>
      <w:r w:rsidRPr="00303A32">
        <w:rPr>
          <w:rFonts w:ascii="Palatino Linotype" w:hAnsi="Palatino Linotype"/>
          <w:lang w:val="es-ES" w:eastAsia="es-ES"/>
        </w:rPr>
        <w:t xml:space="preserve">, de la Ley de Transparencia y Acceso a la Información Pública del Estado de México y Municipios, en términos del </w:t>
      </w:r>
      <w:r w:rsidRPr="00303A32">
        <w:rPr>
          <w:rFonts w:ascii="Palatino Linotype" w:hAnsi="Palatino Linotype"/>
          <w:b/>
          <w:lang w:val="es-ES" w:eastAsia="es-ES"/>
        </w:rPr>
        <w:t>Considerando TERCERO</w:t>
      </w:r>
      <w:r w:rsidRPr="00303A32">
        <w:rPr>
          <w:rFonts w:ascii="Palatino Linotype" w:hAnsi="Palatino Linotype"/>
          <w:lang w:val="es-ES" w:eastAsia="es-ES"/>
        </w:rPr>
        <w:t xml:space="preserve"> de la presente resolución.</w:t>
      </w:r>
    </w:p>
    <w:p w14:paraId="4A59DC2C" w14:textId="77777777" w:rsidR="002C423A" w:rsidRPr="00356C11" w:rsidRDefault="002C423A" w:rsidP="002C423A">
      <w:pPr>
        <w:pStyle w:val="Sinespaciado"/>
        <w:spacing w:after="240" w:line="360" w:lineRule="auto"/>
        <w:jc w:val="both"/>
        <w:rPr>
          <w:rFonts w:ascii="Palatino Linotype" w:eastAsia="Calibri" w:hAnsi="Palatino Linotype" w:cs="Arial"/>
          <w:b/>
          <w:bCs/>
          <w:sz w:val="24"/>
          <w:szCs w:val="24"/>
          <w:lang w:val="es-ES"/>
        </w:rPr>
      </w:pPr>
      <w:r w:rsidRPr="00356C11">
        <w:rPr>
          <w:rFonts w:ascii="Palatino Linotype" w:eastAsia="Calibri" w:hAnsi="Palatino Linotype" w:cs="Arial"/>
          <w:b/>
          <w:bCs/>
          <w:sz w:val="24"/>
          <w:szCs w:val="24"/>
          <w:lang w:val="es-ES"/>
        </w:rPr>
        <w:t xml:space="preserve">SEGUNDO. REMÍTASE </w:t>
      </w:r>
      <w:r w:rsidRPr="00356C11">
        <w:rPr>
          <w:rFonts w:ascii="Palatino Linotype" w:eastAsia="Calibri" w:hAnsi="Palatino Linotype" w:cs="Arial"/>
          <w:bCs/>
          <w:sz w:val="24"/>
          <w:szCs w:val="24"/>
          <w:lang w:val="es-ES"/>
        </w:rPr>
        <w:t xml:space="preserve">a través del Sistema de Acceso a la Información Mexiquense </w:t>
      </w:r>
      <w:r w:rsidRPr="00356C11">
        <w:rPr>
          <w:rFonts w:ascii="Palatino Linotype" w:eastAsia="Calibri" w:hAnsi="Palatino Linotype" w:cs="Arial"/>
          <w:b/>
          <w:bCs/>
          <w:sz w:val="24"/>
          <w:szCs w:val="24"/>
          <w:lang w:val="es-ES"/>
        </w:rPr>
        <w:t xml:space="preserve">(SAIMEX) </w:t>
      </w:r>
      <w:r w:rsidRPr="00356C11">
        <w:rPr>
          <w:rFonts w:ascii="Palatino Linotype" w:eastAsia="Calibri" w:hAnsi="Palatino Linotype" w:cs="Arial"/>
          <w:bCs/>
          <w:sz w:val="24"/>
          <w:szCs w:val="24"/>
          <w:lang w:val="es-ES"/>
        </w:rPr>
        <w:t>la presente resolución al Titular de la Unidad de Transparencia del</w:t>
      </w:r>
      <w:r w:rsidRPr="00356C11">
        <w:rPr>
          <w:rFonts w:ascii="Palatino Linotype" w:eastAsia="Calibri" w:hAnsi="Palatino Linotype" w:cs="Arial"/>
          <w:b/>
          <w:bCs/>
          <w:sz w:val="24"/>
          <w:szCs w:val="24"/>
          <w:lang w:val="es-ES"/>
        </w:rPr>
        <w:t xml:space="preserve"> SUJETO OBLIGADO. </w:t>
      </w:r>
    </w:p>
    <w:p w14:paraId="746055A7" w14:textId="77777777" w:rsidR="002C423A" w:rsidRPr="00356C11" w:rsidRDefault="002C423A" w:rsidP="002C423A">
      <w:pPr>
        <w:pStyle w:val="Sinespaciado"/>
        <w:spacing w:after="240" w:line="360" w:lineRule="auto"/>
        <w:jc w:val="both"/>
        <w:rPr>
          <w:rFonts w:ascii="Palatino Linotype" w:eastAsia="Times New Roman" w:hAnsi="Palatino Linotype" w:cs="Times New Roman"/>
          <w:color w:val="222222"/>
          <w:sz w:val="24"/>
          <w:szCs w:val="24"/>
          <w:lang w:val="es-ES" w:eastAsia="es-MX"/>
        </w:rPr>
      </w:pPr>
      <w:r w:rsidRPr="00356C11">
        <w:rPr>
          <w:rFonts w:ascii="Palatino Linotype" w:eastAsia="Times New Roman" w:hAnsi="Palatino Linotype" w:cs="Arial"/>
          <w:b/>
          <w:sz w:val="24"/>
          <w:szCs w:val="24"/>
        </w:rPr>
        <w:t xml:space="preserve">TERCERO. </w:t>
      </w:r>
      <w:r w:rsidRPr="00356C11">
        <w:rPr>
          <w:rFonts w:ascii="Palatino Linotype" w:eastAsia="Times New Roman" w:hAnsi="Palatino Linotype" w:cs="Times New Roman"/>
          <w:b/>
          <w:bCs/>
          <w:sz w:val="24"/>
          <w:szCs w:val="24"/>
          <w:lang w:val="es-ES"/>
        </w:rPr>
        <w:t>Notifíquese al RECURRENTE</w:t>
      </w:r>
      <w:r w:rsidRPr="00356C11">
        <w:rPr>
          <w:rFonts w:ascii="Palatino Linotype" w:hAnsi="Palatino Linotype"/>
          <w:b/>
          <w:sz w:val="24"/>
          <w:szCs w:val="24"/>
        </w:rPr>
        <w:t xml:space="preserve"> </w:t>
      </w:r>
      <w:r w:rsidRPr="00356C11">
        <w:rPr>
          <w:rFonts w:ascii="Palatino Linotype" w:eastAsia="Times New Roman" w:hAnsi="Palatino Linotype" w:cs="Times New Roman"/>
          <w:color w:val="222222"/>
          <w:sz w:val="24"/>
          <w:szCs w:val="24"/>
          <w:lang w:val="es-ES" w:eastAsia="es-MX"/>
        </w:rPr>
        <w:t xml:space="preserve">la presente resolución vía </w:t>
      </w:r>
      <w:r w:rsidRPr="00356C11">
        <w:rPr>
          <w:rFonts w:ascii="Palatino Linotype" w:eastAsia="Times New Roman" w:hAnsi="Palatino Linotype" w:cs="Times New Roman"/>
          <w:b/>
          <w:color w:val="222222"/>
          <w:sz w:val="24"/>
          <w:szCs w:val="24"/>
          <w:lang w:val="es-ES" w:eastAsia="es-MX"/>
        </w:rPr>
        <w:t>SAIMEX.</w:t>
      </w:r>
    </w:p>
    <w:p w14:paraId="2EC2E76C" w14:textId="77777777" w:rsidR="002C423A" w:rsidRPr="00356C11" w:rsidRDefault="002C423A" w:rsidP="002C423A">
      <w:pPr>
        <w:pStyle w:val="Prrafodelista"/>
        <w:spacing w:after="240" w:line="360" w:lineRule="auto"/>
        <w:ind w:left="0"/>
        <w:jc w:val="both"/>
        <w:rPr>
          <w:rFonts w:ascii="Palatino Linotype" w:eastAsia="MS Mincho" w:hAnsi="Palatino Linotype"/>
          <w:sz w:val="24"/>
          <w:lang w:val="es-ES" w:eastAsia="es-ES"/>
        </w:rPr>
      </w:pPr>
      <w:r w:rsidRPr="00356C11">
        <w:rPr>
          <w:rFonts w:ascii="Palatino Linotype" w:eastAsia="MS Mincho" w:hAnsi="Palatino Linotype"/>
          <w:b/>
          <w:sz w:val="24"/>
        </w:rPr>
        <w:t>CUARTO.</w:t>
      </w:r>
      <w:r w:rsidRPr="00356C11">
        <w:rPr>
          <w:rFonts w:ascii="Palatino Linotype" w:eastAsia="MS Mincho" w:hAnsi="Palatino Linotype"/>
          <w:sz w:val="24"/>
        </w:rPr>
        <w:t xml:space="preserve"> </w:t>
      </w:r>
      <w:r w:rsidRPr="00356C11">
        <w:rPr>
          <w:rFonts w:ascii="Palatino Linotype" w:eastAsia="MS Mincho" w:hAnsi="Palatino Linotype"/>
          <w:sz w:val="24"/>
          <w:lang w:val="es-ES"/>
        </w:rPr>
        <w:t xml:space="preserve">Se hace del conocimiento del </w:t>
      </w:r>
      <w:r w:rsidRPr="00356C11">
        <w:rPr>
          <w:rFonts w:ascii="Palatino Linotype" w:hAnsi="Palatino Linotype"/>
          <w:b/>
          <w:sz w:val="24"/>
        </w:rPr>
        <w:t xml:space="preserve">RECURRENTE </w:t>
      </w:r>
      <w:r w:rsidRPr="00356C11">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356C11">
        <w:rPr>
          <w:rFonts w:ascii="Palatino Linotype" w:eastAsia="MS Mincho" w:hAnsi="Palatino Linotype"/>
          <w:bCs/>
          <w:sz w:val="24"/>
          <w:lang w:val="es-ES"/>
        </w:rPr>
        <w:t xml:space="preserve">vía juicio de amparo </w:t>
      </w:r>
      <w:r w:rsidRPr="00356C11">
        <w:rPr>
          <w:rFonts w:ascii="Palatino Linotype" w:eastAsia="MS Mincho" w:hAnsi="Palatino Linotype"/>
          <w:sz w:val="24"/>
          <w:lang w:val="es-ES"/>
        </w:rPr>
        <w:t>en los términos de las leyes aplicables.</w:t>
      </w:r>
    </w:p>
    <w:p w14:paraId="0634E88A" w14:textId="77777777" w:rsidR="004108E1" w:rsidRPr="00356C11" w:rsidRDefault="004108E1" w:rsidP="004108E1">
      <w:pPr>
        <w:spacing w:line="360" w:lineRule="auto"/>
        <w:ind w:right="48"/>
        <w:jc w:val="both"/>
        <w:rPr>
          <w:rFonts w:ascii="Palatino Linotype" w:hAnsi="Palatino Linotype"/>
        </w:rPr>
      </w:pPr>
    </w:p>
    <w:bookmarkEnd w:id="4"/>
    <w:bookmarkEnd w:id="5"/>
    <w:bookmarkEnd w:id="6"/>
    <w:bookmarkEnd w:id="7"/>
    <w:p w14:paraId="36C9A27E" w14:textId="77777777" w:rsidR="00253D9F" w:rsidRPr="003C7186" w:rsidRDefault="00253D9F" w:rsidP="00253D9F">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706B83A1" w14:textId="77777777" w:rsidR="004108E1" w:rsidRDefault="004108E1" w:rsidP="004108E1"/>
    <w:p w14:paraId="67A598BE" w14:textId="77777777" w:rsidR="00356C11" w:rsidRDefault="00356C11" w:rsidP="004108E1"/>
    <w:p w14:paraId="56E1A888" w14:textId="77777777" w:rsidR="00356C11" w:rsidRDefault="00356C11" w:rsidP="004108E1"/>
    <w:p w14:paraId="2A0B5EBF" w14:textId="77777777" w:rsidR="00356C11" w:rsidRDefault="00356C11" w:rsidP="004108E1"/>
    <w:p w14:paraId="113E8A19" w14:textId="77777777" w:rsidR="00356C11" w:rsidRDefault="00356C11" w:rsidP="004108E1"/>
    <w:p w14:paraId="2744AA37" w14:textId="77777777" w:rsidR="00356C11" w:rsidRDefault="00356C11" w:rsidP="004108E1"/>
    <w:p w14:paraId="1042BE40" w14:textId="77777777" w:rsidR="00356C11" w:rsidRDefault="00356C11" w:rsidP="004108E1"/>
    <w:p w14:paraId="6B894E8D" w14:textId="77777777" w:rsidR="00356C11" w:rsidRDefault="00356C11" w:rsidP="004108E1"/>
    <w:p w14:paraId="0D9764FF" w14:textId="77777777" w:rsidR="00356C11" w:rsidRDefault="00356C11" w:rsidP="004108E1"/>
    <w:p w14:paraId="040A422A" w14:textId="77777777" w:rsidR="00356C11" w:rsidRDefault="00356C11" w:rsidP="004108E1"/>
    <w:p w14:paraId="1898E93A" w14:textId="77777777" w:rsidR="00356C11" w:rsidRDefault="00356C11" w:rsidP="004108E1"/>
    <w:p w14:paraId="3D3810BD" w14:textId="77777777" w:rsidR="00356C11" w:rsidRDefault="00356C11" w:rsidP="004108E1"/>
    <w:p w14:paraId="2AE7051E" w14:textId="77777777" w:rsidR="00356C11" w:rsidRDefault="00356C11" w:rsidP="004108E1"/>
    <w:p w14:paraId="7BBC1D4C" w14:textId="77777777" w:rsidR="00356C11" w:rsidRDefault="00356C11" w:rsidP="004108E1"/>
    <w:p w14:paraId="7ABCDECC" w14:textId="77777777" w:rsidR="00356C11" w:rsidRDefault="00356C11" w:rsidP="004108E1"/>
    <w:p w14:paraId="3ABC316B" w14:textId="77777777" w:rsidR="00356C11" w:rsidRDefault="00356C11" w:rsidP="004108E1"/>
    <w:p w14:paraId="60C0B2B5" w14:textId="77777777" w:rsidR="00356C11" w:rsidRDefault="00356C11" w:rsidP="004108E1"/>
    <w:p w14:paraId="5B94A59D" w14:textId="77777777" w:rsidR="00356C11" w:rsidRDefault="00356C11" w:rsidP="004108E1"/>
    <w:p w14:paraId="70A26C65" w14:textId="77777777" w:rsidR="00356C11" w:rsidRDefault="00356C11" w:rsidP="004108E1"/>
    <w:p w14:paraId="22256245" w14:textId="77777777" w:rsidR="00356C11" w:rsidRDefault="00356C11" w:rsidP="004108E1"/>
    <w:p w14:paraId="0F37A30C" w14:textId="77777777" w:rsidR="00356C11" w:rsidRDefault="00356C11" w:rsidP="004108E1"/>
    <w:p w14:paraId="6476BCC1" w14:textId="77777777" w:rsidR="00356C11" w:rsidRDefault="00356C11" w:rsidP="004108E1"/>
    <w:p w14:paraId="3A341733" w14:textId="77777777" w:rsidR="00356C11" w:rsidRDefault="00356C11" w:rsidP="004108E1"/>
    <w:p w14:paraId="7B6AC642" w14:textId="77777777" w:rsidR="00356C11" w:rsidRDefault="00356C11" w:rsidP="004108E1"/>
    <w:p w14:paraId="4A44BDCC" w14:textId="77777777" w:rsidR="00356C11" w:rsidRDefault="00356C11" w:rsidP="004108E1"/>
    <w:p w14:paraId="4A3223A2" w14:textId="77777777" w:rsidR="00356C11" w:rsidRPr="00356C11" w:rsidRDefault="00356C11" w:rsidP="004108E1"/>
    <w:p w14:paraId="008DE69B"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5ED4793C" w14:textId="77777777" w:rsidR="004108E1" w:rsidRPr="00356C11" w:rsidRDefault="004108E1" w:rsidP="004108E1">
      <w:pPr>
        <w:pStyle w:val="Prrafodelista"/>
        <w:spacing w:line="360" w:lineRule="auto"/>
        <w:ind w:left="0"/>
        <w:jc w:val="both"/>
        <w:rPr>
          <w:rFonts w:ascii="Palatino Linotype" w:hAnsi="Palatino Linotype" w:cs="Arial"/>
          <w:sz w:val="24"/>
          <w:lang w:val="es-ES" w:eastAsia="es-ES"/>
        </w:rPr>
      </w:pPr>
    </w:p>
    <w:p w14:paraId="183BE418" w14:textId="77777777" w:rsidR="004108E1" w:rsidRPr="00356C11" w:rsidRDefault="004108E1" w:rsidP="004108E1"/>
    <w:p w14:paraId="4CAA1DDF" w14:textId="77777777" w:rsidR="004108E1" w:rsidRPr="00356C11" w:rsidRDefault="004108E1" w:rsidP="004108E1"/>
    <w:p w14:paraId="3548D3D9" w14:textId="77777777" w:rsidR="004108E1" w:rsidRPr="00356C11" w:rsidRDefault="004108E1" w:rsidP="004108E1"/>
    <w:p w14:paraId="45F3EB85" w14:textId="77777777" w:rsidR="004108E1" w:rsidRPr="00356C11" w:rsidRDefault="004108E1" w:rsidP="004108E1"/>
    <w:p w14:paraId="399F364B" w14:textId="77777777" w:rsidR="00625EFA" w:rsidRPr="00356C11" w:rsidRDefault="00625EFA"/>
    <w:sectPr w:rsidR="00625EFA" w:rsidRPr="00356C11" w:rsidSect="00356C11">
      <w:headerReference w:type="even" r:id="rId8"/>
      <w:headerReference w:type="default" r:id="rId9"/>
      <w:footerReference w:type="default" r:id="rId10"/>
      <w:headerReference w:type="first" r:id="rId11"/>
      <w:footerReference w:type="first" r:id="rId12"/>
      <w:pgSz w:w="12240" w:h="15840"/>
      <w:pgMar w:top="80" w:right="1183"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2A46" w14:textId="77777777" w:rsidR="00C1615C" w:rsidRDefault="00C1615C" w:rsidP="004108E1">
      <w:r>
        <w:separator/>
      </w:r>
    </w:p>
  </w:endnote>
  <w:endnote w:type="continuationSeparator" w:id="0">
    <w:p w14:paraId="0E4CBCB5" w14:textId="77777777" w:rsidR="00C1615C" w:rsidRDefault="00C1615C" w:rsidP="0041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38E5" w14:textId="77777777" w:rsidR="006D15A3" w:rsidRDefault="006D15A3">
    <w:pPr>
      <w:pStyle w:val="Piedepgina"/>
      <w:jc w:val="right"/>
    </w:pPr>
    <w:r>
      <w:rPr>
        <w:lang w:val="es-ES"/>
      </w:rPr>
      <w:t xml:space="preserve">Página </w:t>
    </w:r>
    <w:r>
      <w:rPr>
        <w:b/>
        <w:bCs/>
      </w:rPr>
      <w:fldChar w:fldCharType="begin"/>
    </w:r>
    <w:r>
      <w:rPr>
        <w:b/>
        <w:bCs/>
      </w:rPr>
      <w:instrText>PAGE</w:instrText>
    </w:r>
    <w:r>
      <w:rPr>
        <w:b/>
        <w:bCs/>
      </w:rPr>
      <w:fldChar w:fldCharType="separate"/>
    </w:r>
    <w:r w:rsidR="00303A32">
      <w:rPr>
        <w:b/>
        <w:bCs/>
        <w:noProof/>
      </w:rPr>
      <w:t>25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03A32">
      <w:rPr>
        <w:b/>
        <w:bCs/>
        <w:noProof/>
      </w:rPr>
      <w:t>26</w:t>
    </w:r>
    <w:r>
      <w:rPr>
        <w:b/>
        <w:bCs/>
      </w:rPr>
      <w:fldChar w:fldCharType="end"/>
    </w:r>
  </w:p>
  <w:p w14:paraId="2DAC70D3" w14:textId="77777777" w:rsidR="006D15A3" w:rsidRDefault="006D15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83F7" w14:textId="77777777" w:rsidR="006D15A3" w:rsidRDefault="006D15A3">
    <w:pPr>
      <w:pStyle w:val="Piedepgina"/>
      <w:jc w:val="right"/>
    </w:pPr>
    <w:r>
      <w:rPr>
        <w:lang w:val="es-ES"/>
      </w:rPr>
      <w:t xml:space="preserve">Página </w:t>
    </w:r>
    <w:r>
      <w:rPr>
        <w:b/>
        <w:bCs/>
      </w:rPr>
      <w:fldChar w:fldCharType="begin"/>
    </w:r>
    <w:r>
      <w:rPr>
        <w:b/>
        <w:bCs/>
      </w:rPr>
      <w:instrText>PAGE</w:instrText>
    </w:r>
    <w:r>
      <w:rPr>
        <w:b/>
        <w:bCs/>
      </w:rPr>
      <w:fldChar w:fldCharType="separate"/>
    </w:r>
    <w:r w:rsidR="00303A3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03A32">
      <w:rPr>
        <w:b/>
        <w:bCs/>
        <w:noProof/>
      </w:rPr>
      <w:t>26</w:t>
    </w:r>
    <w:r>
      <w:rPr>
        <w:b/>
        <w:bCs/>
      </w:rPr>
      <w:fldChar w:fldCharType="end"/>
    </w:r>
  </w:p>
  <w:p w14:paraId="015662BE" w14:textId="77777777" w:rsidR="006D15A3" w:rsidRDefault="006D15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4A3D" w14:textId="77777777" w:rsidR="00C1615C" w:rsidRDefault="00C1615C" w:rsidP="004108E1">
      <w:r>
        <w:separator/>
      </w:r>
    </w:p>
  </w:footnote>
  <w:footnote w:type="continuationSeparator" w:id="0">
    <w:p w14:paraId="545D7F7E" w14:textId="77777777" w:rsidR="00C1615C" w:rsidRDefault="00C1615C" w:rsidP="0041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D4FF" w14:textId="77777777" w:rsidR="006D15A3" w:rsidRDefault="00C1615C">
    <w:pPr>
      <w:pStyle w:val="Encabezado"/>
    </w:pPr>
    <w:r>
      <w:rPr>
        <w:noProof/>
      </w:rPr>
      <w:pict w14:anchorId="43530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6D15A3" w:rsidRPr="005C106F" w14:paraId="158D306C" w14:textId="77777777" w:rsidTr="004108E1">
      <w:trPr>
        <w:trHeight w:val="1435"/>
      </w:trPr>
      <w:tc>
        <w:tcPr>
          <w:tcW w:w="2268" w:type="dxa"/>
          <w:shd w:val="clear" w:color="auto" w:fill="auto"/>
        </w:tcPr>
        <w:p w14:paraId="2B82C5DE" w14:textId="77777777" w:rsidR="006D15A3" w:rsidRPr="005C106F" w:rsidRDefault="006D15A3" w:rsidP="004108E1">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310" w:type="dxa"/>
            <w:tblLayout w:type="fixed"/>
            <w:tblLook w:val="0420" w:firstRow="1" w:lastRow="0" w:firstColumn="0" w:lastColumn="0" w:noHBand="0" w:noVBand="1"/>
          </w:tblPr>
          <w:tblGrid>
            <w:gridCol w:w="2551"/>
            <w:gridCol w:w="4111"/>
          </w:tblGrid>
          <w:tr w:rsidR="006D15A3" w14:paraId="0D582E29" w14:textId="77777777" w:rsidTr="00356C11">
            <w:trPr>
              <w:trHeight w:val="150"/>
            </w:trPr>
            <w:tc>
              <w:tcPr>
                <w:tcW w:w="2551" w:type="dxa"/>
                <w:shd w:val="clear" w:color="auto" w:fill="auto"/>
              </w:tcPr>
              <w:p w14:paraId="52EDABF7" w14:textId="77777777" w:rsidR="006D15A3" w:rsidRPr="00020E73" w:rsidRDefault="006D15A3" w:rsidP="004108E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2EB062A" w14:textId="77777777" w:rsidR="006D15A3" w:rsidRPr="00020E73" w:rsidRDefault="006D15A3" w:rsidP="004108E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03668/INFOEM/IP/RR/2023</w:t>
                </w:r>
                <w:r w:rsidRPr="009E7B0A">
                  <w:rPr>
                    <w:rFonts w:ascii="Palatino Linotype" w:eastAsia="Calibri" w:hAnsi="Palatino Linotype" w:cs="Tahoma"/>
                    <w:b/>
                    <w:bCs/>
                    <w:sz w:val="22"/>
                    <w:szCs w:val="22"/>
                    <w:lang w:eastAsia="en-US"/>
                  </w:rPr>
                  <w:t xml:space="preserve"> </w:t>
                </w:r>
              </w:p>
            </w:tc>
          </w:tr>
          <w:tr w:rsidR="006D15A3" w14:paraId="6CE9676B" w14:textId="77777777" w:rsidTr="00356C11">
            <w:trPr>
              <w:trHeight w:val="295"/>
            </w:trPr>
            <w:tc>
              <w:tcPr>
                <w:tcW w:w="2551" w:type="dxa"/>
                <w:shd w:val="clear" w:color="auto" w:fill="auto"/>
              </w:tcPr>
              <w:p w14:paraId="0AEF9784" w14:textId="77777777" w:rsidR="006D15A3" w:rsidRPr="00020E73" w:rsidRDefault="006D15A3" w:rsidP="004108E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24946B69" w14:textId="77777777" w:rsidR="006D15A3" w:rsidRPr="004B6E7A" w:rsidRDefault="006D15A3" w:rsidP="004108E1">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Tultepec</w:t>
                </w:r>
              </w:p>
            </w:tc>
          </w:tr>
          <w:tr w:rsidR="006D15A3" w14:paraId="750C5888" w14:textId="77777777" w:rsidTr="00356C11">
            <w:trPr>
              <w:trHeight w:val="295"/>
            </w:trPr>
            <w:tc>
              <w:tcPr>
                <w:tcW w:w="2551" w:type="dxa"/>
                <w:shd w:val="clear" w:color="auto" w:fill="auto"/>
              </w:tcPr>
              <w:p w14:paraId="513170A0" w14:textId="77777777" w:rsidR="006D15A3" w:rsidRPr="00020E73" w:rsidRDefault="006D15A3" w:rsidP="004108E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0BA9498" w14:textId="77777777" w:rsidR="006D15A3" w:rsidRPr="00020E73" w:rsidRDefault="006D15A3" w:rsidP="004108E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0E38FB1" w14:textId="77777777" w:rsidR="006D15A3" w:rsidRPr="00020E73" w:rsidRDefault="006D15A3" w:rsidP="004108E1">
                <w:pPr>
                  <w:tabs>
                    <w:tab w:val="right" w:pos="8838"/>
                  </w:tabs>
                  <w:ind w:left="-108" w:right="171"/>
                  <w:jc w:val="both"/>
                  <w:rPr>
                    <w:rFonts w:ascii="Palatino Linotype" w:eastAsia="Calibri" w:hAnsi="Palatino Linotype" w:cs="Tahoma"/>
                    <w:b/>
                    <w:sz w:val="22"/>
                    <w:szCs w:val="22"/>
                    <w:lang w:val="es-ES" w:eastAsia="en-US"/>
                  </w:rPr>
                </w:pPr>
              </w:p>
            </w:tc>
          </w:tr>
        </w:tbl>
        <w:p w14:paraId="75AD5470" w14:textId="77777777" w:rsidR="006D15A3" w:rsidRPr="005C106F" w:rsidRDefault="006D15A3" w:rsidP="004108E1">
          <w:pPr>
            <w:tabs>
              <w:tab w:val="right" w:pos="8838"/>
            </w:tabs>
            <w:ind w:left="-28"/>
            <w:jc w:val="both"/>
            <w:rPr>
              <w:rFonts w:ascii="Arial" w:eastAsia="Calibri" w:hAnsi="Arial" w:cs="Arial"/>
              <w:b/>
              <w:sz w:val="22"/>
              <w:szCs w:val="22"/>
              <w:lang w:eastAsia="en-US"/>
            </w:rPr>
          </w:pPr>
        </w:p>
      </w:tc>
    </w:tr>
  </w:tbl>
  <w:p w14:paraId="648749B8" w14:textId="77777777" w:rsidR="006D15A3" w:rsidRPr="00443C6B" w:rsidRDefault="00C1615C" w:rsidP="004108E1">
    <w:pPr>
      <w:pStyle w:val="Encabezado"/>
      <w:rPr>
        <w:sz w:val="14"/>
      </w:rPr>
    </w:pPr>
    <w:r>
      <w:rPr>
        <w:noProof/>
        <w:sz w:val="14"/>
      </w:rPr>
      <w:pict w14:anchorId="643FC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6D15A3" w:rsidRPr="00330DA7" w14:paraId="32C5BA41" w14:textId="77777777" w:rsidTr="004108E1">
      <w:trPr>
        <w:trHeight w:val="1435"/>
      </w:trPr>
      <w:tc>
        <w:tcPr>
          <w:tcW w:w="2268" w:type="dxa"/>
          <w:shd w:val="clear" w:color="auto" w:fill="auto"/>
        </w:tcPr>
        <w:p w14:paraId="4D25D2B9" w14:textId="77777777" w:rsidR="006D15A3" w:rsidRPr="00330DA7" w:rsidRDefault="006D15A3" w:rsidP="004108E1">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168" w:type="dxa"/>
            <w:tblLayout w:type="fixed"/>
            <w:tblLook w:val="0420" w:firstRow="1" w:lastRow="0" w:firstColumn="0" w:lastColumn="0" w:noHBand="0" w:noVBand="1"/>
          </w:tblPr>
          <w:tblGrid>
            <w:gridCol w:w="2444"/>
            <w:gridCol w:w="4218"/>
          </w:tblGrid>
          <w:tr w:rsidR="006D15A3" w:rsidRPr="00330DA7" w14:paraId="34A9A126" w14:textId="77777777" w:rsidTr="00356C11">
            <w:trPr>
              <w:trHeight w:val="144"/>
            </w:trPr>
            <w:tc>
              <w:tcPr>
                <w:tcW w:w="2444" w:type="dxa"/>
                <w:shd w:val="clear" w:color="auto" w:fill="auto"/>
              </w:tcPr>
              <w:p w14:paraId="3F11E97C" w14:textId="77777777" w:rsidR="006D15A3" w:rsidRPr="00020E73" w:rsidRDefault="006D15A3" w:rsidP="004108E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2D371191" w14:textId="77777777" w:rsidR="006D15A3" w:rsidRPr="00020E73" w:rsidRDefault="006D15A3" w:rsidP="004108E1">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03668/INFOEM/IP/RR/2023</w:t>
                </w:r>
              </w:p>
            </w:tc>
          </w:tr>
          <w:tr w:rsidR="006D15A3" w:rsidRPr="00330DA7" w14:paraId="1BB1CB96" w14:textId="77777777" w:rsidTr="00356C11">
            <w:trPr>
              <w:trHeight w:val="144"/>
            </w:trPr>
            <w:tc>
              <w:tcPr>
                <w:tcW w:w="2444" w:type="dxa"/>
                <w:shd w:val="clear" w:color="auto" w:fill="auto"/>
              </w:tcPr>
              <w:p w14:paraId="6A97EE7E" w14:textId="77777777" w:rsidR="006D15A3" w:rsidRPr="00020E73" w:rsidRDefault="006D15A3" w:rsidP="004108E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61A540BF" w14:textId="2E6C6204" w:rsidR="006D15A3" w:rsidRPr="004108E1" w:rsidRDefault="006D15A3" w:rsidP="004108E1">
                <w:pPr>
                  <w:tabs>
                    <w:tab w:val="left" w:pos="3122"/>
                    <w:tab w:val="right" w:pos="8838"/>
                  </w:tabs>
                  <w:ind w:left="-74" w:right="-105"/>
                  <w:jc w:val="both"/>
                  <w:rPr>
                    <w:rFonts w:ascii="Palatino Linotype" w:eastAsia="Calibri" w:hAnsi="Palatino Linotype" w:cs="Tahoma"/>
                    <w:sz w:val="22"/>
                    <w:szCs w:val="22"/>
                    <w:lang w:val="es-ES" w:eastAsia="en-US"/>
                  </w:rPr>
                </w:pPr>
                <w:r w:rsidRPr="00D0340D">
                  <w:rPr>
                    <w:rFonts w:ascii="Palatino Linotype" w:eastAsia="Calibri" w:hAnsi="Palatino Linotype" w:cs="Tahoma"/>
                    <w:bCs/>
                    <w:sz w:val="22"/>
                    <w:szCs w:val="22"/>
                    <w:lang w:eastAsia="en-US"/>
                  </w:rPr>
                  <w:t xml:space="preserve"> </w:t>
                </w:r>
                <w:r w:rsidR="00265730">
                  <w:rPr>
                    <w:rFonts w:ascii="Palatino Linotype" w:eastAsia="Calibri" w:hAnsi="Palatino Linotype" w:cs="Tahoma"/>
                    <w:bCs/>
                    <w:sz w:val="22"/>
                    <w:szCs w:val="22"/>
                    <w:lang w:eastAsia="en-US"/>
                  </w:rPr>
                  <w:t xml:space="preserve">XXX </w:t>
                </w:r>
                <w:proofErr w:type="spellStart"/>
                <w:r w:rsidR="00265730">
                  <w:rPr>
                    <w:rFonts w:ascii="Palatino Linotype" w:eastAsia="Calibri" w:hAnsi="Palatino Linotype" w:cs="Tahoma"/>
                    <w:bCs/>
                    <w:sz w:val="22"/>
                    <w:szCs w:val="22"/>
                    <w:lang w:eastAsia="en-US"/>
                  </w:rPr>
                  <w:t>XXX</w:t>
                </w:r>
                <w:proofErr w:type="spellEnd"/>
              </w:p>
            </w:tc>
          </w:tr>
          <w:tr w:rsidR="006D15A3" w:rsidRPr="00330DA7" w14:paraId="4431EB69" w14:textId="77777777" w:rsidTr="00356C11">
            <w:trPr>
              <w:trHeight w:val="283"/>
            </w:trPr>
            <w:tc>
              <w:tcPr>
                <w:tcW w:w="2444" w:type="dxa"/>
                <w:shd w:val="clear" w:color="auto" w:fill="auto"/>
              </w:tcPr>
              <w:p w14:paraId="0EDBF810" w14:textId="77777777" w:rsidR="006D15A3" w:rsidRPr="00020E73" w:rsidRDefault="006D15A3" w:rsidP="004108E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27C824A1" w14:textId="77777777" w:rsidR="006D15A3" w:rsidRPr="004108E1" w:rsidRDefault="006D15A3" w:rsidP="004108E1">
                <w:pPr>
                  <w:tabs>
                    <w:tab w:val="left" w:pos="2834"/>
                    <w:tab w:val="right" w:pos="8838"/>
                  </w:tabs>
                  <w:ind w:left="-74" w:right="-105"/>
                  <w:jc w:val="both"/>
                  <w:rPr>
                    <w:rFonts w:ascii="Palatino Linotype" w:eastAsia="Calibri" w:hAnsi="Palatino Linotype" w:cs="Tahoma"/>
                    <w:sz w:val="22"/>
                    <w:szCs w:val="22"/>
                    <w:lang w:val="es-ES" w:eastAsia="en-US"/>
                  </w:rPr>
                </w:pPr>
                <w:r w:rsidRPr="004108E1">
                  <w:rPr>
                    <w:rFonts w:ascii="Palatino Linotype" w:eastAsia="Calibri" w:hAnsi="Palatino Linotype" w:cs="Tahoma"/>
                    <w:bCs/>
                    <w:sz w:val="22"/>
                    <w:szCs w:val="22"/>
                    <w:lang w:eastAsia="en-US"/>
                  </w:rPr>
                  <w:t>Ayuntamiento de Tultepec</w:t>
                </w:r>
              </w:p>
            </w:tc>
          </w:tr>
          <w:tr w:rsidR="006D15A3" w:rsidRPr="00330DA7" w14:paraId="34ADC37A" w14:textId="77777777" w:rsidTr="00356C11">
            <w:trPr>
              <w:trHeight w:val="283"/>
            </w:trPr>
            <w:tc>
              <w:tcPr>
                <w:tcW w:w="2444" w:type="dxa"/>
                <w:shd w:val="clear" w:color="auto" w:fill="auto"/>
              </w:tcPr>
              <w:p w14:paraId="4A20FA74" w14:textId="77777777" w:rsidR="006D15A3" w:rsidRPr="00020E73" w:rsidRDefault="006D15A3" w:rsidP="004108E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6E350FC7" w14:textId="77777777" w:rsidR="006D15A3" w:rsidRPr="00020E73" w:rsidRDefault="006D15A3" w:rsidP="004108E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4AB24C1" w14:textId="77777777" w:rsidR="006D15A3" w:rsidRPr="00020E73" w:rsidRDefault="006D15A3" w:rsidP="004108E1">
                <w:pPr>
                  <w:tabs>
                    <w:tab w:val="right" w:pos="8838"/>
                  </w:tabs>
                  <w:ind w:left="-74" w:right="-105"/>
                  <w:jc w:val="both"/>
                  <w:rPr>
                    <w:rFonts w:ascii="Palatino Linotype" w:eastAsia="Calibri" w:hAnsi="Palatino Linotype" w:cs="Tahoma"/>
                    <w:b/>
                    <w:sz w:val="22"/>
                    <w:szCs w:val="22"/>
                    <w:lang w:val="es-ES" w:eastAsia="en-US"/>
                  </w:rPr>
                </w:pPr>
              </w:p>
            </w:tc>
          </w:tr>
        </w:tbl>
        <w:p w14:paraId="0930DE1D" w14:textId="77777777" w:rsidR="006D15A3" w:rsidRPr="00330DA7" w:rsidRDefault="006D15A3" w:rsidP="004108E1">
          <w:pPr>
            <w:tabs>
              <w:tab w:val="right" w:pos="8838"/>
            </w:tabs>
            <w:ind w:left="-28"/>
            <w:jc w:val="both"/>
            <w:rPr>
              <w:rFonts w:ascii="Arial" w:eastAsia="Calibri" w:hAnsi="Arial" w:cs="Arial"/>
              <w:b/>
              <w:sz w:val="22"/>
              <w:szCs w:val="22"/>
              <w:lang w:eastAsia="en-US"/>
            </w:rPr>
          </w:pPr>
        </w:p>
      </w:tc>
    </w:tr>
  </w:tbl>
  <w:p w14:paraId="66872089" w14:textId="77777777" w:rsidR="006D15A3" w:rsidRPr="00827FA0" w:rsidRDefault="00C1615C" w:rsidP="004108E1">
    <w:pPr>
      <w:pStyle w:val="Encabezado"/>
      <w:rPr>
        <w:sz w:val="2"/>
        <w:szCs w:val="22"/>
      </w:rPr>
    </w:pPr>
    <w:r>
      <w:rPr>
        <w:noProof/>
        <w:sz w:val="2"/>
        <w:szCs w:val="22"/>
      </w:rPr>
      <w:pict w14:anchorId="7E402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65D"/>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40FA9"/>
    <w:multiLevelType w:val="hybridMultilevel"/>
    <w:tmpl w:val="C7CC67BE"/>
    <w:lvl w:ilvl="0" w:tplc="4190A266">
      <w:start w:val="1"/>
      <w:numFmt w:val="lowerLetter"/>
      <w:lvlText w:val="%1."/>
      <w:lvlJc w:val="left"/>
      <w:pPr>
        <w:ind w:left="780" w:hanging="360"/>
      </w:pPr>
      <w:rPr>
        <w:rFonts w:ascii="Palatino Linotype" w:eastAsia="Times New Roman" w:hAnsi="Palatino Linotype" w:cs="Times New Roman"/>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FB61F6"/>
    <w:multiLevelType w:val="hybridMultilevel"/>
    <w:tmpl w:val="0DE2EE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4606E"/>
    <w:multiLevelType w:val="hybridMultilevel"/>
    <w:tmpl w:val="44B422CA"/>
    <w:lvl w:ilvl="0" w:tplc="C8DA0DBA">
      <w:start w:val="1"/>
      <w:numFmt w:val="lowerLetter"/>
      <w:lvlText w:val="%1."/>
      <w:lvlJc w:val="left"/>
      <w:pPr>
        <w:ind w:left="144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A84A4B"/>
    <w:multiLevelType w:val="hybridMultilevel"/>
    <w:tmpl w:val="D11E1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990"/>
    <w:multiLevelType w:val="hybridMultilevel"/>
    <w:tmpl w:val="2E90B6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4317490"/>
    <w:multiLevelType w:val="hybridMultilevel"/>
    <w:tmpl w:val="A37E806A"/>
    <w:lvl w:ilvl="0" w:tplc="FB0C99F4">
      <w:start w:val="1"/>
      <w:numFmt w:val="decimal"/>
      <w:lvlText w:val="%1."/>
      <w:lvlJc w:val="left"/>
      <w:pPr>
        <w:ind w:left="72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0C0506"/>
    <w:multiLevelType w:val="hybridMultilevel"/>
    <w:tmpl w:val="A7CA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857C68"/>
    <w:multiLevelType w:val="hybridMultilevel"/>
    <w:tmpl w:val="010EDB60"/>
    <w:lvl w:ilvl="0" w:tplc="C8DA0DBA">
      <w:start w:val="1"/>
      <w:numFmt w:val="lowerLetter"/>
      <w:lvlText w:val="%1."/>
      <w:lvlJc w:val="left"/>
      <w:pPr>
        <w:ind w:left="144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5D7C39"/>
    <w:multiLevelType w:val="hybridMultilevel"/>
    <w:tmpl w:val="F4C618BA"/>
    <w:lvl w:ilvl="0" w:tplc="C8DA0DBA">
      <w:start w:val="1"/>
      <w:numFmt w:val="lowerLetter"/>
      <w:lvlText w:val="%1."/>
      <w:lvlJc w:val="left"/>
      <w:pPr>
        <w:ind w:left="144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033630"/>
    <w:multiLevelType w:val="hybridMultilevel"/>
    <w:tmpl w:val="0DE2EE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D14D80"/>
    <w:multiLevelType w:val="hybridMultilevel"/>
    <w:tmpl w:val="7CF8B3EC"/>
    <w:lvl w:ilvl="0" w:tplc="5108FE22">
      <w:start w:val="1"/>
      <w:numFmt w:val="decimal"/>
      <w:lvlText w:val="%1."/>
      <w:lvlJc w:val="left"/>
      <w:pPr>
        <w:ind w:left="360" w:hanging="360"/>
      </w:pPr>
      <w:rPr>
        <w:rFonts w:eastAsia="Calibri"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FC382A"/>
    <w:multiLevelType w:val="hybridMultilevel"/>
    <w:tmpl w:val="BF187FBE"/>
    <w:lvl w:ilvl="0" w:tplc="C8DA0DBA">
      <w:start w:val="1"/>
      <w:numFmt w:val="lowerLetter"/>
      <w:lvlText w:val="%1."/>
      <w:lvlJc w:val="left"/>
      <w:pPr>
        <w:ind w:left="144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6D2B55"/>
    <w:multiLevelType w:val="multilevel"/>
    <w:tmpl w:val="12CA2398"/>
    <w:lvl w:ilvl="0">
      <w:start w:val="1"/>
      <w:numFmt w:val="decimal"/>
      <w:lvlText w:val="%1."/>
      <w:lvlJc w:val="left"/>
      <w:pPr>
        <w:ind w:left="2204"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A903D8"/>
    <w:multiLevelType w:val="hybridMultilevel"/>
    <w:tmpl w:val="C7CC67BE"/>
    <w:lvl w:ilvl="0" w:tplc="4190A266">
      <w:start w:val="1"/>
      <w:numFmt w:val="lowerLetter"/>
      <w:lvlText w:val="%1."/>
      <w:lvlJc w:val="left"/>
      <w:pPr>
        <w:ind w:left="780" w:hanging="360"/>
      </w:pPr>
      <w:rPr>
        <w:rFonts w:ascii="Palatino Linotype" w:eastAsia="Times New Roman" w:hAnsi="Palatino Linotype" w:cs="Times New Roman"/>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79FB7345"/>
    <w:multiLevelType w:val="hybridMultilevel"/>
    <w:tmpl w:val="EA7C1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66704425">
    <w:abstractNumId w:val="2"/>
  </w:num>
  <w:num w:numId="2" w16cid:durableId="507714599">
    <w:abstractNumId w:val="6"/>
  </w:num>
  <w:num w:numId="3" w16cid:durableId="995916355">
    <w:abstractNumId w:val="18"/>
  </w:num>
  <w:num w:numId="4" w16cid:durableId="196625712">
    <w:abstractNumId w:val="16"/>
  </w:num>
  <w:num w:numId="5" w16cid:durableId="1246647384">
    <w:abstractNumId w:val="4"/>
  </w:num>
  <w:num w:numId="6" w16cid:durableId="1523400331">
    <w:abstractNumId w:val="1"/>
  </w:num>
  <w:num w:numId="7" w16cid:durableId="2050373016">
    <w:abstractNumId w:val="3"/>
  </w:num>
  <w:num w:numId="8" w16cid:durableId="1137068128">
    <w:abstractNumId w:val="12"/>
  </w:num>
  <w:num w:numId="9" w16cid:durableId="1916545531">
    <w:abstractNumId w:val="0"/>
  </w:num>
  <w:num w:numId="10" w16cid:durableId="1258179042">
    <w:abstractNumId w:val="17"/>
  </w:num>
  <w:num w:numId="11" w16cid:durableId="863980492">
    <w:abstractNumId w:val="9"/>
  </w:num>
  <w:num w:numId="12" w16cid:durableId="1841194168">
    <w:abstractNumId w:val="5"/>
  </w:num>
  <w:num w:numId="13" w16cid:durableId="1372878243">
    <w:abstractNumId w:val="14"/>
  </w:num>
  <w:num w:numId="14" w16cid:durableId="1000232536">
    <w:abstractNumId w:val="11"/>
  </w:num>
  <w:num w:numId="15" w16cid:durableId="1602956003">
    <w:abstractNumId w:val="10"/>
  </w:num>
  <w:num w:numId="16" w16cid:durableId="1146042983">
    <w:abstractNumId w:val="8"/>
  </w:num>
  <w:num w:numId="17" w16cid:durableId="577524588">
    <w:abstractNumId w:val="13"/>
  </w:num>
  <w:num w:numId="18" w16cid:durableId="720712259">
    <w:abstractNumId w:val="15"/>
  </w:num>
  <w:num w:numId="19" w16cid:durableId="1291010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E1"/>
    <w:rsid w:val="00061BAB"/>
    <w:rsid w:val="00062B6E"/>
    <w:rsid w:val="0014245D"/>
    <w:rsid w:val="001752CE"/>
    <w:rsid w:val="001F1A22"/>
    <w:rsid w:val="002275DF"/>
    <w:rsid w:val="00233C21"/>
    <w:rsid w:val="00253D9F"/>
    <w:rsid w:val="00265730"/>
    <w:rsid w:val="002C423A"/>
    <w:rsid w:val="002F0068"/>
    <w:rsid w:val="002F1BFD"/>
    <w:rsid w:val="00303A32"/>
    <w:rsid w:val="00356C11"/>
    <w:rsid w:val="004108E1"/>
    <w:rsid w:val="00463DE8"/>
    <w:rsid w:val="00497460"/>
    <w:rsid w:val="005905B7"/>
    <w:rsid w:val="00621BFC"/>
    <w:rsid w:val="00625EFA"/>
    <w:rsid w:val="006D15A3"/>
    <w:rsid w:val="00764EBC"/>
    <w:rsid w:val="007E6293"/>
    <w:rsid w:val="008972D0"/>
    <w:rsid w:val="008C5A74"/>
    <w:rsid w:val="008F2CED"/>
    <w:rsid w:val="00983A5A"/>
    <w:rsid w:val="00A47442"/>
    <w:rsid w:val="00A54F26"/>
    <w:rsid w:val="00AA61DA"/>
    <w:rsid w:val="00AE6A50"/>
    <w:rsid w:val="00B66C0C"/>
    <w:rsid w:val="00BD15E9"/>
    <w:rsid w:val="00C1615C"/>
    <w:rsid w:val="00C909B0"/>
    <w:rsid w:val="00C9366F"/>
    <w:rsid w:val="00DB34E0"/>
    <w:rsid w:val="00E10456"/>
    <w:rsid w:val="00E65967"/>
    <w:rsid w:val="00EB4DF3"/>
    <w:rsid w:val="00F55EA3"/>
    <w:rsid w:val="00FD3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EBF23"/>
  <w15:chartTrackingRefBased/>
  <w15:docId w15:val="{1D2430CA-B677-4D0F-A5E4-6E0F78E2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E1"/>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C423A"/>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08E1"/>
    <w:pPr>
      <w:tabs>
        <w:tab w:val="center" w:pos="4419"/>
        <w:tab w:val="right" w:pos="8838"/>
      </w:tabs>
    </w:pPr>
  </w:style>
  <w:style w:type="character" w:customStyle="1" w:styleId="EncabezadoCar">
    <w:name w:val="Encabezado Car"/>
    <w:basedOn w:val="Fuentedeprrafopredeter"/>
    <w:link w:val="Encabezado"/>
    <w:uiPriority w:val="99"/>
    <w:rsid w:val="004108E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108E1"/>
    <w:pPr>
      <w:tabs>
        <w:tab w:val="center" w:pos="4419"/>
        <w:tab w:val="right" w:pos="8838"/>
      </w:tabs>
    </w:pPr>
  </w:style>
  <w:style w:type="character" w:customStyle="1" w:styleId="PiedepginaCar">
    <w:name w:val="Pie de página Car"/>
    <w:basedOn w:val="Fuentedeprrafopredeter"/>
    <w:link w:val="Piedepgina"/>
    <w:uiPriority w:val="99"/>
    <w:rsid w:val="004108E1"/>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108E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108E1"/>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4108E1"/>
    <w:rPr>
      <w:color w:val="0563C1"/>
      <w:u w:val="single"/>
    </w:rPr>
  </w:style>
  <w:style w:type="table" w:styleId="Tablaconcuadrcula6concolores">
    <w:name w:val="Grid Table 6 Colorful"/>
    <w:basedOn w:val="Tablanormal"/>
    <w:uiPriority w:val="51"/>
    <w:rsid w:val="004108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410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108E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108E1"/>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108E1"/>
    <w:rPr>
      <w:vertAlign w:val="superscript"/>
    </w:rPr>
  </w:style>
  <w:style w:type="paragraph" w:customStyle="1" w:styleId="Default">
    <w:name w:val="Default"/>
    <w:rsid w:val="00621BFC"/>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E10456"/>
  </w:style>
  <w:style w:type="character" w:customStyle="1" w:styleId="Ttulo1Car">
    <w:name w:val="Título 1 Car"/>
    <w:basedOn w:val="Fuentedeprrafopredeter"/>
    <w:link w:val="Ttulo1"/>
    <w:uiPriority w:val="9"/>
    <w:rsid w:val="002C423A"/>
    <w:rPr>
      <w:rFonts w:asciiTheme="majorHAnsi" w:eastAsiaTheme="majorEastAsia" w:hAnsiTheme="majorHAnsi" w:cstheme="majorBidi"/>
      <w:color w:val="2E74B5" w:themeColor="accent1" w:themeShade="BF"/>
      <w:sz w:val="32"/>
      <w:szCs w:val="32"/>
      <w:lang w:val="es-ES" w:eastAsia="es-ES"/>
    </w:rPr>
  </w:style>
  <w:style w:type="paragraph" w:styleId="Sinespaciado">
    <w:name w:val="No Spacing"/>
    <w:aliases w:val="Francesa,INAI"/>
    <w:link w:val="SinespaciadoCar"/>
    <w:uiPriority w:val="1"/>
    <w:qFormat/>
    <w:rsid w:val="002C423A"/>
    <w:pPr>
      <w:spacing w:after="0" w:line="240" w:lineRule="auto"/>
    </w:pPr>
  </w:style>
  <w:style w:type="character" w:customStyle="1" w:styleId="SinespaciadoCar">
    <w:name w:val="Sin espaciado Car"/>
    <w:aliases w:val="Francesa Car,INAI Car"/>
    <w:link w:val="Sinespaciado"/>
    <w:uiPriority w:val="1"/>
    <w:locked/>
    <w:rsid w:val="002C423A"/>
  </w:style>
  <w:style w:type="character" w:styleId="Referenciasutil">
    <w:name w:val="Subtle Reference"/>
    <w:basedOn w:val="Fuentedeprrafopredeter"/>
    <w:uiPriority w:val="31"/>
    <w:qFormat/>
    <w:rsid w:val="00356C1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817466.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6320</Words>
  <Characters>34765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cp:lastPrinted>2024-06-28T00:26:00Z</cp:lastPrinted>
  <dcterms:created xsi:type="dcterms:W3CDTF">2024-06-25T23:41:00Z</dcterms:created>
  <dcterms:modified xsi:type="dcterms:W3CDTF">2024-07-02T19:57:00Z</dcterms:modified>
</cp:coreProperties>
</file>