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1D754B" w14:textId="77777777" w:rsidR="00C25DAB" w:rsidRDefault="00C25DAB">
      <w:pPr>
        <w:widowControl w:val="0"/>
        <w:pBdr>
          <w:top w:val="nil"/>
          <w:left w:val="nil"/>
          <w:bottom w:val="nil"/>
          <w:right w:val="nil"/>
          <w:between w:val="nil"/>
        </w:pBdr>
        <w:spacing w:line="276" w:lineRule="auto"/>
      </w:pPr>
    </w:p>
    <w:p w14:paraId="3029953D" w14:textId="77777777" w:rsidR="00C25DAB" w:rsidRDefault="00D8235A">
      <w:pPr>
        <w:tabs>
          <w:tab w:val="left" w:pos="0"/>
        </w:tabs>
        <w:spacing w:line="360" w:lineRule="auto"/>
        <w:ind w:right="-734"/>
        <w:jc w:val="both"/>
        <w:rPr>
          <w:rFonts w:ascii="Palatino Linotype" w:eastAsia="Palatino Linotype" w:hAnsi="Palatino Linotype" w:cs="Palatino Linotype"/>
        </w:rPr>
      </w:pPr>
      <w:r>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de fecha nueve (09) de octubre de dos mil  veinticuatro. </w:t>
      </w:r>
    </w:p>
    <w:p w14:paraId="464F1A94" w14:textId="77777777" w:rsidR="00C25DAB" w:rsidRDefault="00C25DAB">
      <w:pPr>
        <w:tabs>
          <w:tab w:val="left" w:pos="0"/>
        </w:tabs>
        <w:spacing w:line="360" w:lineRule="auto"/>
        <w:ind w:right="-734"/>
        <w:jc w:val="both"/>
        <w:rPr>
          <w:rFonts w:ascii="Palatino Linotype" w:eastAsia="Palatino Linotype" w:hAnsi="Palatino Linotype" w:cs="Palatino Linotype"/>
        </w:rPr>
      </w:pPr>
    </w:p>
    <w:p w14:paraId="63BB7C4D" w14:textId="1286D032" w:rsidR="00C25DAB" w:rsidRDefault="00D8235A">
      <w:pPr>
        <w:spacing w:line="360" w:lineRule="auto"/>
        <w:ind w:right="-734"/>
        <w:jc w:val="both"/>
        <w:rPr>
          <w:rFonts w:ascii="Palatino Linotype" w:eastAsia="Palatino Linotype" w:hAnsi="Palatino Linotype" w:cs="Palatino Linotype"/>
        </w:rPr>
      </w:pPr>
      <w:r>
        <w:rPr>
          <w:rFonts w:ascii="Palatino Linotype" w:eastAsia="Palatino Linotype" w:hAnsi="Palatino Linotype" w:cs="Palatino Linotype"/>
          <w:b/>
        </w:rPr>
        <w:t>VISTO</w:t>
      </w:r>
      <w:r>
        <w:rPr>
          <w:rFonts w:ascii="Palatino Linotype" w:eastAsia="Palatino Linotype" w:hAnsi="Palatino Linotype" w:cs="Palatino Linotype"/>
        </w:rPr>
        <w:t xml:space="preserve"> el expediente electrónico formado con motivo del recurso de revisión </w:t>
      </w:r>
      <w:r>
        <w:rPr>
          <w:rFonts w:ascii="Palatino Linotype" w:eastAsia="Palatino Linotype" w:hAnsi="Palatino Linotype" w:cs="Palatino Linotype"/>
          <w:b/>
        </w:rPr>
        <w:t xml:space="preserve">00063/INFOEM/IP/RR/2024, </w:t>
      </w:r>
      <w:r>
        <w:rPr>
          <w:rFonts w:ascii="Palatino Linotype" w:eastAsia="Palatino Linotype" w:hAnsi="Palatino Linotype" w:cs="Palatino Linotype"/>
        </w:rPr>
        <w:t xml:space="preserve">promovido por un usuario que se registró como </w:t>
      </w:r>
      <w:r w:rsidR="0058733C">
        <w:rPr>
          <w:rFonts w:ascii="Palatino Linotype" w:eastAsia="Palatino Linotype" w:hAnsi="Palatino Linotype" w:cs="Palatino Linotype"/>
          <w:b/>
        </w:rPr>
        <w:t xml:space="preserve">XXX </w:t>
      </w:r>
      <w:proofErr w:type="spellStart"/>
      <w:r w:rsidR="0058733C">
        <w:rPr>
          <w:rFonts w:ascii="Palatino Linotype" w:eastAsia="Palatino Linotype" w:hAnsi="Palatino Linotype" w:cs="Palatino Linotype"/>
          <w:b/>
        </w:rPr>
        <w:t>XXX</w:t>
      </w:r>
      <w:proofErr w:type="spellEnd"/>
      <w:r>
        <w:rPr>
          <w:rFonts w:ascii="Palatino Linotype" w:eastAsia="Palatino Linotype" w:hAnsi="Palatino Linotype" w:cs="Palatino Linotype"/>
        </w:rPr>
        <w:t xml:space="preserve">, quien en lo sucesivo se le identificara como </w:t>
      </w:r>
      <w:r>
        <w:rPr>
          <w:rFonts w:ascii="Palatino Linotype" w:eastAsia="Palatino Linotype" w:hAnsi="Palatino Linotype" w:cs="Palatino Linotype"/>
          <w:b/>
        </w:rPr>
        <w:t>RECURRENTE</w:t>
      </w:r>
      <w:r>
        <w:rPr>
          <w:rFonts w:ascii="Palatino Linotype" w:eastAsia="Palatino Linotype" w:hAnsi="Palatino Linotype" w:cs="Palatino Linotype"/>
        </w:rPr>
        <w:t xml:space="preserve">, en contra de la respuesta del </w:t>
      </w:r>
      <w:r>
        <w:rPr>
          <w:rFonts w:ascii="Palatino Linotype" w:eastAsia="Palatino Linotype" w:hAnsi="Palatino Linotype" w:cs="Palatino Linotype"/>
          <w:b/>
        </w:rPr>
        <w:t xml:space="preserve">Ayuntamiento de Atizapán de Zaragoza, </w:t>
      </w:r>
      <w:r>
        <w:rPr>
          <w:rFonts w:ascii="Palatino Linotype" w:eastAsia="Palatino Linotype" w:hAnsi="Palatino Linotype" w:cs="Palatino Linotype"/>
        </w:rPr>
        <w:t>en adelante el</w:t>
      </w:r>
      <w:r>
        <w:rPr>
          <w:rFonts w:ascii="Palatino Linotype" w:eastAsia="Palatino Linotype" w:hAnsi="Palatino Linotype" w:cs="Palatino Linotype"/>
          <w:b/>
        </w:rPr>
        <w:t xml:space="preserve"> SUJETO OBLIGADO, </w:t>
      </w:r>
      <w:r>
        <w:rPr>
          <w:rFonts w:ascii="Palatino Linotype" w:eastAsia="Palatino Linotype" w:hAnsi="Palatino Linotype" w:cs="Palatino Linotype"/>
        </w:rPr>
        <w:t xml:space="preserve">se procede a dictar la presente resolución, con base en los siguientes: </w:t>
      </w:r>
    </w:p>
    <w:p w14:paraId="2A9C7C54" w14:textId="77777777" w:rsidR="00C25DAB" w:rsidRDefault="00C25DAB">
      <w:pPr>
        <w:spacing w:line="360" w:lineRule="auto"/>
        <w:ind w:right="-734"/>
        <w:jc w:val="both"/>
        <w:rPr>
          <w:rFonts w:ascii="Palatino Linotype" w:eastAsia="Palatino Linotype" w:hAnsi="Palatino Linotype" w:cs="Palatino Linotype"/>
        </w:rPr>
      </w:pPr>
    </w:p>
    <w:p w14:paraId="505A5AA3" w14:textId="77777777" w:rsidR="00C25DAB" w:rsidRDefault="00D8235A">
      <w:pPr>
        <w:keepNext/>
        <w:keepLines/>
        <w:tabs>
          <w:tab w:val="left" w:pos="0"/>
        </w:tabs>
        <w:spacing w:line="360" w:lineRule="auto"/>
        <w:ind w:right="-734"/>
        <w:jc w:val="center"/>
        <w:rPr>
          <w:rFonts w:ascii="Palatino Linotype" w:eastAsia="Palatino Linotype" w:hAnsi="Palatino Linotype" w:cs="Palatino Linotype"/>
          <w:b/>
        </w:rPr>
      </w:pPr>
      <w:bookmarkStart w:id="0" w:name="_heading=h.gjdgxs" w:colFirst="0" w:colLast="0"/>
      <w:bookmarkEnd w:id="0"/>
      <w:r>
        <w:rPr>
          <w:rFonts w:ascii="Palatino Linotype" w:eastAsia="Palatino Linotype" w:hAnsi="Palatino Linotype" w:cs="Palatino Linotype"/>
          <w:b/>
        </w:rPr>
        <w:t>A N T E C E D E N T E S</w:t>
      </w:r>
    </w:p>
    <w:p w14:paraId="3553FAEE" w14:textId="77777777" w:rsidR="00C25DAB" w:rsidRDefault="00C25DAB">
      <w:pPr>
        <w:keepNext/>
        <w:keepLines/>
        <w:tabs>
          <w:tab w:val="left" w:pos="0"/>
        </w:tabs>
        <w:spacing w:line="360" w:lineRule="auto"/>
        <w:ind w:right="-734"/>
        <w:jc w:val="center"/>
        <w:rPr>
          <w:rFonts w:ascii="Palatino Linotype" w:eastAsia="Palatino Linotype" w:hAnsi="Palatino Linotype" w:cs="Palatino Linotype"/>
          <w:b/>
        </w:rPr>
      </w:pPr>
    </w:p>
    <w:p w14:paraId="71CE3C86" w14:textId="77777777" w:rsidR="00C25DAB" w:rsidRDefault="00D8235A">
      <w:pPr>
        <w:numPr>
          <w:ilvl w:val="0"/>
          <w:numId w:val="7"/>
        </w:numPr>
        <w:tabs>
          <w:tab w:val="left" w:pos="0"/>
        </w:tabs>
        <w:spacing w:line="360" w:lineRule="auto"/>
        <w:ind w:left="0" w:right="-734" w:firstLine="0"/>
        <w:jc w:val="both"/>
      </w:pPr>
      <w:r>
        <w:rPr>
          <w:rFonts w:ascii="Palatino Linotype" w:eastAsia="Palatino Linotype" w:hAnsi="Palatino Linotype" w:cs="Palatino Linotype"/>
        </w:rPr>
        <w:t>El veintiuno (21) de noviembre de dos mil veintitrés, el</w:t>
      </w:r>
      <w:r>
        <w:rPr>
          <w:rFonts w:ascii="Palatino Linotype" w:eastAsia="Palatino Linotype" w:hAnsi="Palatino Linotype" w:cs="Palatino Linotype"/>
          <w:b/>
        </w:rPr>
        <w:t xml:space="preserve"> </w:t>
      </w:r>
      <w:r>
        <w:rPr>
          <w:rFonts w:ascii="Palatino Linotype" w:eastAsia="Palatino Linotype" w:hAnsi="Palatino Linotype" w:cs="Palatino Linotype"/>
        </w:rPr>
        <w:t>solicitante</w:t>
      </w:r>
      <w:r>
        <w:rPr>
          <w:rFonts w:ascii="Palatino Linotype" w:eastAsia="Palatino Linotype" w:hAnsi="Palatino Linotype" w:cs="Palatino Linotype"/>
          <w:b/>
        </w:rPr>
        <w:t xml:space="preserve">  </w:t>
      </w:r>
      <w:r>
        <w:rPr>
          <w:rFonts w:ascii="Palatino Linotype" w:eastAsia="Palatino Linotype" w:hAnsi="Palatino Linotype" w:cs="Palatino Linotype"/>
        </w:rPr>
        <w:t>presentó</w:t>
      </w:r>
      <w:r>
        <w:rPr>
          <w:rFonts w:ascii="Palatino Linotype" w:eastAsia="Palatino Linotype" w:hAnsi="Palatino Linotype" w:cs="Palatino Linotype"/>
          <w:b/>
        </w:rPr>
        <w:t xml:space="preserve"> </w:t>
      </w:r>
      <w:r>
        <w:rPr>
          <w:rFonts w:ascii="Palatino Linotype" w:eastAsia="Palatino Linotype" w:hAnsi="Palatino Linotype" w:cs="Palatino Linotype"/>
        </w:rPr>
        <w:t xml:space="preserve">ante 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a través del Sistema de Acceso a la Información Mexiquense (SAIMEX), la solicitud de información pública registrada con el número </w:t>
      </w:r>
      <w:r>
        <w:rPr>
          <w:rFonts w:ascii="Palatino Linotype" w:eastAsia="Palatino Linotype" w:hAnsi="Palatino Linotype" w:cs="Palatino Linotype"/>
          <w:b/>
        </w:rPr>
        <w:t> 00648/ATIZARA/IP/2023</w:t>
      </w:r>
      <w:r>
        <w:rPr>
          <w:rFonts w:ascii="Palatino Linotype" w:eastAsia="Palatino Linotype" w:hAnsi="Palatino Linotype" w:cs="Palatino Linotype"/>
        </w:rPr>
        <w:t>, en la que se solicitó:</w:t>
      </w:r>
    </w:p>
    <w:p w14:paraId="0FF4C623" w14:textId="77777777" w:rsidR="00C25DAB" w:rsidRDefault="00C25DAB">
      <w:pPr>
        <w:tabs>
          <w:tab w:val="left" w:pos="0"/>
        </w:tabs>
        <w:spacing w:line="360" w:lineRule="auto"/>
        <w:ind w:left="360" w:right="-734"/>
        <w:jc w:val="both"/>
        <w:rPr>
          <w:rFonts w:ascii="Palatino Linotype" w:eastAsia="Palatino Linotype" w:hAnsi="Palatino Linotype" w:cs="Palatino Linotype"/>
        </w:rPr>
      </w:pPr>
    </w:p>
    <w:p w14:paraId="3C61DE18" w14:textId="77777777" w:rsidR="00C25DAB" w:rsidRDefault="00D8235A">
      <w:pPr>
        <w:tabs>
          <w:tab w:val="left" w:pos="0"/>
        </w:tabs>
        <w:spacing w:line="360" w:lineRule="auto"/>
        <w:ind w:left="567" w:right="-734"/>
        <w:jc w:val="both"/>
        <w:rPr>
          <w:rFonts w:ascii="Palatino Linotype" w:eastAsia="Palatino Linotype" w:hAnsi="Palatino Linotype" w:cs="Palatino Linotype"/>
          <w:i/>
        </w:rPr>
      </w:pPr>
      <w:r>
        <w:rPr>
          <w:rFonts w:ascii="Palatino Linotype" w:eastAsia="Palatino Linotype" w:hAnsi="Palatino Linotype" w:cs="Palatino Linotype"/>
          <w:i/>
        </w:rPr>
        <w:t>“</w:t>
      </w:r>
      <w:r>
        <w:rPr>
          <w:rFonts w:ascii="Palatino Linotype" w:eastAsia="Palatino Linotype" w:hAnsi="Palatino Linotype" w:cs="Palatino Linotype"/>
          <w:i/>
          <w:color w:val="000000"/>
        </w:rPr>
        <w:t>Solicito los cambios de uso de suelo y densidad generados en la administración actual</w:t>
      </w:r>
      <w:r>
        <w:rPr>
          <w:rFonts w:ascii="Palatino Linotype" w:eastAsia="Palatino Linotype" w:hAnsi="Palatino Linotype" w:cs="Palatino Linotype"/>
          <w:i/>
        </w:rPr>
        <w:t>” (Sic)</w:t>
      </w:r>
    </w:p>
    <w:p w14:paraId="11920D19" w14:textId="77777777" w:rsidR="00C25DAB" w:rsidRDefault="00C25DAB">
      <w:pPr>
        <w:tabs>
          <w:tab w:val="left" w:pos="0"/>
        </w:tabs>
        <w:spacing w:line="360" w:lineRule="auto"/>
        <w:ind w:left="567" w:right="-734"/>
        <w:jc w:val="both"/>
        <w:rPr>
          <w:rFonts w:ascii="Palatino Linotype" w:eastAsia="Palatino Linotype" w:hAnsi="Palatino Linotype" w:cs="Palatino Linotype"/>
          <w:i/>
        </w:rPr>
      </w:pPr>
    </w:p>
    <w:p w14:paraId="2B0D2B69" w14:textId="77777777" w:rsidR="00C25DAB" w:rsidRDefault="00D8235A">
      <w:pPr>
        <w:numPr>
          <w:ilvl w:val="0"/>
          <w:numId w:val="7"/>
        </w:numPr>
        <w:pBdr>
          <w:top w:val="nil"/>
          <w:left w:val="nil"/>
          <w:bottom w:val="nil"/>
          <w:right w:val="nil"/>
          <w:between w:val="nil"/>
        </w:pBdr>
        <w:spacing w:line="360" w:lineRule="auto"/>
        <w:ind w:left="0" w:right="-734" w:firstLine="0"/>
        <w:jc w:val="both"/>
        <w:rPr>
          <w:color w:val="000000"/>
        </w:rPr>
      </w:pPr>
      <w:r>
        <w:rPr>
          <w:rFonts w:ascii="Palatino Linotype" w:eastAsia="Palatino Linotype" w:hAnsi="Palatino Linotype" w:cs="Palatino Linotype"/>
          <w:color w:val="000000"/>
        </w:rPr>
        <w:t>Se hace constar que se señaló como modalidad de entrega de la información a través de SAIMEX.</w:t>
      </w:r>
      <w:r>
        <w:rPr>
          <w:rFonts w:ascii="Palatino Linotype" w:eastAsia="Palatino Linotype" w:hAnsi="Palatino Linotype" w:cs="Palatino Linotype"/>
          <w:b/>
          <w:color w:val="000000"/>
        </w:rPr>
        <w:t xml:space="preserve">  </w:t>
      </w:r>
    </w:p>
    <w:p w14:paraId="33471EE1" w14:textId="77777777" w:rsidR="00C25DAB" w:rsidRDefault="00C25DAB">
      <w:pPr>
        <w:tabs>
          <w:tab w:val="left" w:pos="0"/>
        </w:tabs>
        <w:spacing w:line="360" w:lineRule="auto"/>
        <w:ind w:right="-734"/>
        <w:jc w:val="both"/>
        <w:rPr>
          <w:rFonts w:ascii="Palatino Linotype" w:eastAsia="Palatino Linotype" w:hAnsi="Palatino Linotype" w:cs="Palatino Linotype"/>
          <w:b/>
        </w:rPr>
      </w:pPr>
    </w:p>
    <w:p w14:paraId="4A787F5F" w14:textId="77777777" w:rsidR="00C25DAB" w:rsidRDefault="00D8235A">
      <w:pPr>
        <w:numPr>
          <w:ilvl w:val="0"/>
          <w:numId w:val="7"/>
        </w:numPr>
        <w:tabs>
          <w:tab w:val="left" w:pos="0"/>
        </w:tabs>
        <w:spacing w:line="360" w:lineRule="auto"/>
        <w:ind w:left="0" w:right="-734" w:firstLine="0"/>
        <w:jc w:val="both"/>
        <w:rPr>
          <w:rFonts w:ascii="Palatino Linotype" w:eastAsia="Palatino Linotype" w:hAnsi="Palatino Linotype" w:cs="Palatino Linotype"/>
          <w:b/>
        </w:rPr>
      </w:pPr>
      <w:r>
        <w:rPr>
          <w:rFonts w:ascii="Palatino Linotype" w:eastAsia="Palatino Linotype" w:hAnsi="Palatino Linotype" w:cs="Palatino Linotype"/>
        </w:rPr>
        <w:lastRenderedPageBreak/>
        <w:t>El  veintiuno (21) de noviembre de dos mil veintitrés, se realizó un requerimiento al servidor público habilitado</w:t>
      </w:r>
      <w:r>
        <w:rPr>
          <w:rFonts w:ascii="Palatino Linotype" w:eastAsia="Palatino Linotype" w:hAnsi="Palatino Linotype" w:cs="Palatino Linotype"/>
          <w:b/>
        </w:rPr>
        <w:t xml:space="preserve">. </w:t>
      </w:r>
    </w:p>
    <w:p w14:paraId="0BBB2CFE" w14:textId="77777777" w:rsidR="00C25DAB" w:rsidRDefault="00C25DAB">
      <w:pPr>
        <w:pBdr>
          <w:top w:val="nil"/>
          <w:left w:val="nil"/>
          <w:bottom w:val="nil"/>
          <w:right w:val="nil"/>
          <w:between w:val="nil"/>
        </w:pBdr>
        <w:ind w:left="720" w:right="-734"/>
        <w:rPr>
          <w:rFonts w:ascii="Palatino Linotype" w:eastAsia="Palatino Linotype" w:hAnsi="Palatino Linotype" w:cs="Palatino Linotype"/>
          <w:color w:val="000000"/>
        </w:rPr>
      </w:pPr>
    </w:p>
    <w:p w14:paraId="26B9B8B5" w14:textId="77777777" w:rsidR="00C25DAB" w:rsidRDefault="00D8235A">
      <w:pPr>
        <w:numPr>
          <w:ilvl w:val="0"/>
          <w:numId w:val="7"/>
        </w:numPr>
        <w:tabs>
          <w:tab w:val="left" w:pos="0"/>
        </w:tabs>
        <w:spacing w:line="360" w:lineRule="auto"/>
        <w:ind w:left="0" w:right="-734" w:firstLine="0"/>
        <w:jc w:val="both"/>
      </w:pPr>
      <w:r>
        <w:rPr>
          <w:rFonts w:ascii="Palatino Linotype" w:eastAsia="Palatino Linotype" w:hAnsi="Palatino Linotype" w:cs="Palatino Linotype"/>
        </w:rPr>
        <w:t>El doce (12) de diciembre de dos mil veintitrés, se notificó una prórroga para emitir respuesta a las solicitud de información en el siguiente sentido:</w:t>
      </w:r>
    </w:p>
    <w:p w14:paraId="3DEFC694" w14:textId="77777777" w:rsidR="00C25DAB" w:rsidRDefault="00C25DAB">
      <w:pPr>
        <w:pBdr>
          <w:top w:val="nil"/>
          <w:left w:val="nil"/>
          <w:bottom w:val="nil"/>
          <w:right w:val="nil"/>
          <w:between w:val="nil"/>
        </w:pBdr>
        <w:ind w:left="720" w:right="-734"/>
        <w:rPr>
          <w:rFonts w:ascii="Palatino Linotype" w:eastAsia="Palatino Linotype" w:hAnsi="Palatino Linotype" w:cs="Palatino Linotype"/>
          <w:b/>
          <w:color w:val="000000"/>
        </w:rPr>
      </w:pPr>
    </w:p>
    <w:tbl>
      <w:tblPr>
        <w:tblStyle w:val="a"/>
        <w:tblW w:w="7691" w:type="dxa"/>
        <w:jc w:val="center"/>
        <w:tblInd w:w="0" w:type="dxa"/>
        <w:tblLayout w:type="fixed"/>
        <w:tblLook w:val="0400" w:firstRow="0" w:lastRow="0" w:firstColumn="0" w:lastColumn="0" w:noHBand="0" w:noVBand="1"/>
      </w:tblPr>
      <w:tblGrid>
        <w:gridCol w:w="7691"/>
      </w:tblGrid>
      <w:tr w:rsidR="00C25DAB" w14:paraId="0AD6874B" w14:textId="77777777">
        <w:trPr>
          <w:trHeight w:val="322"/>
          <w:jc w:val="center"/>
        </w:trPr>
        <w:tc>
          <w:tcPr>
            <w:tcW w:w="7691" w:type="dxa"/>
            <w:vAlign w:val="center"/>
          </w:tcPr>
          <w:p w14:paraId="32A1F8E7" w14:textId="77777777" w:rsidR="00C25DAB" w:rsidRDefault="00D8235A">
            <w:pPr>
              <w:ind w:right="-734"/>
              <w:jc w:val="right"/>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“Atizapán de Zaragoza, México a 12 de Diciembre de 2023</w:t>
            </w:r>
          </w:p>
        </w:tc>
      </w:tr>
      <w:tr w:rsidR="00C25DAB" w14:paraId="1F16E88D" w14:textId="77777777">
        <w:trPr>
          <w:trHeight w:val="322"/>
          <w:jc w:val="center"/>
        </w:trPr>
        <w:tc>
          <w:tcPr>
            <w:tcW w:w="7691" w:type="dxa"/>
            <w:vAlign w:val="center"/>
          </w:tcPr>
          <w:p w14:paraId="631105C3" w14:textId="77777777" w:rsidR="00C25DAB" w:rsidRDefault="00D8235A">
            <w:pPr>
              <w:ind w:right="-734"/>
              <w:jc w:val="right"/>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Nombre del solicitante: C. Solicitante</w:t>
            </w:r>
          </w:p>
        </w:tc>
      </w:tr>
      <w:tr w:rsidR="00C25DAB" w14:paraId="6997A962" w14:textId="77777777">
        <w:trPr>
          <w:trHeight w:val="322"/>
          <w:jc w:val="center"/>
        </w:trPr>
        <w:tc>
          <w:tcPr>
            <w:tcW w:w="7691" w:type="dxa"/>
            <w:vAlign w:val="center"/>
          </w:tcPr>
          <w:p w14:paraId="4CE4337A" w14:textId="77777777" w:rsidR="00C25DAB" w:rsidRDefault="00D8235A">
            <w:pPr>
              <w:ind w:right="-734"/>
              <w:jc w:val="right"/>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Folio de la solicitud: 00648/ATIZARA/IP/2023</w:t>
            </w:r>
          </w:p>
        </w:tc>
      </w:tr>
      <w:tr w:rsidR="00C25DAB" w14:paraId="0335E0BE" w14:textId="77777777">
        <w:trPr>
          <w:trHeight w:val="483"/>
          <w:jc w:val="center"/>
        </w:trPr>
        <w:tc>
          <w:tcPr>
            <w:tcW w:w="7691" w:type="dxa"/>
            <w:vAlign w:val="center"/>
          </w:tcPr>
          <w:p w14:paraId="7A49FB2D" w14:textId="77777777" w:rsidR="00C25DAB" w:rsidRDefault="00C25DAB">
            <w:pPr>
              <w:ind w:right="-734"/>
              <w:jc w:val="right"/>
              <w:rPr>
                <w:rFonts w:ascii="Palatino Linotype" w:eastAsia="Palatino Linotype" w:hAnsi="Palatino Linotype" w:cs="Palatino Linotype"/>
                <w:i/>
                <w:sz w:val="22"/>
                <w:szCs w:val="22"/>
              </w:rPr>
            </w:pPr>
          </w:p>
        </w:tc>
      </w:tr>
      <w:tr w:rsidR="00C25DAB" w14:paraId="7FB76E47" w14:textId="77777777">
        <w:trPr>
          <w:trHeight w:val="161"/>
          <w:jc w:val="center"/>
        </w:trPr>
        <w:tc>
          <w:tcPr>
            <w:tcW w:w="7691" w:type="dxa"/>
            <w:vAlign w:val="center"/>
          </w:tcPr>
          <w:p w14:paraId="44FB8202" w14:textId="77777777" w:rsidR="00C25DAB" w:rsidRDefault="00D8235A">
            <w:pPr>
              <w:ind w:right="-734"/>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Con fundamento en el artículo 163 de la Ley de Transparencia y Acceso a la Información Pública del Estado de México y Municipios, se le hace de su conocimiento que el plazo de 15 días hábiles para atender su solicitud de información ha sido prorrogado por 7 días en virtud de las siguientes razones:</w:t>
            </w:r>
          </w:p>
        </w:tc>
      </w:tr>
      <w:tr w:rsidR="00C25DAB" w14:paraId="38119603" w14:textId="77777777">
        <w:trPr>
          <w:trHeight w:val="402"/>
          <w:jc w:val="center"/>
        </w:trPr>
        <w:tc>
          <w:tcPr>
            <w:tcW w:w="7691" w:type="dxa"/>
            <w:vAlign w:val="center"/>
          </w:tcPr>
          <w:p w14:paraId="3B0E8BAF" w14:textId="77777777" w:rsidR="00C25DAB" w:rsidRDefault="00C25DAB">
            <w:pPr>
              <w:ind w:right="-734"/>
              <w:rPr>
                <w:rFonts w:ascii="Palatino Linotype" w:eastAsia="Palatino Linotype" w:hAnsi="Palatino Linotype" w:cs="Palatino Linotype"/>
                <w:i/>
                <w:sz w:val="22"/>
                <w:szCs w:val="22"/>
              </w:rPr>
            </w:pPr>
          </w:p>
        </w:tc>
      </w:tr>
      <w:tr w:rsidR="00C25DAB" w14:paraId="51029EDA" w14:textId="77777777">
        <w:trPr>
          <w:trHeight w:val="161"/>
          <w:jc w:val="center"/>
        </w:trPr>
        <w:tc>
          <w:tcPr>
            <w:tcW w:w="7691" w:type="dxa"/>
            <w:vAlign w:val="center"/>
          </w:tcPr>
          <w:p w14:paraId="15B4B7FA" w14:textId="77777777" w:rsidR="00C25DAB" w:rsidRDefault="00D8235A">
            <w:pPr>
              <w:ind w:right="-734"/>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En atención a su solicitud de Información con número de folio 00648/ATIZARA/IP/2023, formulada a través del portal SAIMEX, turnada a esta Dirección General de Ordenamiento Territorial y Desarrollo Urbano, con fundamento en lo dispuesto por el artículo 163 de la Ley de Transparencia y Acceso a la Información Pública del Estado de México y Municipios, se solicita una prórroga, toda vez que el documento requerido se encuentra en proceso de clasificación.</w:t>
            </w:r>
          </w:p>
        </w:tc>
      </w:tr>
      <w:tr w:rsidR="00C25DAB" w14:paraId="28FDDEF3" w14:textId="77777777">
        <w:trPr>
          <w:trHeight w:val="402"/>
          <w:jc w:val="center"/>
        </w:trPr>
        <w:tc>
          <w:tcPr>
            <w:tcW w:w="7691" w:type="dxa"/>
            <w:vAlign w:val="center"/>
          </w:tcPr>
          <w:p w14:paraId="6C94F167" w14:textId="77777777" w:rsidR="00C25DAB" w:rsidRDefault="00C25DAB">
            <w:pPr>
              <w:ind w:right="-734"/>
              <w:rPr>
                <w:rFonts w:ascii="Palatino Linotype" w:eastAsia="Palatino Linotype" w:hAnsi="Palatino Linotype" w:cs="Palatino Linotype"/>
                <w:i/>
                <w:sz w:val="22"/>
                <w:szCs w:val="22"/>
              </w:rPr>
            </w:pPr>
          </w:p>
        </w:tc>
      </w:tr>
      <w:tr w:rsidR="00C25DAB" w14:paraId="09795BE3" w14:textId="77777777">
        <w:trPr>
          <w:trHeight w:val="161"/>
          <w:jc w:val="center"/>
        </w:trPr>
        <w:tc>
          <w:tcPr>
            <w:tcW w:w="7691" w:type="dxa"/>
            <w:vAlign w:val="center"/>
          </w:tcPr>
          <w:p w14:paraId="2E5EE4B9" w14:textId="77777777" w:rsidR="00C25DAB" w:rsidRDefault="00C25DAB">
            <w:pPr>
              <w:ind w:right="-734"/>
              <w:jc w:val="center"/>
              <w:rPr>
                <w:rFonts w:ascii="Palatino Linotype" w:eastAsia="Palatino Linotype" w:hAnsi="Palatino Linotype" w:cs="Palatino Linotype"/>
                <w:i/>
                <w:sz w:val="22"/>
                <w:szCs w:val="22"/>
              </w:rPr>
            </w:pPr>
          </w:p>
        </w:tc>
      </w:tr>
      <w:tr w:rsidR="00C25DAB" w14:paraId="5632AF96" w14:textId="77777777">
        <w:trPr>
          <w:trHeight w:val="161"/>
          <w:jc w:val="center"/>
        </w:trPr>
        <w:tc>
          <w:tcPr>
            <w:tcW w:w="7691" w:type="dxa"/>
            <w:vAlign w:val="center"/>
          </w:tcPr>
          <w:p w14:paraId="0FC6BC4E" w14:textId="77777777" w:rsidR="00C25DAB" w:rsidRDefault="00D8235A">
            <w:pPr>
              <w:ind w:right="-734"/>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LIC. SERGIO PÉREZ SUÁREZ</w:t>
            </w:r>
          </w:p>
        </w:tc>
      </w:tr>
      <w:tr w:rsidR="00C25DAB" w14:paraId="60C9E983" w14:textId="77777777">
        <w:trPr>
          <w:trHeight w:val="161"/>
          <w:jc w:val="center"/>
        </w:trPr>
        <w:tc>
          <w:tcPr>
            <w:tcW w:w="7691" w:type="dxa"/>
            <w:vAlign w:val="center"/>
          </w:tcPr>
          <w:p w14:paraId="7186F09F" w14:textId="77777777" w:rsidR="00C25DAB" w:rsidRDefault="00D8235A">
            <w:pPr>
              <w:ind w:right="-734"/>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Responsable de la Unidad de Transparencia”</w:t>
            </w:r>
          </w:p>
        </w:tc>
      </w:tr>
    </w:tbl>
    <w:p w14:paraId="3D103A34" w14:textId="77777777" w:rsidR="00C25DAB" w:rsidRDefault="00C25DAB">
      <w:pPr>
        <w:tabs>
          <w:tab w:val="left" w:pos="0"/>
        </w:tabs>
        <w:spacing w:line="360" w:lineRule="auto"/>
        <w:ind w:right="-734"/>
        <w:jc w:val="both"/>
        <w:rPr>
          <w:rFonts w:ascii="Palatino Linotype" w:eastAsia="Palatino Linotype" w:hAnsi="Palatino Linotype" w:cs="Palatino Linotype"/>
          <w:b/>
          <w:sz w:val="22"/>
          <w:szCs w:val="22"/>
        </w:rPr>
      </w:pPr>
    </w:p>
    <w:p w14:paraId="3295C125" w14:textId="77777777" w:rsidR="00C25DAB" w:rsidRDefault="00C25DAB">
      <w:pPr>
        <w:pBdr>
          <w:top w:val="nil"/>
          <w:left w:val="nil"/>
          <w:bottom w:val="nil"/>
          <w:right w:val="nil"/>
          <w:between w:val="nil"/>
        </w:pBdr>
        <w:ind w:left="720" w:right="-734"/>
        <w:rPr>
          <w:rFonts w:ascii="Palatino Linotype" w:eastAsia="Palatino Linotype" w:hAnsi="Palatino Linotype" w:cs="Palatino Linotype"/>
          <w:color w:val="000000"/>
          <w:sz w:val="22"/>
          <w:szCs w:val="22"/>
        </w:rPr>
      </w:pPr>
    </w:p>
    <w:p w14:paraId="361F83A1" w14:textId="77777777" w:rsidR="00C25DAB" w:rsidRDefault="00D8235A">
      <w:pPr>
        <w:numPr>
          <w:ilvl w:val="0"/>
          <w:numId w:val="7"/>
        </w:numPr>
        <w:tabs>
          <w:tab w:val="left" w:pos="0"/>
        </w:tabs>
        <w:spacing w:line="360" w:lineRule="auto"/>
        <w:ind w:left="0" w:right="-734" w:firstLine="0"/>
        <w:jc w:val="both"/>
        <w:rPr>
          <w:rFonts w:ascii="Palatino Linotype" w:eastAsia="Palatino Linotype" w:hAnsi="Palatino Linotype" w:cs="Palatino Linotype"/>
          <w:b/>
        </w:rPr>
      </w:pPr>
      <w:bookmarkStart w:id="1" w:name="_heading=h.30j0zll" w:colFirst="0" w:colLast="0"/>
      <w:bookmarkEnd w:id="1"/>
      <w:r>
        <w:rPr>
          <w:rFonts w:ascii="Palatino Linotype" w:eastAsia="Palatino Linotype" w:hAnsi="Palatino Linotype" w:cs="Palatino Linotype"/>
        </w:rPr>
        <w:t xml:space="preserve">El veintidós (22) de diciembre de dos mil veintitrés, el </w:t>
      </w:r>
      <w:r>
        <w:rPr>
          <w:rFonts w:ascii="Palatino Linotype" w:eastAsia="Palatino Linotype" w:hAnsi="Palatino Linotype" w:cs="Palatino Linotype"/>
          <w:b/>
        </w:rPr>
        <w:t xml:space="preserve">SUJETO OBLIGADO </w:t>
      </w:r>
      <w:r>
        <w:rPr>
          <w:rFonts w:ascii="Palatino Linotype" w:eastAsia="Palatino Linotype" w:hAnsi="Palatino Linotype" w:cs="Palatino Linotype"/>
        </w:rPr>
        <w:t>dio respuesta a la solicitud en el siguiente sentido:</w:t>
      </w:r>
    </w:p>
    <w:p w14:paraId="7209937F" w14:textId="77777777" w:rsidR="00C25DAB" w:rsidRDefault="00C25DAB">
      <w:pPr>
        <w:tabs>
          <w:tab w:val="left" w:pos="0"/>
        </w:tabs>
        <w:spacing w:line="360" w:lineRule="auto"/>
        <w:ind w:right="-734"/>
        <w:jc w:val="both"/>
        <w:rPr>
          <w:rFonts w:ascii="Palatino Linotype" w:eastAsia="Palatino Linotype" w:hAnsi="Palatino Linotype" w:cs="Palatino Linotype"/>
          <w:b/>
          <w:sz w:val="22"/>
          <w:szCs w:val="22"/>
        </w:rPr>
      </w:pPr>
    </w:p>
    <w:tbl>
      <w:tblPr>
        <w:tblStyle w:val="a0"/>
        <w:tblW w:w="7210" w:type="dxa"/>
        <w:jc w:val="center"/>
        <w:tblInd w:w="0" w:type="dxa"/>
        <w:tblLayout w:type="fixed"/>
        <w:tblLook w:val="0400" w:firstRow="0" w:lastRow="0" w:firstColumn="0" w:lastColumn="0" w:noHBand="0" w:noVBand="1"/>
      </w:tblPr>
      <w:tblGrid>
        <w:gridCol w:w="7210"/>
      </w:tblGrid>
      <w:tr w:rsidR="00C25DAB" w14:paraId="7F48AABA" w14:textId="77777777">
        <w:trPr>
          <w:trHeight w:val="293"/>
          <w:jc w:val="center"/>
        </w:trPr>
        <w:tc>
          <w:tcPr>
            <w:tcW w:w="7210" w:type="dxa"/>
            <w:vAlign w:val="center"/>
          </w:tcPr>
          <w:p w14:paraId="746C716F" w14:textId="77777777" w:rsidR="00C25DAB" w:rsidRDefault="00D8235A">
            <w:pPr>
              <w:ind w:right="-734"/>
              <w:jc w:val="right"/>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Atizapán de Zaragoza, México a 22 de Diciembre de 2023</w:t>
            </w:r>
          </w:p>
        </w:tc>
      </w:tr>
      <w:tr w:rsidR="00C25DAB" w14:paraId="769E6FCF" w14:textId="77777777">
        <w:trPr>
          <w:trHeight w:val="293"/>
          <w:jc w:val="center"/>
        </w:trPr>
        <w:tc>
          <w:tcPr>
            <w:tcW w:w="7210" w:type="dxa"/>
            <w:vAlign w:val="center"/>
          </w:tcPr>
          <w:p w14:paraId="21CAA812" w14:textId="77777777" w:rsidR="00C25DAB" w:rsidRDefault="00D8235A">
            <w:pPr>
              <w:ind w:right="-734"/>
              <w:jc w:val="right"/>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Nombre del solicitante: C. Solicitante</w:t>
            </w:r>
          </w:p>
        </w:tc>
      </w:tr>
      <w:tr w:rsidR="00C25DAB" w14:paraId="6F07CF8A" w14:textId="77777777">
        <w:trPr>
          <w:trHeight w:val="293"/>
          <w:jc w:val="center"/>
        </w:trPr>
        <w:tc>
          <w:tcPr>
            <w:tcW w:w="7210" w:type="dxa"/>
            <w:vAlign w:val="center"/>
          </w:tcPr>
          <w:p w14:paraId="37345E06" w14:textId="77777777" w:rsidR="00C25DAB" w:rsidRDefault="00D8235A">
            <w:pPr>
              <w:ind w:right="-734"/>
              <w:jc w:val="right"/>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lastRenderedPageBreak/>
              <w:t>Folio de la solicitud: 00648/ATIZARA/IP/2023</w:t>
            </w:r>
          </w:p>
        </w:tc>
      </w:tr>
      <w:tr w:rsidR="00C25DAB" w14:paraId="5410C0C0" w14:textId="77777777">
        <w:trPr>
          <w:trHeight w:val="439"/>
          <w:jc w:val="center"/>
        </w:trPr>
        <w:tc>
          <w:tcPr>
            <w:tcW w:w="7210" w:type="dxa"/>
            <w:vAlign w:val="center"/>
          </w:tcPr>
          <w:p w14:paraId="19B1C64A" w14:textId="77777777" w:rsidR="00C25DAB" w:rsidRDefault="00C25DAB">
            <w:pPr>
              <w:ind w:right="-734"/>
              <w:jc w:val="right"/>
              <w:rPr>
                <w:rFonts w:ascii="Palatino Linotype" w:eastAsia="Palatino Linotype" w:hAnsi="Palatino Linotype" w:cs="Palatino Linotype"/>
                <w:i/>
                <w:sz w:val="22"/>
                <w:szCs w:val="22"/>
              </w:rPr>
            </w:pPr>
          </w:p>
        </w:tc>
      </w:tr>
      <w:tr w:rsidR="00C25DAB" w14:paraId="46838CDD" w14:textId="77777777">
        <w:trPr>
          <w:trHeight w:val="146"/>
          <w:jc w:val="center"/>
        </w:trPr>
        <w:tc>
          <w:tcPr>
            <w:tcW w:w="7210" w:type="dxa"/>
            <w:vAlign w:val="center"/>
          </w:tcPr>
          <w:p w14:paraId="21BF649D" w14:textId="77777777" w:rsidR="00C25DAB" w:rsidRDefault="00D8235A">
            <w:pPr>
              <w:ind w:right="-734"/>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En respuesta a la solicitud recibida, nos permitimos hacer de su conocimiento que con fundamento en el artículo 53, Fracciones: II, V y VI de la Ley de Transparencia y Acceso a la Información Pública del Estado de México y Municipios, le contestamos que:</w:t>
            </w:r>
          </w:p>
        </w:tc>
      </w:tr>
      <w:tr w:rsidR="00C25DAB" w14:paraId="3C060F23" w14:textId="77777777">
        <w:trPr>
          <w:trHeight w:val="366"/>
          <w:jc w:val="center"/>
        </w:trPr>
        <w:tc>
          <w:tcPr>
            <w:tcW w:w="7210" w:type="dxa"/>
            <w:vAlign w:val="center"/>
          </w:tcPr>
          <w:p w14:paraId="3FBFCC1B" w14:textId="77777777" w:rsidR="00C25DAB" w:rsidRDefault="00C25DAB">
            <w:pPr>
              <w:ind w:right="-734"/>
              <w:jc w:val="both"/>
              <w:rPr>
                <w:rFonts w:ascii="Palatino Linotype" w:eastAsia="Palatino Linotype" w:hAnsi="Palatino Linotype" w:cs="Palatino Linotype"/>
                <w:i/>
                <w:sz w:val="22"/>
                <w:szCs w:val="22"/>
              </w:rPr>
            </w:pPr>
          </w:p>
        </w:tc>
      </w:tr>
      <w:tr w:rsidR="00C25DAB" w14:paraId="681FDA87" w14:textId="77777777">
        <w:trPr>
          <w:trHeight w:val="1115"/>
          <w:jc w:val="center"/>
        </w:trPr>
        <w:tc>
          <w:tcPr>
            <w:tcW w:w="7210" w:type="dxa"/>
            <w:vAlign w:val="center"/>
          </w:tcPr>
          <w:p w14:paraId="4F7F77B2" w14:textId="77777777" w:rsidR="00C25DAB" w:rsidRDefault="00D8235A">
            <w:pPr>
              <w:ind w:right="-734"/>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En atención a su solicitud número de folio 00648/ATIZARA/IP/2023, al respecto, me permito adjuntar en archivo electrónico los cambios de Uso del Suelo números 2398/02/2022 y CUS/1049/2022, generados en la administración actual, mismos que serán entregados en versión pública, de conformidad con el Artículo 52 de la Ley de Transparencia y Acceso a la Información Pública del Estado de México y Municipios, que a la letra dice: Artículo 52.- “…Las solicitudes de acceso a la información y las respuestas que se les dé, incluyendo, en su caso, la información entregada, así como las resoluciones a los recursos que en su caso se promuevan serán públicas, y de ser el caso que contengan datos personales que deban ser protegidos se podrá dar su acceso en su versión pública, siempre y cuando la resolución de referencia se someta a un proceso de disociación, es decir, no haga identificable al titular de tales datos personales…” Así como, en cumplimiento al “ACUERDO-01 CT/XIII-E/15-12-23, DEL COMITÉ DE TRANSPARENCIA DEL H. AYUNTAMIENTO DE ATIZAPÁN DE ZARAGOZA, ESTADO DE MÉXICO, DE SOLICITUD DE CONFIRMACIÓN DE CLASIFICACIÓN DE INFORMACIÓN EN SU MODALIDAD DE CONFIDENCIALIDAD, EN VERSIÓN PÚBLICA, QUE SE DESAHOGÓ EN EL PUNTO DE ACUERDO NÚMERO 04, EN LA DÉCIMA TERCERA SESIÓN EXTRAORDINARIA, DE FECHA QUINCE DE DICIEMBRE DEL AÑO DOS MIL VEINTITRES, RELATIVA DE LOS DATOS PERSONALES CONTENIDOS EN LAS AUTORIZACIONES DE CAMBIOS DE USO DEL SUELO CON NÚMEROS 2398/02/2022 y CUS/1049/2022. Sin otro particular, quedo de Usted. A T E N T A M E N T E MAESTRO JOSÉ RAMÓN JARQUÍN RODRÍGUEZ DIRECTOR GENERAL DE ORDENAMIENTO TERRITORIAL Y DESARROLLO URBANO</w:t>
            </w:r>
          </w:p>
        </w:tc>
      </w:tr>
      <w:tr w:rsidR="00C25DAB" w14:paraId="4CBCDFA4" w14:textId="77777777">
        <w:trPr>
          <w:trHeight w:val="366"/>
          <w:jc w:val="center"/>
        </w:trPr>
        <w:tc>
          <w:tcPr>
            <w:tcW w:w="7210" w:type="dxa"/>
            <w:vAlign w:val="center"/>
          </w:tcPr>
          <w:p w14:paraId="290F5858" w14:textId="77777777" w:rsidR="00C25DAB" w:rsidRDefault="00C25DAB">
            <w:pPr>
              <w:ind w:right="-734"/>
              <w:rPr>
                <w:rFonts w:ascii="Palatino Linotype" w:eastAsia="Palatino Linotype" w:hAnsi="Palatino Linotype" w:cs="Palatino Linotype"/>
                <w:i/>
                <w:sz w:val="22"/>
                <w:szCs w:val="22"/>
              </w:rPr>
            </w:pPr>
          </w:p>
        </w:tc>
      </w:tr>
      <w:tr w:rsidR="00C25DAB" w14:paraId="17952D43" w14:textId="77777777">
        <w:trPr>
          <w:trHeight w:val="146"/>
          <w:jc w:val="center"/>
        </w:trPr>
        <w:tc>
          <w:tcPr>
            <w:tcW w:w="7210" w:type="dxa"/>
            <w:vAlign w:val="center"/>
          </w:tcPr>
          <w:p w14:paraId="04DC6ED9" w14:textId="77777777" w:rsidR="00C25DAB" w:rsidRDefault="00C25DAB">
            <w:pPr>
              <w:ind w:right="-734"/>
              <w:jc w:val="center"/>
              <w:rPr>
                <w:rFonts w:ascii="Palatino Linotype" w:eastAsia="Palatino Linotype" w:hAnsi="Palatino Linotype" w:cs="Palatino Linotype"/>
                <w:i/>
                <w:sz w:val="22"/>
                <w:szCs w:val="22"/>
              </w:rPr>
            </w:pPr>
          </w:p>
        </w:tc>
      </w:tr>
      <w:tr w:rsidR="00C25DAB" w14:paraId="0D3D716F" w14:textId="77777777">
        <w:trPr>
          <w:trHeight w:val="146"/>
          <w:jc w:val="center"/>
        </w:trPr>
        <w:tc>
          <w:tcPr>
            <w:tcW w:w="7210" w:type="dxa"/>
            <w:vAlign w:val="center"/>
          </w:tcPr>
          <w:p w14:paraId="50F6202E" w14:textId="77777777" w:rsidR="00C25DAB" w:rsidRDefault="00C25DAB">
            <w:pPr>
              <w:ind w:right="-734"/>
              <w:rPr>
                <w:rFonts w:ascii="Palatino Linotype" w:eastAsia="Palatino Linotype" w:hAnsi="Palatino Linotype" w:cs="Palatino Linotype"/>
                <w:i/>
                <w:sz w:val="22"/>
                <w:szCs w:val="22"/>
              </w:rPr>
            </w:pPr>
          </w:p>
        </w:tc>
      </w:tr>
      <w:tr w:rsidR="00C25DAB" w14:paraId="63551F07" w14:textId="77777777">
        <w:trPr>
          <w:trHeight w:val="146"/>
          <w:jc w:val="center"/>
        </w:trPr>
        <w:tc>
          <w:tcPr>
            <w:tcW w:w="7210" w:type="dxa"/>
            <w:vAlign w:val="center"/>
          </w:tcPr>
          <w:p w14:paraId="0935784F" w14:textId="77777777" w:rsidR="00C25DAB" w:rsidRDefault="00D8235A">
            <w:pPr>
              <w:ind w:right="-734"/>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ATENTAMENTE</w:t>
            </w:r>
          </w:p>
        </w:tc>
      </w:tr>
      <w:tr w:rsidR="00C25DAB" w14:paraId="76ED3BCC" w14:textId="77777777">
        <w:trPr>
          <w:trHeight w:val="219"/>
          <w:jc w:val="center"/>
        </w:trPr>
        <w:tc>
          <w:tcPr>
            <w:tcW w:w="7210" w:type="dxa"/>
            <w:vAlign w:val="center"/>
          </w:tcPr>
          <w:p w14:paraId="53942F73" w14:textId="77777777" w:rsidR="00C25DAB" w:rsidRDefault="00C25DAB">
            <w:pPr>
              <w:ind w:right="-734"/>
              <w:rPr>
                <w:rFonts w:ascii="Palatino Linotype" w:eastAsia="Palatino Linotype" w:hAnsi="Palatino Linotype" w:cs="Palatino Linotype"/>
                <w:i/>
                <w:sz w:val="22"/>
                <w:szCs w:val="22"/>
              </w:rPr>
            </w:pPr>
          </w:p>
        </w:tc>
      </w:tr>
      <w:tr w:rsidR="00C25DAB" w14:paraId="7751FB16" w14:textId="77777777">
        <w:trPr>
          <w:trHeight w:val="146"/>
          <w:jc w:val="center"/>
        </w:trPr>
        <w:tc>
          <w:tcPr>
            <w:tcW w:w="7210" w:type="dxa"/>
            <w:vAlign w:val="center"/>
          </w:tcPr>
          <w:p w14:paraId="061BE5F7" w14:textId="77777777" w:rsidR="00C25DAB" w:rsidRDefault="00D8235A">
            <w:pPr>
              <w:ind w:right="-734"/>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LIC. SERGIO PÉREZ SUÁREZ</w:t>
            </w:r>
          </w:p>
        </w:tc>
      </w:tr>
    </w:tbl>
    <w:p w14:paraId="1F1A6A57" w14:textId="77777777" w:rsidR="00C25DAB" w:rsidRDefault="00C25DAB">
      <w:pPr>
        <w:tabs>
          <w:tab w:val="left" w:pos="0"/>
        </w:tabs>
        <w:spacing w:line="360" w:lineRule="auto"/>
        <w:ind w:right="-734"/>
        <w:jc w:val="both"/>
        <w:rPr>
          <w:rFonts w:ascii="Palatino Linotype" w:eastAsia="Palatino Linotype" w:hAnsi="Palatino Linotype" w:cs="Palatino Linotype"/>
          <w:b/>
          <w:sz w:val="22"/>
          <w:szCs w:val="22"/>
        </w:rPr>
      </w:pPr>
    </w:p>
    <w:p w14:paraId="536E3C15" w14:textId="77777777" w:rsidR="00C25DAB" w:rsidRDefault="00C25DAB">
      <w:pPr>
        <w:tabs>
          <w:tab w:val="left" w:pos="0"/>
        </w:tabs>
        <w:spacing w:line="360" w:lineRule="auto"/>
        <w:ind w:right="-734"/>
        <w:jc w:val="both"/>
        <w:rPr>
          <w:rFonts w:ascii="Palatino Linotype" w:eastAsia="Palatino Linotype" w:hAnsi="Palatino Linotype" w:cs="Palatino Linotype"/>
          <w:sz w:val="22"/>
          <w:szCs w:val="22"/>
        </w:rPr>
      </w:pPr>
    </w:p>
    <w:p w14:paraId="4703DF79" w14:textId="77777777" w:rsidR="00C25DAB" w:rsidRDefault="00D8235A">
      <w:pPr>
        <w:numPr>
          <w:ilvl w:val="0"/>
          <w:numId w:val="8"/>
        </w:numPr>
        <w:pBdr>
          <w:top w:val="nil"/>
          <w:left w:val="nil"/>
          <w:bottom w:val="nil"/>
          <w:right w:val="nil"/>
          <w:between w:val="nil"/>
        </w:pBdr>
        <w:tabs>
          <w:tab w:val="left" w:pos="0"/>
        </w:tabs>
        <w:spacing w:line="360" w:lineRule="auto"/>
        <w:ind w:right="-734"/>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lastRenderedPageBreak/>
        <w:t xml:space="preserve">A la respuesta de </w:t>
      </w:r>
      <w:r>
        <w:rPr>
          <w:rFonts w:ascii="Palatino Linotype" w:eastAsia="Palatino Linotype" w:hAnsi="Palatino Linotype" w:cs="Palatino Linotype"/>
          <w:sz w:val="22"/>
          <w:szCs w:val="22"/>
        </w:rPr>
        <w:t>adjuntan</w:t>
      </w:r>
      <w:r>
        <w:rPr>
          <w:rFonts w:ascii="Palatino Linotype" w:eastAsia="Palatino Linotype" w:hAnsi="Palatino Linotype" w:cs="Palatino Linotype"/>
          <w:color w:val="000000"/>
          <w:sz w:val="22"/>
          <w:szCs w:val="22"/>
        </w:rPr>
        <w:t xml:space="preserve"> los archivos que se describen enseguida:</w:t>
      </w:r>
    </w:p>
    <w:p w14:paraId="7AA109BB" w14:textId="77777777" w:rsidR="00C25DAB" w:rsidRDefault="00C25DAB">
      <w:pPr>
        <w:pBdr>
          <w:top w:val="nil"/>
          <w:left w:val="nil"/>
          <w:bottom w:val="nil"/>
          <w:right w:val="nil"/>
          <w:between w:val="nil"/>
        </w:pBdr>
        <w:tabs>
          <w:tab w:val="left" w:pos="0"/>
        </w:tabs>
        <w:spacing w:line="360" w:lineRule="auto"/>
        <w:ind w:left="720" w:right="-734"/>
        <w:jc w:val="both"/>
        <w:rPr>
          <w:rFonts w:ascii="Palatino Linotype" w:eastAsia="Palatino Linotype" w:hAnsi="Palatino Linotype" w:cs="Palatino Linotype"/>
          <w:color w:val="000000"/>
          <w:sz w:val="22"/>
          <w:szCs w:val="22"/>
        </w:rPr>
      </w:pPr>
    </w:p>
    <w:p w14:paraId="0EFF56E7" w14:textId="77777777" w:rsidR="00C25DAB" w:rsidRDefault="006465FE">
      <w:pPr>
        <w:numPr>
          <w:ilvl w:val="0"/>
          <w:numId w:val="8"/>
        </w:numPr>
        <w:pBdr>
          <w:top w:val="nil"/>
          <w:left w:val="nil"/>
          <w:bottom w:val="nil"/>
          <w:right w:val="nil"/>
          <w:between w:val="nil"/>
        </w:pBdr>
        <w:tabs>
          <w:tab w:val="left" w:pos="0"/>
        </w:tabs>
        <w:spacing w:line="360" w:lineRule="auto"/>
        <w:ind w:right="-734"/>
        <w:rPr>
          <w:rFonts w:ascii="Palatino Linotype" w:eastAsia="Palatino Linotype" w:hAnsi="Palatino Linotype" w:cs="Palatino Linotype"/>
          <w:color w:val="000000"/>
          <w:sz w:val="22"/>
          <w:szCs w:val="22"/>
        </w:rPr>
      </w:pPr>
      <w:hyperlink r:id="rId8">
        <w:r w:rsidR="00D8235A">
          <w:rPr>
            <w:rFonts w:ascii="Palatino Linotype" w:eastAsia="Palatino Linotype" w:hAnsi="Palatino Linotype" w:cs="Palatino Linotype"/>
            <w:b/>
            <w:color w:val="000000"/>
            <w:sz w:val="22"/>
            <w:szCs w:val="22"/>
            <w:u w:val="single"/>
          </w:rPr>
          <w:t>anexo aut. Cambios Uso del suelo.pdf</w:t>
        </w:r>
      </w:hyperlink>
      <w:r w:rsidR="00D8235A">
        <w:rPr>
          <w:rFonts w:ascii="Palatino Linotype" w:eastAsia="Palatino Linotype" w:hAnsi="Palatino Linotype" w:cs="Palatino Linotype"/>
          <w:color w:val="000000"/>
          <w:sz w:val="22"/>
          <w:szCs w:val="22"/>
        </w:rPr>
        <w:t xml:space="preserve">: documento en formato </w:t>
      </w:r>
      <w:proofErr w:type="spellStart"/>
      <w:r w:rsidR="00D8235A">
        <w:rPr>
          <w:rFonts w:ascii="Palatino Linotype" w:eastAsia="Palatino Linotype" w:hAnsi="Palatino Linotype" w:cs="Palatino Linotype"/>
          <w:color w:val="000000"/>
          <w:sz w:val="22"/>
          <w:szCs w:val="22"/>
        </w:rPr>
        <w:t>pdf</w:t>
      </w:r>
      <w:proofErr w:type="spellEnd"/>
      <w:r w:rsidR="00D8235A">
        <w:rPr>
          <w:rFonts w:ascii="Palatino Linotype" w:eastAsia="Palatino Linotype" w:hAnsi="Palatino Linotype" w:cs="Palatino Linotype"/>
          <w:color w:val="000000"/>
          <w:sz w:val="22"/>
          <w:szCs w:val="22"/>
        </w:rPr>
        <w:t xml:space="preserve">, en el que se advierten dos autorizaciones de uso de cambio de suelo en versión pública. </w:t>
      </w:r>
    </w:p>
    <w:p w14:paraId="74B59B14" w14:textId="77777777" w:rsidR="00C25DAB" w:rsidRDefault="006465FE">
      <w:pPr>
        <w:numPr>
          <w:ilvl w:val="0"/>
          <w:numId w:val="8"/>
        </w:numPr>
        <w:pBdr>
          <w:top w:val="nil"/>
          <w:left w:val="nil"/>
          <w:bottom w:val="nil"/>
          <w:right w:val="nil"/>
          <w:between w:val="nil"/>
        </w:pBdr>
        <w:tabs>
          <w:tab w:val="left" w:pos="0"/>
        </w:tabs>
        <w:spacing w:line="360" w:lineRule="auto"/>
        <w:ind w:right="-734"/>
        <w:rPr>
          <w:rFonts w:ascii="Palatino Linotype" w:eastAsia="Palatino Linotype" w:hAnsi="Palatino Linotype" w:cs="Palatino Linotype"/>
          <w:color w:val="000000"/>
          <w:sz w:val="22"/>
          <w:szCs w:val="22"/>
        </w:rPr>
      </w:pPr>
      <w:hyperlink r:id="rId9">
        <w:r w:rsidR="00D8235A">
          <w:rPr>
            <w:rFonts w:ascii="Palatino Linotype" w:eastAsia="Palatino Linotype" w:hAnsi="Palatino Linotype" w:cs="Palatino Linotype"/>
            <w:b/>
            <w:color w:val="000000"/>
            <w:sz w:val="22"/>
            <w:szCs w:val="22"/>
            <w:u w:val="single"/>
          </w:rPr>
          <w:t>SOL. 0648-ATIZ-ACUERDO.pdf</w:t>
        </w:r>
      </w:hyperlink>
      <w:r w:rsidR="00D8235A">
        <w:rPr>
          <w:rFonts w:ascii="Palatino Linotype" w:eastAsia="Palatino Linotype" w:hAnsi="Palatino Linotype" w:cs="Palatino Linotype"/>
          <w:color w:val="000000"/>
          <w:sz w:val="22"/>
          <w:szCs w:val="22"/>
        </w:rPr>
        <w:t xml:space="preserve">: Acuerdo-01 CT/XIII-E/15-12-2023 de la Décima Tercera Sesión Extraordinaria del Comité de Transparencia en el que se aprobó la versión pública de las autorizaciones de uso de suelo. </w:t>
      </w:r>
    </w:p>
    <w:p w14:paraId="760B532F" w14:textId="77777777" w:rsidR="00C25DAB" w:rsidRDefault="00C25DAB">
      <w:pPr>
        <w:pBdr>
          <w:top w:val="nil"/>
          <w:left w:val="nil"/>
          <w:bottom w:val="nil"/>
          <w:right w:val="nil"/>
          <w:between w:val="nil"/>
        </w:pBdr>
        <w:tabs>
          <w:tab w:val="left" w:pos="0"/>
        </w:tabs>
        <w:spacing w:line="360" w:lineRule="auto"/>
        <w:ind w:left="720" w:right="-734"/>
        <w:rPr>
          <w:rFonts w:ascii="Palatino Linotype" w:eastAsia="Palatino Linotype" w:hAnsi="Palatino Linotype" w:cs="Palatino Linotype"/>
          <w:color w:val="000000"/>
          <w:sz w:val="22"/>
          <w:szCs w:val="22"/>
        </w:rPr>
      </w:pPr>
    </w:p>
    <w:p w14:paraId="2B833B45" w14:textId="77777777" w:rsidR="00C25DAB" w:rsidRDefault="006465FE">
      <w:pPr>
        <w:numPr>
          <w:ilvl w:val="0"/>
          <w:numId w:val="8"/>
        </w:numPr>
        <w:pBdr>
          <w:top w:val="nil"/>
          <w:left w:val="nil"/>
          <w:bottom w:val="nil"/>
          <w:right w:val="nil"/>
          <w:between w:val="nil"/>
        </w:pBdr>
        <w:tabs>
          <w:tab w:val="left" w:pos="0"/>
        </w:tabs>
        <w:spacing w:line="360" w:lineRule="auto"/>
        <w:ind w:right="-734"/>
        <w:rPr>
          <w:rFonts w:ascii="Palatino Linotype" w:eastAsia="Palatino Linotype" w:hAnsi="Palatino Linotype" w:cs="Palatino Linotype"/>
          <w:color w:val="000000"/>
          <w:sz w:val="22"/>
          <w:szCs w:val="22"/>
        </w:rPr>
      </w:pPr>
      <w:hyperlink r:id="rId10">
        <w:r w:rsidR="00D8235A">
          <w:rPr>
            <w:rFonts w:ascii="Palatino Linotype" w:eastAsia="Palatino Linotype" w:hAnsi="Palatino Linotype" w:cs="Palatino Linotype"/>
            <w:b/>
            <w:color w:val="000000"/>
            <w:sz w:val="22"/>
            <w:szCs w:val="22"/>
            <w:u w:val="single"/>
          </w:rPr>
          <w:t>SOL. 0648-ATIZ-OFICIO.pdf</w:t>
        </w:r>
      </w:hyperlink>
      <w:r w:rsidR="00D8235A">
        <w:rPr>
          <w:rFonts w:ascii="Palatino Linotype" w:eastAsia="Palatino Linotype" w:hAnsi="Palatino Linotype" w:cs="Palatino Linotype"/>
          <w:color w:val="000000"/>
          <w:sz w:val="22"/>
          <w:szCs w:val="22"/>
        </w:rPr>
        <w:t xml:space="preserve">: oficio </w:t>
      </w:r>
      <w:proofErr w:type="spellStart"/>
      <w:r w:rsidR="00D8235A">
        <w:rPr>
          <w:rFonts w:ascii="Palatino Linotype" w:eastAsia="Palatino Linotype" w:hAnsi="Palatino Linotype" w:cs="Palatino Linotype"/>
          <w:color w:val="000000"/>
          <w:sz w:val="22"/>
          <w:szCs w:val="22"/>
        </w:rPr>
        <w:t>DGOTyDU</w:t>
      </w:r>
      <w:proofErr w:type="spellEnd"/>
      <w:r w:rsidR="00D8235A">
        <w:rPr>
          <w:rFonts w:ascii="Palatino Linotype" w:eastAsia="Palatino Linotype" w:hAnsi="Palatino Linotype" w:cs="Palatino Linotype"/>
          <w:color w:val="000000"/>
          <w:sz w:val="22"/>
          <w:szCs w:val="22"/>
        </w:rPr>
        <w:t xml:space="preserve">/4332/2023  de fecha dieciocho de diciembre de dos mil veintitrés, suscrito por el Director General de Ordenamiento Territorial y Desarrollo Urbano, en el que señaló que se adjunta el archivo con los cambio de usos de suelo número 2398/02/2022  y CUS/1049/2022 generados en la administración actual, así como el acuerdo de clasificación. </w:t>
      </w:r>
    </w:p>
    <w:p w14:paraId="64859005" w14:textId="77777777" w:rsidR="00C25DAB" w:rsidRDefault="00C25DAB">
      <w:pPr>
        <w:tabs>
          <w:tab w:val="left" w:pos="0"/>
        </w:tabs>
        <w:spacing w:line="360" w:lineRule="auto"/>
        <w:ind w:right="-734"/>
        <w:rPr>
          <w:rFonts w:ascii="Palatino Linotype" w:eastAsia="Palatino Linotype" w:hAnsi="Palatino Linotype" w:cs="Palatino Linotype"/>
        </w:rPr>
      </w:pPr>
    </w:p>
    <w:p w14:paraId="72F2F45E" w14:textId="77777777" w:rsidR="00C25DAB" w:rsidRDefault="00D8235A">
      <w:pPr>
        <w:numPr>
          <w:ilvl w:val="0"/>
          <w:numId w:val="7"/>
        </w:numPr>
        <w:pBdr>
          <w:top w:val="nil"/>
          <w:left w:val="nil"/>
          <w:bottom w:val="nil"/>
          <w:right w:val="nil"/>
          <w:between w:val="nil"/>
        </w:pBdr>
        <w:tabs>
          <w:tab w:val="left" w:pos="0"/>
        </w:tabs>
        <w:spacing w:line="360" w:lineRule="auto"/>
        <w:ind w:left="0" w:right="-734" w:firstLine="0"/>
        <w:jc w:val="both"/>
        <w:rPr>
          <w:rFonts w:ascii="Palatino Linotype" w:eastAsia="Palatino Linotype" w:hAnsi="Palatino Linotype" w:cs="Palatino Linotype"/>
          <w:b/>
          <w:color w:val="000000"/>
        </w:rPr>
      </w:pPr>
      <w:r>
        <w:rPr>
          <w:rFonts w:ascii="Palatino Linotype" w:eastAsia="Palatino Linotype" w:hAnsi="Palatino Linotype" w:cs="Palatino Linotype"/>
          <w:color w:val="000000"/>
        </w:rPr>
        <w:t>En lo sucesivo el once (11) de enero de dos mil veinticuatro</w:t>
      </w:r>
      <w:r>
        <w:rPr>
          <w:rFonts w:ascii="Palatino Linotype" w:eastAsia="Palatino Linotype" w:hAnsi="Palatino Linotype" w:cs="Palatino Linotype"/>
          <w:b/>
          <w:color w:val="000000"/>
        </w:rPr>
        <w:t>,</w:t>
      </w:r>
      <w:r>
        <w:rPr>
          <w:rFonts w:ascii="Palatino Linotype" w:eastAsia="Palatino Linotype" w:hAnsi="Palatino Linotype" w:cs="Palatino Linotype"/>
          <w:color w:val="000000"/>
        </w:rPr>
        <w:t xml:space="preserve"> </w:t>
      </w:r>
      <w:r>
        <w:rPr>
          <w:rFonts w:ascii="Palatino Linotype" w:eastAsia="Palatino Linotype" w:hAnsi="Palatino Linotype" w:cs="Palatino Linotype"/>
          <w:b/>
          <w:color w:val="000000"/>
        </w:rPr>
        <w:t xml:space="preserve"> </w:t>
      </w:r>
      <w:r>
        <w:rPr>
          <w:rFonts w:ascii="Palatino Linotype" w:eastAsia="Palatino Linotype" w:hAnsi="Palatino Linotype" w:cs="Palatino Linotype"/>
          <w:color w:val="000000"/>
        </w:rPr>
        <w:t>el solicitante interpuso el recurso de revisión, señalando como:</w:t>
      </w:r>
    </w:p>
    <w:p w14:paraId="6D95B135" w14:textId="77777777" w:rsidR="00C25DAB" w:rsidRDefault="00D8235A">
      <w:pPr>
        <w:numPr>
          <w:ilvl w:val="0"/>
          <w:numId w:val="6"/>
        </w:numPr>
        <w:tabs>
          <w:tab w:val="left" w:pos="851"/>
          <w:tab w:val="left" w:pos="8222"/>
        </w:tabs>
        <w:spacing w:line="360" w:lineRule="auto"/>
        <w:ind w:right="-734"/>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Acto impugnado:</w:t>
      </w:r>
      <w:r>
        <w:rPr>
          <w:rFonts w:ascii="Palatino Linotype" w:eastAsia="Palatino Linotype" w:hAnsi="Palatino Linotype" w:cs="Palatino Linotype"/>
          <w:i/>
          <w:sz w:val="22"/>
          <w:szCs w:val="22"/>
        </w:rPr>
        <w:t xml:space="preserve"> </w:t>
      </w:r>
      <w:r>
        <w:rPr>
          <w:rFonts w:ascii="Palatino Linotype" w:eastAsia="Palatino Linotype" w:hAnsi="Palatino Linotype" w:cs="Palatino Linotype"/>
          <w:sz w:val="22"/>
          <w:szCs w:val="22"/>
        </w:rPr>
        <w:t>“</w:t>
      </w:r>
      <w:r>
        <w:rPr>
          <w:rFonts w:ascii="Palatino Linotype" w:eastAsia="Palatino Linotype" w:hAnsi="Palatino Linotype" w:cs="Palatino Linotype"/>
          <w:i/>
          <w:color w:val="000000"/>
          <w:sz w:val="22"/>
          <w:szCs w:val="22"/>
        </w:rPr>
        <w:t>Respuesta”</w:t>
      </w:r>
      <w:r>
        <w:rPr>
          <w:rFonts w:ascii="Palatino Linotype" w:eastAsia="Palatino Linotype" w:hAnsi="Palatino Linotype" w:cs="Palatino Linotype"/>
          <w:i/>
          <w:sz w:val="22"/>
          <w:szCs w:val="22"/>
        </w:rPr>
        <w:t xml:space="preserve"> (Sic) </w:t>
      </w:r>
    </w:p>
    <w:p w14:paraId="22BC3039" w14:textId="77777777" w:rsidR="00C25DAB" w:rsidRDefault="00D8235A">
      <w:pPr>
        <w:numPr>
          <w:ilvl w:val="0"/>
          <w:numId w:val="6"/>
        </w:numPr>
        <w:tabs>
          <w:tab w:val="left" w:pos="851"/>
        </w:tabs>
        <w:spacing w:line="360" w:lineRule="auto"/>
        <w:ind w:right="257"/>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Razones o Motivos de inconformidad: “</w:t>
      </w:r>
      <w:r>
        <w:rPr>
          <w:rFonts w:ascii="Palatino Linotype" w:eastAsia="Palatino Linotype" w:hAnsi="Palatino Linotype" w:cs="Palatino Linotype"/>
          <w:i/>
          <w:sz w:val="22"/>
          <w:szCs w:val="22"/>
        </w:rPr>
        <w:t>Testan información que es pública y además al ser industrial/comercial deben ser transparentes, e incluso en el registro de la propiedad son datos que se pueden vislumbrar. Por lo que solicito el documento sin testar información que no es confidencial. Además su acuerdo carece de fundamento” (sic)</w:t>
      </w:r>
    </w:p>
    <w:p w14:paraId="2892B8D3" w14:textId="77777777" w:rsidR="00C25DAB" w:rsidRDefault="00C25DAB">
      <w:pPr>
        <w:tabs>
          <w:tab w:val="left" w:pos="851"/>
        </w:tabs>
        <w:spacing w:line="360" w:lineRule="auto"/>
        <w:ind w:right="-734"/>
        <w:jc w:val="both"/>
        <w:rPr>
          <w:rFonts w:ascii="Palatino Linotype" w:eastAsia="Palatino Linotype" w:hAnsi="Palatino Linotype" w:cs="Palatino Linotype"/>
          <w:i/>
        </w:rPr>
      </w:pPr>
    </w:p>
    <w:p w14:paraId="1FC94062" w14:textId="77777777" w:rsidR="00C25DAB" w:rsidRDefault="00D8235A">
      <w:pPr>
        <w:numPr>
          <w:ilvl w:val="0"/>
          <w:numId w:val="7"/>
        </w:numPr>
        <w:spacing w:line="360" w:lineRule="auto"/>
        <w:ind w:left="0" w:right="-734" w:firstLine="0"/>
        <w:jc w:val="both"/>
        <w:rPr>
          <w:color w:val="000000"/>
        </w:rPr>
      </w:pPr>
      <w:r>
        <w:rPr>
          <w:rFonts w:ascii="Palatino Linotype" w:eastAsia="Palatino Linotype" w:hAnsi="Palatino Linotype" w:cs="Palatino Linotype"/>
        </w:rPr>
        <w:t xml:space="preserve">Se registró el recurso de revisión bajo el número de expediente al rubro indicado, asimismo con fundamento en lo dispuesto por el artículo 185 fracción I de la Ley de </w:t>
      </w:r>
      <w:r>
        <w:rPr>
          <w:rFonts w:ascii="Palatino Linotype" w:eastAsia="Palatino Linotype" w:hAnsi="Palatino Linotype" w:cs="Palatino Linotype"/>
        </w:rPr>
        <w:lastRenderedPageBreak/>
        <w:t xml:space="preserve">Transparencia y Acceso a la Información Pública del Estado de México y Municipios se turna a la </w:t>
      </w:r>
      <w:r>
        <w:rPr>
          <w:rFonts w:ascii="Palatino Linotype" w:eastAsia="Palatino Linotype" w:hAnsi="Palatino Linotype" w:cs="Palatino Linotype"/>
          <w:b/>
        </w:rPr>
        <w:t>Comisionada María del Rosario Mejía Ayala,</w:t>
      </w:r>
      <w:r>
        <w:rPr>
          <w:rFonts w:ascii="Palatino Linotype" w:eastAsia="Palatino Linotype" w:hAnsi="Palatino Linotype" w:cs="Palatino Linotype"/>
        </w:rPr>
        <w:t xml:space="preserve"> para su análisis.</w:t>
      </w:r>
    </w:p>
    <w:p w14:paraId="06B7BF41" w14:textId="77777777" w:rsidR="00C25DAB" w:rsidRDefault="00C25DAB">
      <w:pPr>
        <w:spacing w:line="360" w:lineRule="auto"/>
        <w:ind w:left="360" w:right="-734"/>
        <w:jc w:val="both"/>
        <w:rPr>
          <w:rFonts w:ascii="Palatino Linotype" w:eastAsia="Palatino Linotype" w:hAnsi="Palatino Linotype" w:cs="Palatino Linotype"/>
        </w:rPr>
      </w:pPr>
    </w:p>
    <w:p w14:paraId="5230D74F" w14:textId="77777777" w:rsidR="00C25DAB" w:rsidRDefault="00D8235A">
      <w:pPr>
        <w:numPr>
          <w:ilvl w:val="0"/>
          <w:numId w:val="7"/>
        </w:numPr>
        <w:spacing w:line="360" w:lineRule="auto"/>
        <w:ind w:left="0" w:right="-734" w:firstLine="0"/>
        <w:jc w:val="both"/>
        <w:rPr>
          <w:color w:val="000000"/>
        </w:rPr>
      </w:pPr>
      <w:r>
        <w:rPr>
          <w:rFonts w:ascii="Palatino Linotype" w:eastAsia="Palatino Linotype" w:hAnsi="Palatino Linotype" w:cs="Palatino Linotype"/>
        </w:rPr>
        <w:t xml:space="preserve">La Comisionada Ponente con fundamento en lo dispuesto por el artículo 185 fracción II de la ley de la materia, a través del acuerdo de admisión del quince (15) de enero de dos mil veinticuatro, puso a disposición de las partes el expediente electrónico vía Sistema de Acceso a la Información Mexiquense </w:t>
      </w:r>
      <w:r>
        <w:rPr>
          <w:rFonts w:ascii="Palatino Linotype" w:eastAsia="Palatino Linotype" w:hAnsi="Palatino Linotype" w:cs="Palatino Linotype"/>
          <w:b/>
        </w:rPr>
        <w:t xml:space="preserve">(SAIMEX) </w:t>
      </w:r>
      <w:r>
        <w:rPr>
          <w:rFonts w:ascii="Palatino Linotype" w:eastAsia="Palatino Linotype" w:hAnsi="Palatino Linotype" w:cs="Palatino Linotype"/>
        </w:rPr>
        <w:t xml:space="preserve">a efecto de que en un plazo máximo de siete días manifestara lo que a derecho conviniera, ofreciera pruebas y alegatos según corresponda al caso concreto, de esta forma para que 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presentará el Informe Justificado procedente.  </w:t>
      </w:r>
    </w:p>
    <w:p w14:paraId="36C0E278" w14:textId="77777777" w:rsidR="00C25DAB" w:rsidRDefault="00C25DAB">
      <w:pPr>
        <w:spacing w:line="360" w:lineRule="auto"/>
        <w:ind w:right="-734"/>
        <w:jc w:val="both"/>
        <w:rPr>
          <w:rFonts w:ascii="Palatino Linotype" w:eastAsia="Palatino Linotype" w:hAnsi="Palatino Linotype" w:cs="Palatino Linotype"/>
          <w:i/>
          <w:color w:val="000000"/>
        </w:rPr>
      </w:pPr>
    </w:p>
    <w:p w14:paraId="20BCD73C" w14:textId="77777777" w:rsidR="00C25DAB" w:rsidRDefault="00D8235A">
      <w:pPr>
        <w:numPr>
          <w:ilvl w:val="0"/>
          <w:numId w:val="7"/>
        </w:numPr>
        <w:spacing w:line="360" w:lineRule="auto"/>
        <w:ind w:left="0" w:right="-734" w:firstLine="0"/>
        <w:jc w:val="both"/>
        <w:rPr>
          <w:rFonts w:ascii="Palatino Linotype" w:eastAsia="Palatino Linotype" w:hAnsi="Palatino Linotype" w:cs="Palatino Linotype"/>
          <w:b/>
        </w:rPr>
      </w:pPr>
      <w:r>
        <w:rPr>
          <w:rFonts w:ascii="Palatino Linotype" w:eastAsia="Palatino Linotype" w:hAnsi="Palatino Linotype" w:cs="Palatino Linotype"/>
        </w:rPr>
        <w:t>De las constancias que obran en el expediente electrónico SAIMEX, se advierte que el particular no realizó manifestaciones, ni ofreció pruebas o alegatos que a su derecho conviniera; por su parte, el Sujeto Obligado remitió informe justificado el veinticinco (25) de enero de dos mil veinticuatro, el cual fue puesto a la vista del particular el veintiséis (26) de septiembre de dos mil veinticuatro, y que consta de los archivos que se describen enseguida:</w:t>
      </w:r>
    </w:p>
    <w:p w14:paraId="0799D0C6" w14:textId="77777777" w:rsidR="00C25DAB" w:rsidRDefault="006465FE">
      <w:pPr>
        <w:numPr>
          <w:ilvl w:val="0"/>
          <w:numId w:val="1"/>
        </w:numPr>
        <w:pBdr>
          <w:top w:val="nil"/>
          <w:left w:val="nil"/>
          <w:bottom w:val="nil"/>
          <w:right w:val="nil"/>
          <w:between w:val="nil"/>
        </w:pBdr>
        <w:spacing w:line="360" w:lineRule="auto"/>
        <w:ind w:right="-734"/>
        <w:jc w:val="both"/>
        <w:rPr>
          <w:rFonts w:ascii="Palatino Linotype" w:eastAsia="Palatino Linotype" w:hAnsi="Palatino Linotype" w:cs="Palatino Linotype"/>
          <w:color w:val="000000"/>
          <w:sz w:val="22"/>
          <w:szCs w:val="22"/>
        </w:rPr>
      </w:pPr>
      <w:hyperlink r:id="rId11">
        <w:r w:rsidR="00D8235A">
          <w:rPr>
            <w:rFonts w:ascii="Palatino Linotype" w:eastAsia="Palatino Linotype" w:hAnsi="Palatino Linotype" w:cs="Palatino Linotype"/>
            <w:b/>
            <w:color w:val="000000"/>
            <w:sz w:val="22"/>
            <w:szCs w:val="22"/>
            <w:u w:val="single"/>
          </w:rPr>
          <w:t>20240125134439845.pdf</w:t>
        </w:r>
      </w:hyperlink>
      <w:r w:rsidR="00D8235A">
        <w:rPr>
          <w:rFonts w:ascii="Palatino Linotype" w:eastAsia="Palatino Linotype" w:hAnsi="Palatino Linotype" w:cs="Palatino Linotype"/>
          <w:color w:val="000000"/>
          <w:sz w:val="22"/>
          <w:szCs w:val="22"/>
        </w:rPr>
        <w:t xml:space="preserve">: oficio </w:t>
      </w:r>
      <w:proofErr w:type="spellStart"/>
      <w:r w:rsidR="00D8235A">
        <w:rPr>
          <w:rFonts w:ascii="Palatino Linotype" w:eastAsia="Palatino Linotype" w:hAnsi="Palatino Linotype" w:cs="Palatino Linotype"/>
          <w:color w:val="000000"/>
          <w:sz w:val="22"/>
          <w:szCs w:val="22"/>
        </w:rPr>
        <w:t>DGOTyDU</w:t>
      </w:r>
      <w:proofErr w:type="spellEnd"/>
      <w:r w:rsidR="00D8235A">
        <w:rPr>
          <w:rFonts w:ascii="Palatino Linotype" w:eastAsia="Palatino Linotype" w:hAnsi="Palatino Linotype" w:cs="Palatino Linotype"/>
          <w:color w:val="000000"/>
          <w:sz w:val="22"/>
          <w:szCs w:val="22"/>
        </w:rPr>
        <w:t xml:space="preserve">/99/2024 de fecha quince de enero de dos mil veinticuatro, suscrito por el Director General de Ordenamiento Territorial  y Desarrollo Urbano, a través del que ratificó su respuesta. </w:t>
      </w:r>
    </w:p>
    <w:p w14:paraId="32EAE358" w14:textId="77777777" w:rsidR="00C25DAB" w:rsidRDefault="006465FE">
      <w:pPr>
        <w:numPr>
          <w:ilvl w:val="0"/>
          <w:numId w:val="1"/>
        </w:numPr>
        <w:pBdr>
          <w:top w:val="nil"/>
          <w:left w:val="nil"/>
          <w:bottom w:val="nil"/>
          <w:right w:val="nil"/>
          <w:between w:val="nil"/>
        </w:pBdr>
        <w:spacing w:line="360" w:lineRule="auto"/>
        <w:ind w:right="-734"/>
        <w:jc w:val="both"/>
        <w:rPr>
          <w:rFonts w:ascii="Palatino Linotype" w:eastAsia="Palatino Linotype" w:hAnsi="Palatino Linotype" w:cs="Palatino Linotype"/>
          <w:color w:val="000000"/>
          <w:sz w:val="22"/>
          <w:szCs w:val="22"/>
        </w:rPr>
      </w:pPr>
      <w:hyperlink r:id="rId12">
        <w:r w:rsidR="00D8235A">
          <w:rPr>
            <w:rFonts w:ascii="Palatino Linotype" w:eastAsia="Palatino Linotype" w:hAnsi="Palatino Linotype" w:cs="Palatino Linotype"/>
            <w:b/>
            <w:color w:val="000000"/>
            <w:sz w:val="22"/>
            <w:szCs w:val="22"/>
            <w:u w:val="single"/>
          </w:rPr>
          <w:t>20240125134450603.pdf</w:t>
        </w:r>
      </w:hyperlink>
      <w:r w:rsidR="00D8235A">
        <w:rPr>
          <w:rFonts w:ascii="Palatino Linotype" w:eastAsia="Palatino Linotype" w:hAnsi="Palatino Linotype" w:cs="Palatino Linotype"/>
          <w:color w:val="000000"/>
          <w:sz w:val="22"/>
          <w:szCs w:val="22"/>
        </w:rPr>
        <w:t xml:space="preserve">: oficio PMA/UTI/88/2023 de fecha once de enero de dos mil veinticuatro, suscrito por el Titular de la Unidad de Transparencia y dirigido al Director General de Ordenamiento Territorial y Desarrollo Urbano, en el que realizó requerimiento de información. </w:t>
      </w:r>
    </w:p>
    <w:p w14:paraId="78206F45" w14:textId="77777777" w:rsidR="00C25DAB" w:rsidRDefault="00D8235A">
      <w:pPr>
        <w:numPr>
          <w:ilvl w:val="0"/>
          <w:numId w:val="7"/>
        </w:numPr>
        <w:spacing w:line="360" w:lineRule="auto"/>
        <w:ind w:left="0" w:right="-734" w:firstLine="0"/>
        <w:jc w:val="both"/>
      </w:pPr>
      <w:r>
        <w:rPr>
          <w:rFonts w:ascii="Palatino Linotype" w:eastAsia="Palatino Linotype" w:hAnsi="Palatino Linotype" w:cs="Palatino Linotype"/>
        </w:rPr>
        <w:lastRenderedPageBreak/>
        <w:t xml:space="preserve">El catorce (14) de marzo de dos mil veintitrés, se notificó el acuerdo a través del cual se notificó la ampliación de plazo para emitir resolución. </w:t>
      </w:r>
    </w:p>
    <w:p w14:paraId="0F59B523" w14:textId="77777777" w:rsidR="00C25DAB" w:rsidRDefault="00C25DAB">
      <w:pPr>
        <w:spacing w:line="360" w:lineRule="auto"/>
        <w:ind w:left="360" w:right="-734"/>
        <w:jc w:val="both"/>
        <w:rPr>
          <w:rFonts w:ascii="Palatino Linotype" w:eastAsia="Palatino Linotype" w:hAnsi="Palatino Linotype" w:cs="Palatino Linotype"/>
        </w:rPr>
      </w:pPr>
    </w:p>
    <w:p w14:paraId="7F86B7FC" w14:textId="77777777" w:rsidR="00C25DAB" w:rsidRDefault="00D8235A">
      <w:pPr>
        <w:numPr>
          <w:ilvl w:val="0"/>
          <w:numId w:val="7"/>
        </w:numPr>
        <w:spacing w:line="360" w:lineRule="auto"/>
        <w:ind w:left="0" w:right="-734" w:firstLine="0"/>
        <w:jc w:val="both"/>
      </w:pPr>
      <w:r>
        <w:rPr>
          <w:rFonts w:ascii="Palatino Linotype" w:eastAsia="Palatino Linotype" w:hAnsi="Palatino Linotype" w:cs="Palatino Linotype"/>
        </w:rPr>
        <w:t>Este organismo garante no pasa por alto justificar, que la dilación en la resolución del presente asunto encuentra justificación en el alto número de recursos de revisión recibidos dentro del primer semestre del año dos mil veintidós, que, en comparación con los recibidos el año pasado dentro del mismo periodo, se ha incrementado aproximadamente un 400% el número de medios de impugnación que deben resolverse por este Instituto, circunstancia atípica que ha rebasado las capacidades técnicas y humanas del personal encargado de la proyección de las resoluciones a dichos medios de impugnación.</w:t>
      </w:r>
    </w:p>
    <w:p w14:paraId="6E4D2831" w14:textId="77777777" w:rsidR="00C25DAB" w:rsidRDefault="00C25DAB">
      <w:pPr>
        <w:spacing w:line="360" w:lineRule="auto"/>
        <w:ind w:right="-734"/>
        <w:jc w:val="both"/>
        <w:rPr>
          <w:rFonts w:ascii="Palatino Linotype" w:eastAsia="Palatino Linotype" w:hAnsi="Palatino Linotype" w:cs="Palatino Linotype"/>
        </w:rPr>
      </w:pPr>
    </w:p>
    <w:p w14:paraId="210BE480" w14:textId="77777777" w:rsidR="00C25DAB" w:rsidRDefault="00D8235A">
      <w:pPr>
        <w:numPr>
          <w:ilvl w:val="0"/>
          <w:numId w:val="7"/>
        </w:numPr>
        <w:spacing w:line="360" w:lineRule="auto"/>
        <w:ind w:left="0" w:right="-734" w:firstLine="0"/>
        <w:jc w:val="both"/>
      </w:pPr>
      <w:r>
        <w:rPr>
          <w:rFonts w:ascii="Palatino Linotype" w:eastAsia="Palatino Linotype" w:hAnsi="Palatino Linotype" w:cs="Palatino Linotype"/>
        </w:rPr>
        <w:t>Por ello, es menester precisar que si bien se ha excedido el plazo para resolver el presente medio de impugnación, de conformidad con la ley de la materia, dicha dilación es de carácter excepcional y se encuentra justificada en los elementos para medir la razonabilidad del plazo de resolución de asuntos conforme a los parámetros establecidos por diversos órganos jurisdiccionales federales, aplicables también en procedimientos análogos, como el que nos ocupa.</w:t>
      </w:r>
    </w:p>
    <w:p w14:paraId="6049D059" w14:textId="77777777" w:rsidR="00C25DAB" w:rsidRDefault="00C25DAB">
      <w:pPr>
        <w:pBdr>
          <w:top w:val="nil"/>
          <w:left w:val="nil"/>
          <w:bottom w:val="nil"/>
          <w:right w:val="nil"/>
          <w:between w:val="nil"/>
        </w:pBdr>
        <w:ind w:left="720" w:right="-734"/>
        <w:rPr>
          <w:rFonts w:ascii="Palatino Linotype" w:eastAsia="Palatino Linotype" w:hAnsi="Palatino Linotype" w:cs="Palatino Linotype"/>
          <w:color w:val="000000"/>
        </w:rPr>
      </w:pPr>
    </w:p>
    <w:p w14:paraId="0ACADBF9" w14:textId="77777777" w:rsidR="00C25DAB" w:rsidRDefault="00D8235A">
      <w:pPr>
        <w:numPr>
          <w:ilvl w:val="0"/>
          <w:numId w:val="7"/>
        </w:numPr>
        <w:spacing w:line="360" w:lineRule="auto"/>
        <w:ind w:left="0" w:right="-734" w:firstLine="0"/>
        <w:jc w:val="both"/>
      </w:pPr>
      <w:r>
        <w:rPr>
          <w:rFonts w:ascii="Palatino Linotype" w:eastAsia="Palatino Linotype" w:hAnsi="Palatino Linotype" w:cs="Palatino Linotype"/>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236599AE" w14:textId="77777777" w:rsidR="00C25DAB" w:rsidRDefault="00C25DAB">
      <w:pPr>
        <w:pBdr>
          <w:top w:val="nil"/>
          <w:left w:val="nil"/>
          <w:bottom w:val="nil"/>
          <w:right w:val="nil"/>
          <w:between w:val="nil"/>
        </w:pBdr>
        <w:ind w:left="720" w:right="-734"/>
        <w:rPr>
          <w:rFonts w:ascii="Palatino Linotype" w:eastAsia="Palatino Linotype" w:hAnsi="Palatino Linotype" w:cs="Palatino Linotype"/>
          <w:color w:val="000000"/>
        </w:rPr>
      </w:pPr>
    </w:p>
    <w:p w14:paraId="0BC560DC" w14:textId="77777777" w:rsidR="00C25DAB" w:rsidRDefault="00D8235A">
      <w:pPr>
        <w:numPr>
          <w:ilvl w:val="0"/>
          <w:numId w:val="7"/>
        </w:numPr>
        <w:spacing w:line="360" w:lineRule="auto"/>
        <w:ind w:left="0" w:right="-734" w:firstLine="0"/>
        <w:jc w:val="both"/>
      </w:pPr>
      <w:r>
        <w:rPr>
          <w:rFonts w:ascii="Palatino Linotype" w:eastAsia="Palatino Linotype" w:hAnsi="Palatino Linotype" w:cs="Palatino Linotype"/>
        </w:rPr>
        <w:t xml:space="preserve">En ese sentido, el legislador fijó los términos procesales en las leyes, de manera general, sin que pudiera prever la variada gama de casos que son resueltos por los órganos </w:t>
      </w:r>
      <w:r>
        <w:rPr>
          <w:rFonts w:ascii="Palatino Linotype" w:eastAsia="Palatino Linotype" w:hAnsi="Palatino Linotype" w:cs="Palatino Linotype"/>
        </w:rPr>
        <w:lastRenderedPageBreak/>
        <w:t xml:space="preserve">jurisdiccionales o cuasi jurisdiccionales, tanto por la complejidad de los hechos, como por el número de casos que conocen. </w:t>
      </w:r>
    </w:p>
    <w:p w14:paraId="2E2197B0" w14:textId="77777777" w:rsidR="00C25DAB" w:rsidRDefault="00C25DAB">
      <w:pPr>
        <w:pBdr>
          <w:top w:val="nil"/>
          <w:left w:val="nil"/>
          <w:bottom w:val="nil"/>
          <w:right w:val="nil"/>
          <w:between w:val="nil"/>
        </w:pBdr>
        <w:ind w:left="720" w:right="-734"/>
        <w:rPr>
          <w:rFonts w:ascii="Palatino Linotype" w:eastAsia="Palatino Linotype" w:hAnsi="Palatino Linotype" w:cs="Palatino Linotype"/>
          <w:color w:val="000000"/>
        </w:rPr>
      </w:pPr>
    </w:p>
    <w:p w14:paraId="59C50484" w14:textId="77777777" w:rsidR="00C25DAB" w:rsidRDefault="00D8235A">
      <w:pPr>
        <w:numPr>
          <w:ilvl w:val="0"/>
          <w:numId w:val="7"/>
        </w:numPr>
        <w:spacing w:line="360" w:lineRule="auto"/>
        <w:ind w:left="0" w:right="-734" w:firstLine="0"/>
        <w:jc w:val="both"/>
      </w:pPr>
      <w:r>
        <w:rPr>
          <w:rFonts w:ascii="Palatino Linotype" w:eastAsia="Palatino Linotype" w:hAnsi="Palatino Linotype" w:cs="Palatino Linotype"/>
        </w:rPr>
        <w:t xml:space="preserve">Por ello, excepcionalmente, si un asunto es resuelto con posterioridad a los plazos señalados por la norma debe analizarse la razonabilidad de dicha dilación atendiendo a los siguientes criterios:   </w:t>
      </w:r>
    </w:p>
    <w:p w14:paraId="764B2407" w14:textId="77777777" w:rsidR="00C25DAB" w:rsidRDefault="00D8235A">
      <w:pPr>
        <w:numPr>
          <w:ilvl w:val="0"/>
          <w:numId w:val="2"/>
        </w:numPr>
        <w:pBdr>
          <w:top w:val="nil"/>
          <w:left w:val="nil"/>
          <w:bottom w:val="nil"/>
          <w:right w:val="nil"/>
          <w:between w:val="nil"/>
        </w:pBdr>
        <w:spacing w:line="360" w:lineRule="auto"/>
        <w:ind w:right="257"/>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Complejidad del </w:t>
      </w:r>
      <w:r>
        <w:rPr>
          <w:rFonts w:ascii="Palatino Linotype" w:eastAsia="Palatino Linotype" w:hAnsi="Palatino Linotype" w:cs="Palatino Linotype"/>
          <w:sz w:val="22"/>
          <w:szCs w:val="22"/>
        </w:rPr>
        <w:t>asunto</w:t>
      </w:r>
      <w:r>
        <w:rPr>
          <w:rFonts w:ascii="Palatino Linotype" w:eastAsia="Palatino Linotype" w:hAnsi="Palatino Linotype" w:cs="Palatino Linotype"/>
          <w:color w:val="000000"/>
          <w:sz w:val="22"/>
          <w:szCs w:val="22"/>
        </w:rPr>
        <w:t xml:space="preserve">: La complejidad de la prueba, la pluralidad de sujetos procesales, el tiempo transcurrido, las características y contexto del recurso. </w:t>
      </w:r>
    </w:p>
    <w:p w14:paraId="3BB205D9" w14:textId="77777777" w:rsidR="00C25DAB" w:rsidRDefault="00D8235A">
      <w:pPr>
        <w:numPr>
          <w:ilvl w:val="0"/>
          <w:numId w:val="2"/>
        </w:numPr>
        <w:pBdr>
          <w:top w:val="nil"/>
          <w:left w:val="nil"/>
          <w:bottom w:val="nil"/>
          <w:right w:val="nil"/>
          <w:between w:val="nil"/>
        </w:pBdr>
        <w:spacing w:line="360" w:lineRule="auto"/>
        <w:ind w:right="257"/>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Actividad Procesal del interesado. Acciones u omisiones del interesado.</w:t>
      </w:r>
    </w:p>
    <w:p w14:paraId="37971F7D" w14:textId="77777777" w:rsidR="00C25DAB" w:rsidRDefault="00D8235A">
      <w:pPr>
        <w:numPr>
          <w:ilvl w:val="0"/>
          <w:numId w:val="2"/>
        </w:numPr>
        <w:pBdr>
          <w:top w:val="nil"/>
          <w:left w:val="nil"/>
          <w:bottom w:val="nil"/>
          <w:right w:val="nil"/>
          <w:between w:val="nil"/>
        </w:pBdr>
        <w:spacing w:line="360" w:lineRule="auto"/>
        <w:ind w:right="257"/>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Conducta de la Autoridad: Las Acciones u omisiones realizadas en el procedimiento. Así como si la autoridad actuó con la debida diligencia.</w:t>
      </w:r>
    </w:p>
    <w:p w14:paraId="3B9FC717" w14:textId="77777777" w:rsidR="00C25DAB" w:rsidRDefault="00D8235A">
      <w:pPr>
        <w:spacing w:line="360" w:lineRule="auto"/>
        <w:ind w:left="567" w:right="257"/>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d) La afectación generada en la situación jurídica de la persona involucrada en el proceso: Violación a sus derechos humanos.</w:t>
      </w:r>
    </w:p>
    <w:p w14:paraId="7BA59E89" w14:textId="77777777" w:rsidR="00C25DAB" w:rsidRDefault="00C25DAB">
      <w:pPr>
        <w:spacing w:line="360" w:lineRule="auto"/>
        <w:ind w:right="-734"/>
        <w:rPr>
          <w:rFonts w:ascii="Palatino Linotype" w:eastAsia="Palatino Linotype" w:hAnsi="Palatino Linotype" w:cs="Palatino Linotype"/>
        </w:rPr>
      </w:pPr>
    </w:p>
    <w:p w14:paraId="1BBFDE2A" w14:textId="77777777" w:rsidR="00C25DAB" w:rsidRDefault="00D8235A">
      <w:pPr>
        <w:numPr>
          <w:ilvl w:val="0"/>
          <w:numId w:val="7"/>
        </w:numPr>
        <w:pBdr>
          <w:top w:val="nil"/>
          <w:left w:val="nil"/>
          <w:bottom w:val="nil"/>
          <w:right w:val="nil"/>
          <w:between w:val="nil"/>
        </w:pBdr>
        <w:spacing w:line="360" w:lineRule="auto"/>
        <w:ind w:left="0" w:right="-734" w:firstLine="0"/>
        <w:jc w:val="both"/>
        <w:rPr>
          <w:rFonts w:ascii="Palatino Linotype" w:eastAsia="Palatino Linotype" w:hAnsi="Palatino Linotype" w:cs="Palatino Linotype"/>
          <w:b/>
          <w:color w:val="000000"/>
        </w:rPr>
      </w:pPr>
      <w:r>
        <w:rPr>
          <w:rFonts w:ascii="Palatino Linotype" w:eastAsia="Palatino Linotype" w:hAnsi="Palatino Linotype" w:cs="Palatino Linotype"/>
          <w:color w:val="000000"/>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2ABAB66B" w14:textId="77777777" w:rsidR="00C25DAB" w:rsidRDefault="00C25DAB">
      <w:pPr>
        <w:spacing w:line="360" w:lineRule="auto"/>
        <w:ind w:right="-734"/>
        <w:jc w:val="both"/>
        <w:rPr>
          <w:rFonts w:ascii="Palatino Linotype" w:eastAsia="Palatino Linotype" w:hAnsi="Palatino Linotype" w:cs="Palatino Linotype"/>
          <w:b/>
        </w:rPr>
      </w:pPr>
    </w:p>
    <w:p w14:paraId="57F4F372" w14:textId="77777777" w:rsidR="00C25DAB" w:rsidRDefault="00D8235A">
      <w:pPr>
        <w:numPr>
          <w:ilvl w:val="0"/>
          <w:numId w:val="7"/>
        </w:numPr>
        <w:spacing w:line="360" w:lineRule="auto"/>
        <w:ind w:left="0" w:right="-734" w:firstLine="0"/>
        <w:jc w:val="both"/>
        <w:rPr>
          <w:rFonts w:ascii="Palatino Linotype" w:eastAsia="Palatino Linotype" w:hAnsi="Palatino Linotype" w:cs="Palatino Linotype"/>
          <w:b/>
        </w:rPr>
      </w:pPr>
      <w:r>
        <w:rPr>
          <w:rFonts w:ascii="Palatino Linotype" w:eastAsia="Palatino Linotype" w:hAnsi="Palatino Linotype" w:cs="Palatino Linotype"/>
        </w:rPr>
        <w:t xml:space="preserve">Argumento que encuentra sustento en la jurisprudencia P./J. 32/92 emitida por el Pleno de la Suprema Corte de Justicia de la Nación del rubro </w:t>
      </w:r>
      <w:r>
        <w:rPr>
          <w:rFonts w:ascii="Palatino Linotype" w:eastAsia="Palatino Linotype" w:hAnsi="Palatino Linotype" w:cs="Palatino Linotype"/>
          <w:i/>
        </w:rPr>
        <w:t xml:space="preserve">“TÉRMINOS PROCESALES. PARA DETERMINAR SI UN FUNCIONARIO JUDICIAL ACTUÓ INDEBIDAMENTE POR NO RESPETARLOS SE DEBE ATENDER AL PRESUPUESTO QUE CONSIDERÓ EL </w:t>
      </w:r>
      <w:r>
        <w:rPr>
          <w:rFonts w:ascii="Palatino Linotype" w:eastAsia="Palatino Linotype" w:hAnsi="Palatino Linotype" w:cs="Palatino Linotype"/>
          <w:i/>
        </w:rPr>
        <w:lastRenderedPageBreak/>
        <w:t>LEGISLADOR AL FIJARLOS Y LAS CARACTERÍSTICAS DEL CASO.”</w:t>
      </w:r>
      <w:r>
        <w:rPr>
          <w:rFonts w:ascii="Palatino Linotype" w:eastAsia="Palatino Linotype" w:hAnsi="Palatino Linotype" w:cs="Palatino Linotype"/>
        </w:rPr>
        <w:t>, visible en la Gaceta del Semanario Judicial de la Federación con el registro digital 205635.</w:t>
      </w:r>
    </w:p>
    <w:p w14:paraId="6B2C4EAD" w14:textId="77777777" w:rsidR="00C25DAB" w:rsidRDefault="00C25DAB">
      <w:pPr>
        <w:spacing w:line="360" w:lineRule="auto"/>
        <w:ind w:right="-734"/>
        <w:rPr>
          <w:rFonts w:ascii="Palatino Linotype" w:eastAsia="Palatino Linotype" w:hAnsi="Palatino Linotype" w:cs="Palatino Linotype"/>
        </w:rPr>
      </w:pPr>
    </w:p>
    <w:p w14:paraId="1DD34321" w14:textId="77777777" w:rsidR="00C25DAB" w:rsidRDefault="00D8235A">
      <w:pPr>
        <w:numPr>
          <w:ilvl w:val="0"/>
          <w:numId w:val="7"/>
        </w:numPr>
        <w:spacing w:line="360" w:lineRule="auto"/>
        <w:ind w:left="0" w:right="-734" w:firstLine="0"/>
        <w:jc w:val="both"/>
        <w:rPr>
          <w:rFonts w:ascii="Palatino Linotype" w:eastAsia="Palatino Linotype" w:hAnsi="Palatino Linotype" w:cs="Palatino Linotype"/>
          <w:b/>
        </w:rPr>
      </w:pPr>
      <w:r>
        <w:rPr>
          <w:rFonts w:ascii="Palatino Linotype" w:eastAsia="Palatino Linotype" w:hAnsi="Palatino Linotype" w:cs="Palatino Linotype"/>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4CC2FB44" w14:textId="77777777" w:rsidR="00C25DAB" w:rsidRDefault="00C25DAB">
      <w:pPr>
        <w:spacing w:line="360" w:lineRule="auto"/>
        <w:ind w:right="-734"/>
        <w:rPr>
          <w:rFonts w:ascii="Palatino Linotype" w:eastAsia="Palatino Linotype" w:hAnsi="Palatino Linotype" w:cs="Palatino Linotype"/>
        </w:rPr>
      </w:pPr>
    </w:p>
    <w:p w14:paraId="6F2E34F8" w14:textId="77777777" w:rsidR="00C25DAB" w:rsidRDefault="00D8235A">
      <w:pPr>
        <w:numPr>
          <w:ilvl w:val="0"/>
          <w:numId w:val="7"/>
        </w:numPr>
        <w:spacing w:line="360" w:lineRule="auto"/>
        <w:ind w:left="0" w:right="-734" w:firstLine="0"/>
        <w:jc w:val="both"/>
        <w:rPr>
          <w:rFonts w:ascii="Palatino Linotype" w:eastAsia="Palatino Linotype" w:hAnsi="Palatino Linotype" w:cs="Palatino Linotype"/>
          <w:b/>
        </w:rPr>
      </w:pPr>
      <w:r>
        <w:rPr>
          <w:rFonts w:ascii="Palatino Linotype" w:eastAsia="Palatino Linotype" w:hAnsi="Palatino Linotype" w:cs="Palatino Linotype"/>
        </w:rPr>
        <w:t>Por ello, este organismo garante comprometido con la tutela de los derechos humanos confiados, señala que este exceso del plazo legal para resolver el presente asunto, resulta de carácter excepcional.</w:t>
      </w:r>
    </w:p>
    <w:p w14:paraId="5AB3030E" w14:textId="77777777" w:rsidR="00C25DAB" w:rsidRDefault="00C25DAB">
      <w:pPr>
        <w:spacing w:line="360" w:lineRule="auto"/>
        <w:ind w:right="-734"/>
        <w:rPr>
          <w:rFonts w:ascii="Palatino Linotype" w:eastAsia="Palatino Linotype" w:hAnsi="Palatino Linotype" w:cs="Palatino Linotype"/>
        </w:rPr>
      </w:pPr>
    </w:p>
    <w:p w14:paraId="20891EC2" w14:textId="77777777" w:rsidR="00C25DAB" w:rsidRDefault="00D8235A">
      <w:pPr>
        <w:numPr>
          <w:ilvl w:val="0"/>
          <w:numId w:val="7"/>
        </w:numPr>
        <w:spacing w:line="360" w:lineRule="auto"/>
        <w:ind w:left="0" w:right="-734" w:firstLine="0"/>
        <w:jc w:val="both"/>
        <w:rPr>
          <w:rFonts w:ascii="Palatino Linotype" w:eastAsia="Palatino Linotype" w:hAnsi="Palatino Linotype" w:cs="Palatino Linotype"/>
          <w:b/>
        </w:rPr>
      </w:pPr>
      <w:r>
        <w:rPr>
          <w:rFonts w:ascii="Palatino Linotype" w:eastAsia="Palatino Linotype" w:hAnsi="Palatino Linotype" w:cs="Palatino Linotype"/>
        </w:rPr>
        <w:t>Al respecto, también son de considerar los criterios sostenidos por el Cuarto Tribunal Colegiado en Materia Administrativa del Primer Circuito, cuyos rubros y datos de identificación son los siguientes:</w:t>
      </w:r>
    </w:p>
    <w:p w14:paraId="476DB6D1" w14:textId="77777777" w:rsidR="00C25DAB" w:rsidRDefault="00C25DAB">
      <w:pPr>
        <w:spacing w:line="360" w:lineRule="auto"/>
        <w:ind w:right="-734"/>
        <w:jc w:val="both"/>
        <w:rPr>
          <w:rFonts w:ascii="Palatino Linotype" w:eastAsia="Palatino Linotype" w:hAnsi="Palatino Linotype" w:cs="Palatino Linotype"/>
        </w:rPr>
      </w:pPr>
    </w:p>
    <w:p w14:paraId="570B4E8F" w14:textId="77777777" w:rsidR="00C25DAB" w:rsidRDefault="00D8235A">
      <w:pPr>
        <w:spacing w:line="360" w:lineRule="auto"/>
        <w:ind w:left="851" w:right="115"/>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 </w:t>
      </w:r>
      <w:r>
        <w:rPr>
          <w:rFonts w:ascii="Palatino Linotype" w:eastAsia="Palatino Linotype" w:hAnsi="Palatino Linotype" w:cs="Palatino Linotype"/>
          <w:i/>
          <w:sz w:val="22"/>
          <w:szCs w:val="22"/>
        </w:rPr>
        <w:t>“PLAZO RAZONABLE PARA RESOLVER. DIMENSIÓN Y EFECTOS DE ESTE CONCEPTO CUANDO SE ADUCE EXCESIVA CARGA DE TRABAJO.”</w:t>
      </w:r>
      <w:r>
        <w:rPr>
          <w:rFonts w:ascii="Palatino Linotype" w:eastAsia="Palatino Linotype" w:hAnsi="Palatino Linotype" w:cs="Palatino Linotype"/>
          <w:sz w:val="22"/>
          <w:szCs w:val="22"/>
        </w:rPr>
        <w:t xml:space="preserve"> consultable en el Semanario Judicial de la Federación y su gaceta, con el registro digital 2002351.</w:t>
      </w:r>
    </w:p>
    <w:p w14:paraId="67D1AD99" w14:textId="77777777" w:rsidR="00C25DAB" w:rsidRDefault="00C25DAB">
      <w:pPr>
        <w:spacing w:line="360" w:lineRule="auto"/>
        <w:ind w:left="851" w:right="115"/>
        <w:jc w:val="both"/>
        <w:rPr>
          <w:rFonts w:ascii="Palatino Linotype" w:eastAsia="Palatino Linotype" w:hAnsi="Palatino Linotype" w:cs="Palatino Linotype"/>
          <w:b/>
          <w:sz w:val="22"/>
          <w:szCs w:val="22"/>
        </w:rPr>
      </w:pPr>
    </w:p>
    <w:p w14:paraId="71FDA4C4" w14:textId="77777777" w:rsidR="00C25DAB" w:rsidRDefault="00D8235A">
      <w:pPr>
        <w:spacing w:line="360" w:lineRule="auto"/>
        <w:ind w:left="851" w:right="115"/>
        <w:jc w:val="both"/>
        <w:rPr>
          <w:rFonts w:ascii="Palatino Linotype" w:eastAsia="Palatino Linotype" w:hAnsi="Palatino Linotype" w:cs="Palatino Linotype"/>
          <w:sz w:val="22"/>
          <w:szCs w:val="22"/>
        </w:rPr>
      </w:pPr>
      <w:r>
        <w:rPr>
          <w:rFonts w:ascii="Palatino Linotype" w:eastAsia="Palatino Linotype" w:hAnsi="Palatino Linotype" w:cs="Palatino Linotype"/>
          <w:i/>
          <w:sz w:val="22"/>
          <w:szCs w:val="22"/>
        </w:rPr>
        <w:t>“PLAZO RAZONABLE PARA RESOLVER. CONCEPTO Y ELEMENTOS QUE LO INTEGRAN A LA LUZ DEL DERECHO INTERNACIONAL DE LOS DERECHOS HUMANOS.”</w:t>
      </w:r>
      <w:r>
        <w:rPr>
          <w:rFonts w:ascii="Palatino Linotype" w:eastAsia="Palatino Linotype" w:hAnsi="Palatino Linotype" w:cs="Palatino Linotype"/>
          <w:sz w:val="22"/>
          <w:szCs w:val="22"/>
        </w:rPr>
        <w:t>, visible en el Semanario Judicial de la Federación y su gaceta, con el registro digital 2002350.</w:t>
      </w:r>
    </w:p>
    <w:p w14:paraId="2AA6D968" w14:textId="77777777" w:rsidR="00C25DAB" w:rsidRDefault="00C25DAB">
      <w:pPr>
        <w:spacing w:line="360" w:lineRule="auto"/>
        <w:ind w:right="-734"/>
        <w:jc w:val="both"/>
        <w:rPr>
          <w:rFonts w:ascii="Palatino Linotype" w:eastAsia="Palatino Linotype" w:hAnsi="Palatino Linotype" w:cs="Palatino Linotype"/>
          <w:i/>
        </w:rPr>
      </w:pPr>
    </w:p>
    <w:p w14:paraId="5DEF3B54" w14:textId="77777777" w:rsidR="00C25DAB" w:rsidRDefault="00D8235A">
      <w:pPr>
        <w:numPr>
          <w:ilvl w:val="0"/>
          <w:numId w:val="7"/>
        </w:numPr>
        <w:pBdr>
          <w:top w:val="nil"/>
          <w:left w:val="nil"/>
          <w:bottom w:val="nil"/>
          <w:right w:val="nil"/>
          <w:between w:val="nil"/>
        </w:pBdr>
        <w:spacing w:line="360" w:lineRule="auto"/>
        <w:ind w:left="0" w:right="-734" w:firstLine="0"/>
        <w:jc w:val="both"/>
        <w:rPr>
          <w:color w:val="000000"/>
        </w:rPr>
      </w:pPr>
      <w:r>
        <w:rPr>
          <w:rFonts w:ascii="Palatino Linotype" w:eastAsia="Palatino Linotype" w:hAnsi="Palatino Linotype" w:cs="Palatino Linotype"/>
          <w:color w:val="000000"/>
        </w:rPr>
        <w:t xml:space="preserve">Por ello, este Organismo Garante comprometido con la tutela de los derechos humanos confiados, señala que este exceso de plazo legal para resolver el presente asunto, resulta de carácter excepcional. </w:t>
      </w:r>
    </w:p>
    <w:p w14:paraId="3DC3E978" w14:textId="77777777" w:rsidR="00C25DAB" w:rsidRDefault="00C25DAB">
      <w:pPr>
        <w:spacing w:line="360" w:lineRule="auto"/>
        <w:ind w:right="-734"/>
        <w:jc w:val="both"/>
        <w:rPr>
          <w:rFonts w:ascii="Palatino Linotype" w:eastAsia="Palatino Linotype" w:hAnsi="Palatino Linotype" w:cs="Palatino Linotype"/>
        </w:rPr>
      </w:pPr>
    </w:p>
    <w:p w14:paraId="1FE08646" w14:textId="77777777" w:rsidR="00C25DAB" w:rsidRDefault="00D8235A">
      <w:pPr>
        <w:numPr>
          <w:ilvl w:val="0"/>
          <w:numId w:val="7"/>
        </w:numPr>
        <w:spacing w:line="360" w:lineRule="auto"/>
        <w:ind w:left="0" w:right="-734" w:firstLine="0"/>
        <w:jc w:val="both"/>
        <w:rPr>
          <w:rFonts w:ascii="Palatino Linotype" w:eastAsia="Palatino Linotype" w:hAnsi="Palatino Linotype" w:cs="Palatino Linotype"/>
          <w:b/>
        </w:rPr>
      </w:pPr>
      <w:r>
        <w:rPr>
          <w:rFonts w:ascii="Palatino Linotype" w:eastAsia="Palatino Linotype" w:hAnsi="Palatino Linotype" w:cs="Palatino Linotype"/>
        </w:rPr>
        <w:t>La Comisionada Ponente decretó el cierre de instrucción mediante acuerdo del tres (03) de octubre de dos mil veinticuatro, por lo que, ordenó turnar el expediente a resolución, misma que a continuación se pronuncia.</w:t>
      </w:r>
    </w:p>
    <w:p w14:paraId="038BF191" w14:textId="77777777" w:rsidR="00C25DAB" w:rsidRDefault="00C25DAB">
      <w:pPr>
        <w:spacing w:line="360" w:lineRule="auto"/>
        <w:ind w:right="-734"/>
        <w:jc w:val="both"/>
        <w:rPr>
          <w:rFonts w:ascii="Palatino Linotype" w:eastAsia="Palatino Linotype" w:hAnsi="Palatino Linotype" w:cs="Palatino Linotype"/>
          <w:b/>
        </w:rPr>
      </w:pPr>
    </w:p>
    <w:p w14:paraId="2ABEFBC1" w14:textId="77777777" w:rsidR="00C25DAB" w:rsidRDefault="00D8235A">
      <w:pPr>
        <w:keepNext/>
        <w:keepLines/>
        <w:spacing w:line="360" w:lineRule="auto"/>
        <w:ind w:right="-734"/>
        <w:jc w:val="center"/>
        <w:rPr>
          <w:rFonts w:ascii="Palatino Linotype" w:eastAsia="Palatino Linotype" w:hAnsi="Palatino Linotype" w:cs="Palatino Linotype"/>
          <w:b/>
        </w:rPr>
      </w:pPr>
      <w:bookmarkStart w:id="2" w:name="_heading=h.1fob9te" w:colFirst="0" w:colLast="0"/>
      <w:bookmarkEnd w:id="2"/>
      <w:r>
        <w:rPr>
          <w:rFonts w:ascii="Palatino Linotype" w:eastAsia="Palatino Linotype" w:hAnsi="Palatino Linotype" w:cs="Palatino Linotype"/>
          <w:b/>
        </w:rPr>
        <w:t>C O N S I D E R A N D O</w:t>
      </w:r>
    </w:p>
    <w:p w14:paraId="7BCCD7CD" w14:textId="77777777" w:rsidR="00C25DAB" w:rsidRDefault="00C25DAB">
      <w:pPr>
        <w:keepNext/>
        <w:keepLines/>
        <w:spacing w:line="360" w:lineRule="auto"/>
        <w:ind w:right="-734"/>
        <w:jc w:val="center"/>
        <w:rPr>
          <w:rFonts w:ascii="Palatino Linotype" w:eastAsia="Palatino Linotype" w:hAnsi="Palatino Linotype" w:cs="Palatino Linotype"/>
          <w:b/>
        </w:rPr>
      </w:pPr>
    </w:p>
    <w:p w14:paraId="7C7FD89E" w14:textId="77777777" w:rsidR="00C25DAB" w:rsidRDefault="00D8235A">
      <w:pPr>
        <w:keepNext/>
        <w:keepLines/>
        <w:spacing w:line="360" w:lineRule="auto"/>
        <w:ind w:right="-734"/>
        <w:rPr>
          <w:rFonts w:ascii="Palatino Linotype" w:eastAsia="Palatino Linotype" w:hAnsi="Palatino Linotype" w:cs="Palatino Linotype"/>
          <w:b/>
        </w:rPr>
      </w:pPr>
      <w:bookmarkStart w:id="3" w:name="_heading=h.3znysh7" w:colFirst="0" w:colLast="0"/>
      <w:bookmarkEnd w:id="3"/>
      <w:r>
        <w:rPr>
          <w:rFonts w:ascii="Palatino Linotype" w:eastAsia="Palatino Linotype" w:hAnsi="Palatino Linotype" w:cs="Palatino Linotype"/>
          <w:b/>
        </w:rPr>
        <w:t>PRIMERO. De la competencia.</w:t>
      </w:r>
    </w:p>
    <w:p w14:paraId="4FA61D0F" w14:textId="77777777" w:rsidR="00C25DAB" w:rsidRDefault="00D8235A">
      <w:pPr>
        <w:numPr>
          <w:ilvl w:val="0"/>
          <w:numId w:val="7"/>
        </w:numPr>
        <w:pBdr>
          <w:top w:val="nil"/>
          <w:left w:val="nil"/>
          <w:bottom w:val="nil"/>
          <w:right w:val="nil"/>
          <w:between w:val="nil"/>
        </w:pBdr>
        <w:spacing w:before="240" w:after="240" w:line="360" w:lineRule="auto"/>
        <w:ind w:left="0" w:right="-734" w:firstLine="0"/>
        <w:jc w:val="both"/>
        <w:rPr>
          <w:color w:val="000000"/>
        </w:rPr>
      </w:pPr>
      <w:r>
        <w:rPr>
          <w:rFonts w:ascii="Palatino Linotype" w:eastAsia="Palatino Linotype" w:hAnsi="Palatino Linotype" w:cs="Palatino Linotype"/>
          <w:color w:val="000000"/>
        </w:rPr>
        <w:t xml:space="preserve">Este Instituto de Transparencia, Acceso a la Información Pública y Protección de Datos Personales del Estado de México y Municipios, es competente para conocer y resolver del presente recurso de conformidad con el artículo: 6, apartado A, fracción IV de la </w:t>
      </w:r>
      <w:r>
        <w:rPr>
          <w:rFonts w:ascii="Palatino Linotype" w:eastAsia="Palatino Linotype" w:hAnsi="Palatino Linotype" w:cs="Palatino Linotype"/>
          <w:b/>
          <w:color w:val="000000"/>
        </w:rPr>
        <w:t>Constitución Política de los Estados Unidos Mexicanos</w:t>
      </w:r>
      <w:r>
        <w:rPr>
          <w:rFonts w:ascii="Palatino Linotype" w:eastAsia="Palatino Linotype" w:hAnsi="Palatino Linotype" w:cs="Palatino Linotype"/>
          <w:color w:val="000000"/>
        </w:rPr>
        <w:t xml:space="preserve">; 5, párrafos trigésimo segundo y trigésimo tercero, fracciones IV y V, de la </w:t>
      </w:r>
      <w:r>
        <w:rPr>
          <w:rFonts w:ascii="Palatino Linotype" w:eastAsia="Palatino Linotype" w:hAnsi="Palatino Linotype" w:cs="Palatino Linotype"/>
          <w:b/>
          <w:color w:val="000000"/>
        </w:rPr>
        <w:t>Constitución Política del Estado Libre y Soberano de México</w:t>
      </w:r>
      <w:r>
        <w:rPr>
          <w:rFonts w:ascii="Palatino Linotype" w:eastAsia="Palatino Linotype" w:hAnsi="Palatino Linotype" w:cs="Palatino Linotype"/>
          <w:color w:val="000000"/>
        </w:rPr>
        <w:t xml:space="preserve">; artículos 1, 2 fracción II, 13, 29, 36 fracciones I y II, 176, 178, 179, 181 párrafo tercero y 185 de la </w:t>
      </w:r>
      <w:r>
        <w:rPr>
          <w:rFonts w:ascii="Palatino Linotype" w:eastAsia="Palatino Linotype" w:hAnsi="Palatino Linotype" w:cs="Palatino Linotype"/>
          <w:b/>
          <w:color w:val="000000"/>
        </w:rPr>
        <w:t xml:space="preserve">Ley de Transparencia y Acceso a la Información Pública del Estado de México y </w:t>
      </w:r>
      <w:r>
        <w:rPr>
          <w:rFonts w:ascii="Palatino Linotype" w:eastAsia="Palatino Linotype" w:hAnsi="Palatino Linotype" w:cs="Palatino Linotype"/>
          <w:b/>
          <w:color w:val="000000"/>
        </w:rPr>
        <w:lastRenderedPageBreak/>
        <w:t>Municipios</w:t>
      </w:r>
      <w:r>
        <w:rPr>
          <w:rFonts w:ascii="Palatino Linotype" w:eastAsia="Palatino Linotype" w:hAnsi="Palatino Linotype" w:cs="Palatino Linotype"/>
          <w:color w:val="000000"/>
        </w:rPr>
        <w:t xml:space="preserve">; y 7, 9 fracciones I y XXIII, y 11 del </w:t>
      </w:r>
      <w:r>
        <w:rPr>
          <w:rFonts w:ascii="Palatino Linotype" w:eastAsia="Palatino Linotype" w:hAnsi="Palatino Linotype" w:cs="Palatino Linotype"/>
          <w:b/>
          <w:color w:val="000000"/>
        </w:rPr>
        <w:t>Reglamento Interior del Instituto de Transparencia, Acceso a la Información Pública y Protección de Datos Personales del Estado de México y Municipios.</w:t>
      </w:r>
    </w:p>
    <w:p w14:paraId="32B5A570" w14:textId="77777777" w:rsidR="00C25DAB" w:rsidRDefault="00D8235A">
      <w:pPr>
        <w:keepNext/>
        <w:keepLines/>
        <w:spacing w:line="360" w:lineRule="auto"/>
        <w:ind w:right="-734"/>
        <w:rPr>
          <w:rFonts w:ascii="Palatino Linotype" w:eastAsia="Palatino Linotype" w:hAnsi="Palatino Linotype" w:cs="Palatino Linotype"/>
          <w:b/>
        </w:rPr>
      </w:pPr>
      <w:bookmarkStart w:id="4" w:name="_heading=h.2et92p0" w:colFirst="0" w:colLast="0"/>
      <w:bookmarkEnd w:id="4"/>
      <w:r>
        <w:rPr>
          <w:rFonts w:ascii="Palatino Linotype" w:eastAsia="Palatino Linotype" w:hAnsi="Palatino Linotype" w:cs="Palatino Linotype"/>
          <w:b/>
        </w:rPr>
        <w:t>SEGUNDO. De la oportunidad y procedencia.</w:t>
      </w:r>
    </w:p>
    <w:p w14:paraId="7D987D1F" w14:textId="77777777" w:rsidR="00C25DAB" w:rsidRDefault="00D8235A">
      <w:pPr>
        <w:numPr>
          <w:ilvl w:val="0"/>
          <w:numId w:val="7"/>
        </w:numPr>
        <w:spacing w:line="360" w:lineRule="auto"/>
        <w:ind w:left="0" w:right="-734" w:firstLine="0"/>
        <w:jc w:val="both"/>
      </w:pPr>
      <w:r>
        <w:rPr>
          <w:rFonts w:ascii="Palatino Linotype" w:eastAsia="Palatino Linotype" w:hAnsi="Palatino Linotype" w:cs="Palatino Linotype"/>
        </w:rPr>
        <w:t xml:space="preserve">El medio de impugnación fue presentado a través del </w:t>
      </w:r>
      <w:r>
        <w:rPr>
          <w:rFonts w:ascii="Palatino Linotype" w:eastAsia="Palatino Linotype" w:hAnsi="Palatino Linotype" w:cs="Palatino Linotype"/>
          <w:b/>
        </w:rPr>
        <w:t>SAIMEX,</w:t>
      </w:r>
      <w:r>
        <w:rPr>
          <w:rFonts w:ascii="Palatino Linotype" w:eastAsia="Palatino Linotype" w:hAnsi="Palatino Linotype" w:cs="Palatino Linotype"/>
        </w:rPr>
        <w:t xml:space="preserve"> en el formato previamente aprobado para tal efecto y dentro del plazo legal de quince días hábiles otorgados; para el caso en particular es de señalar que 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entregó respuesta el día veintidós (22) de diciembre de dos mil veintitrés, de tal forma que el plazo para interponer el recurso transcurrió del doce (12) de enero al primero (01) de febrero de dos mil veinticuatro, de acuerdo al calendario oficial del Instituto de Transparencia del Estado de México y Municipios; en consecuencia, si el particular presentó su inconformidad el día once (11) de enero de dos mil veinticuatro, se encuentra dentro de los márgenes temporales previstos en el artículo 178 de la </w:t>
      </w:r>
      <w:r>
        <w:rPr>
          <w:rFonts w:ascii="Palatino Linotype" w:eastAsia="Palatino Linotype" w:hAnsi="Palatino Linotype" w:cs="Palatino Linotype"/>
          <w:b/>
        </w:rPr>
        <w:t xml:space="preserve">Ley de Transparencia y Acceso a la Información Pública del Estado de México y Municipios </w:t>
      </w:r>
      <w:r>
        <w:rPr>
          <w:rFonts w:ascii="Palatino Linotype" w:eastAsia="Palatino Linotype" w:hAnsi="Palatino Linotype" w:cs="Palatino Linotype"/>
        </w:rPr>
        <w:t xml:space="preserve">vigente. </w:t>
      </w:r>
    </w:p>
    <w:p w14:paraId="5E04FA62" w14:textId="77777777" w:rsidR="00C25DAB" w:rsidRDefault="00C25DAB">
      <w:pPr>
        <w:pBdr>
          <w:top w:val="nil"/>
          <w:left w:val="nil"/>
          <w:bottom w:val="nil"/>
          <w:right w:val="nil"/>
          <w:between w:val="nil"/>
        </w:pBdr>
        <w:ind w:left="720" w:right="-734"/>
        <w:rPr>
          <w:rFonts w:ascii="Palatino Linotype" w:eastAsia="Palatino Linotype" w:hAnsi="Palatino Linotype" w:cs="Palatino Linotype"/>
          <w:i/>
          <w:color w:val="000000"/>
        </w:rPr>
      </w:pPr>
    </w:p>
    <w:p w14:paraId="00065FA4" w14:textId="77777777" w:rsidR="00C25DAB" w:rsidRDefault="00D8235A">
      <w:pPr>
        <w:numPr>
          <w:ilvl w:val="0"/>
          <w:numId w:val="7"/>
        </w:numPr>
        <w:spacing w:line="360" w:lineRule="auto"/>
        <w:ind w:left="0" w:right="-734" w:firstLine="0"/>
        <w:jc w:val="both"/>
      </w:pPr>
      <w:r>
        <w:rPr>
          <w:rFonts w:ascii="Palatino Linotype" w:eastAsia="Palatino Linotype" w:hAnsi="Palatino Linotype" w:cs="Palatino Linotype"/>
        </w:rPr>
        <w:t xml:space="preserve">Por otra parte, de la revisión al expediente electrónico del </w:t>
      </w:r>
      <w:r>
        <w:rPr>
          <w:rFonts w:ascii="Palatino Linotype" w:eastAsia="Palatino Linotype" w:hAnsi="Palatino Linotype" w:cs="Palatino Linotype"/>
          <w:b/>
        </w:rPr>
        <w:t>SAIMEX</w:t>
      </w:r>
      <w:r>
        <w:rPr>
          <w:rFonts w:ascii="Palatino Linotype" w:eastAsia="Palatino Linotype" w:hAnsi="Palatino Linotype" w:cs="Palatino Linotype"/>
        </w:rPr>
        <w:t xml:space="preserve"> se desprende que la parte solicitante en ejercicio de su derecho de acceso a la información pública en el expediente que se revisa, tanto en la solicitud de información como en el recurso de revisión no proporciona su nombre completo para que sea identificado, ni se tiene la certeza sobre su identidad; sin embargo, es importante señalar también que el nombre de los solicitantes y recurrentes no es requisito indispensable para la tramitación del acto procesal específico en materia de acceso a la información, ello en estricto apego al numeral 155 párrafo tercero de la Ley de la materia, en concatenación con el 180 del mismo ordenamiento.</w:t>
      </w:r>
    </w:p>
    <w:p w14:paraId="0F8FC87C" w14:textId="77777777" w:rsidR="00C25DAB" w:rsidRDefault="00C25DAB">
      <w:pPr>
        <w:pBdr>
          <w:top w:val="nil"/>
          <w:left w:val="nil"/>
          <w:bottom w:val="nil"/>
          <w:right w:val="nil"/>
          <w:between w:val="nil"/>
        </w:pBdr>
        <w:ind w:right="-734"/>
        <w:rPr>
          <w:rFonts w:ascii="Palatino Linotype" w:eastAsia="Palatino Linotype" w:hAnsi="Palatino Linotype" w:cs="Palatino Linotype"/>
          <w:color w:val="000000"/>
        </w:rPr>
      </w:pPr>
    </w:p>
    <w:p w14:paraId="1A0AEF7A" w14:textId="77777777" w:rsidR="00C25DAB" w:rsidRDefault="00D8235A">
      <w:pPr>
        <w:numPr>
          <w:ilvl w:val="0"/>
          <w:numId w:val="7"/>
        </w:numPr>
        <w:spacing w:line="360" w:lineRule="auto"/>
        <w:ind w:left="0" w:right="-734" w:firstLine="0"/>
        <w:jc w:val="both"/>
      </w:pPr>
      <w:r>
        <w:rPr>
          <w:rFonts w:ascii="Palatino Linotype" w:eastAsia="Palatino Linotype" w:hAnsi="Palatino Linotype" w:cs="Palatino Linotype"/>
        </w:rPr>
        <w:lastRenderedPageBreak/>
        <w:t xml:space="preserve">Esto es así, ya que de conformidad con los artículos 6, Apartado A, fracciones III y IV de la Constitución Política de los Estados Unidos Mexicanos y 5, párrafos vigésimo, vigésimo primero y vigésimo </w:t>
      </w:r>
      <w:proofErr w:type="spellStart"/>
      <w:r>
        <w:rPr>
          <w:rFonts w:ascii="Palatino Linotype" w:eastAsia="Palatino Linotype" w:hAnsi="Palatino Linotype" w:cs="Palatino Linotype"/>
        </w:rPr>
        <w:t>segúndo</w:t>
      </w:r>
      <w:proofErr w:type="spellEnd"/>
      <w:r>
        <w:rPr>
          <w:rFonts w:ascii="Palatino Linotype" w:eastAsia="Palatino Linotype" w:hAnsi="Palatino Linotype" w:cs="Palatino Linotype"/>
        </w:rPr>
        <w:t> fracciones IV y V de la Constitución Política del Estado Libre y Soberano de México, se establece que toda persona, sin necesidad de acreditar interés alguno o justificar su utilización, tendrá acceso gratuito a la información pública, a sus datos personales o a la rectificación de éstos, además de que se establecerán mecanismos de acceso a la información y procedimientos de revisión expeditos que se sustanciarán ante los organismos autónomos especializados e imparciales que establece la Constitución Federal y local.</w:t>
      </w:r>
    </w:p>
    <w:p w14:paraId="3091E5D2" w14:textId="77777777" w:rsidR="00C25DAB" w:rsidRDefault="00C25DAB">
      <w:pPr>
        <w:pBdr>
          <w:top w:val="nil"/>
          <w:left w:val="nil"/>
          <w:bottom w:val="nil"/>
          <w:right w:val="nil"/>
          <w:between w:val="nil"/>
        </w:pBdr>
        <w:ind w:right="-734"/>
        <w:rPr>
          <w:rFonts w:ascii="Palatino Linotype" w:eastAsia="Palatino Linotype" w:hAnsi="Palatino Linotype" w:cs="Palatino Linotype"/>
          <w:color w:val="000000"/>
        </w:rPr>
      </w:pPr>
    </w:p>
    <w:p w14:paraId="682A6A0B" w14:textId="77777777" w:rsidR="00C25DAB" w:rsidRDefault="00D8235A">
      <w:pPr>
        <w:numPr>
          <w:ilvl w:val="0"/>
          <w:numId w:val="7"/>
        </w:numPr>
        <w:spacing w:line="360" w:lineRule="auto"/>
        <w:ind w:left="0" w:right="-734" w:firstLine="0"/>
        <w:jc w:val="both"/>
      </w:pPr>
      <w:r>
        <w:rPr>
          <w:rFonts w:ascii="Palatino Linotype" w:eastAsia="Palatino Linotype" w:hAnsi="Palatino Linotype" w:cs="Palatino Linotype"/>
        </w:rPr>
        <w:t>Por lo cual, de una interpretación sistemática, armónica y progresiva del derecho humano de acceso a la información pública se aprecia que toda persona, sin necesidad de acreditar interés alguno o justificar su utilización, deberá tener acceso a la información pública, es decir, dicho derecho fundamental exime a quien lo ejerce, de acreditar su legitimación en la causa o su interés en el asunto, lo que permite la posibilidad de que inclusive, la solicitud de acceso a la información pueda ser anónima o no contener un nombre que identifique al solicitante o que permita tener certeza sobre su identidad.</w:t>
      </w:r>
    </w:p>
    <w:p w14:paraId="3E331DEF" w14:textId="77777777" w:rsidR="00C25DAB" w:rsidRDefault="00C25DAB">
      <w:pPr>
        <w:pBdr>
          <w:top w:val="nil"/>
          <w:left w:val="nil"/>
          <w:bottom w:val="nil"/>
          <w:right w:val="nil"/>
          <w:between w:val="nil"/>
        </w:pBdr>
        <w:ind w:right="-734"/>
        <w:rPr>
          <w:rFonts w:ascii="Palatino Linotype" w:eastAsia="Palatino Linotype" w:hAnsi="Palatino Linotype" w:cs="Palatino Linotype"/>
          <w:color w:val="000000"/>
        </w:rPr>
      </w:pPr>
    </w:p>
    <w:p w14:paraId="4A102FEB" w14:textId="77777777" w:rsidR="00C25DAB" w:rsidRDefault="00D8235A">
      <w:pPr>
        <w:numPr>
          <w:ilvl w:val="0"/>
          <w:numId w:val="7"/>
        </w:numPr>
        <w:spacing w:line="360" w:lineRule="auto"/>
        <w:ind w:left="0" w:right="-734" w:firstLine="0"/>
        <w:jc w:val="both"/>
      </w:pPr>
      <w:r>
        <w:rPr>
          <w:rFonts w:ascii="Palatino Linotype" w:eastAsia="Palatino Linotype" w:hAnsi="Palatino Linotype" w:cs="Palatino Linotype"/>
        </w:rPr>
        <w:t>En ese entendido, se omite un análisis más profundo en torno a los conceptos de interés jurídico y legitimación, debido a que se estima que a ningún efecto práctico conduciría, puesto que la propia estructura del derecho fundamental bajo análisis no lo exige.</w:t>
      </w:r>
    </w:p>
    <w:p w14:paraId="6A0B18E5" w14:textId="77777777" w:rsidR="00C25DAB" w:rsidRDefault="00C25DAB">
      <w:pPr>
        <w:pBdr>
          <w:top w:val="nil"/>
          <w:left w:val="nil"/>
          <w:bottom w:val="nil"/>
          <w:right w:val="nil"/>
          <w:between w:val="nil"/>
        </w:pBdr>
        <w:ind w:right="-734"/>
        <w:rPr>
          <w:rFonts w:ascii="Palatino Linotype" w:eastAsia="Palatino Linotype" w:hAnsi="Palatino Linotype" w:cs="Palatino Linotype"/>
          <w:color w:val="000000"/>
        </w:rPr>
      </w:pPr>
    </w:p>
    <w:p w14:paraId="46C6F0D1" w14:textId="77777777" w:rsidR="00C25DAB" w:rsidRDefault="00D8235A">
      <w:pPr>
        <w:numPr>
          <w:ilvl w:val="0"/>
          <w:numId w:val="7"/>
        </w:numPr>
        <w:spacing w:line="360" w:lineRule="auto"/>
        <w:ind w:left="0" w:right="-734" w:firstLine="0"/>
        <w:jc w:val="both"/>
      </w:pPr>
      <w:r>
        <w:rPr>
          <w:rFonts w:ascii="Palatino Linotype" w:eastAsia="Palatino Linotype" w:hAnsi="Palatino Linotype" w:cs="Palatino Linotype"/>
        </w:rPr>
        <w:t xml:space="preserve">Por lo que el nombre del solicitante y recurrente no puede ser considerado un requisito indispensable de procedibilidad del recurso de revisión que nos ocupa, ya que el acceso a la </w:t>
      </w:r>
      <w:r>
        <w:rPr>
          <w:rFonts w:ascii="Palatino Linotype" w:eastAsia="Palatino Linotype" w:hAnsi="Palatino Linotype" w:cs="Palatino Linotype"/>
        </w:rPr>
        <w:lastRenderedPageBreak/>
        <w:t>información no está condicionado a acreditar algún interés ya sea jurídico o legítimo, máxime que es un elemento subsanable por este Órgano Resolutor.</w:t>
      </w:r>
    </w:p>
    <w:p w14:paraId="591163C8" w14:textId="77777777" w:rsidR="00C25DAB" w:rsidRDefault="00C25DAB">
      <w:pPr>
        <w:pBdr>
          <w:top w:val="nil"/>
          <w:left w:val="nil"/>
          <w:bottom w:val="nil"/>
          <w:right w:val="nil"/>
          <w:between w:val="nil"/>
        </w:pBdr>
        <w:ind w:left="720" w:right="-734"/>
        <w:rPr>
          <w:rFonts w:ascii="Palatino Linotype" w:eastAsia="Palatino Linotype" w:hAnsi="Palatino Linotype" w:cs="Palatino Linotype"/>
          <w:color w:val="000000"/>
        </w:rPr>
      </w:pPr>
    </w:p>
    <w:p w14:paraId="0B2DD20A" w14:textId="77777777" w:rsidR="00C25DAB" w:rsidRDefault="00D8235A">
      <w:pPr>
        <w:numPr>
          <w:ilvl w:val="0"/>
          <w:numId w:val="7"/>
        </w:numPr>
        <w:spacing w:line="360" w:lineRule="auto"/>
        <w:ind w:left="0" w:right="-734" w:firstLine="0"/>
        <w:jc w:val="both"/>
        <w:rPr>
          <w:rFonts w:ascii="Palatino Linotype" w:eastAsia="Palatino Linotype" w:hAnsi="Palatino Linotype" w:cs="Palatino Linotype"/>
          <w:b/>
        </w:rPr>
      </w:pPr>
      <w:r>
        <w:rPr>
          <w:rFonts w:ascii="Palatino Linotype" w:eastAsia="Palatino Linotype" w:hAnsi="Palatino Linotype" w:cs="Palatino Linotype"/>
        </w:rPr>
        <w:t>Consecuentemente, el escrito contiene las formalidades previstas por el artículo 180 último párrafo de la Ley de la materia actual, por lo que es procedente que este Instituto de Transparencia, Acceso a la Información Pública y Protección de Datos Personales del Estado de México y Municipios, conozca y resuelva el presente recurso.</w:t>
      </w:r>
    </w:p>
    <w:p w14:paraId="77DF9010" w14:textId="77777777" w:rsidR="00C25DAB" w:rsidRDefault="00C25DAB">
      <w:pPr>
        <w:spacing w:line="360" w:lineRule="auto"/>
        <w:ind w:right="-734"/>
        <w:jc w:val="both"/>
        <w:rPr>
          <w:rFonts w:ascii="Palatino Linotype" w:eastAsia="Palatino Linotype" w:hAnsi="Palatino Linotype" w:cs="Palatino Linotype"/>
          <w:b/>
        </w:rPr>
      </w:pPr>
    </w:p>
    <w:p w14:paraId="56A6AC20" w14:textId="77777777" w:rsidR="00C25DAB" w:rsidRDefault="00D8235A">
      <w:pPr>
        <w:keepNext/>
        <w:keepLines/>
        <w:spacing w:line="360" w:lineRule="auto"/>
        <w:ind w:right="-734"/>
        <w:rPr>
          <w:rFonts w:ascii="Palatino Linotype" w:eastAsia="Palatino Linotype" w:hAnsi="Palatino Linotype" w:cs="Palatino Linotype"/>
          <w:b/>
        </w:rPr>
      </w:pPr>
      <w:bookmarkStart w:id="5" w:name="_heading=h.tyjcwt" w:colFirst="0" w:colLast="0"/>
      <w:bookmarkEnd w:id="5"/>
      <w:r>
        <w:rPr>
          <w:rFonts w:ascii="Palatino Linotype" w:eastAsia="Palatino Linotype" w:hAnsi="Palatino Linotype" w:cs="Palatino Linotype"/>
          <w:b/>
        </w:rPr>
        <w:t>TERCERO. Planteamiento de la Litis.</w:t>
      </w:r>
    </w:p>
    <w:p w14:paraId="53261A45" w14:textId="77777777" w:rsidR="00C25DAB" w:rsidRDefault="00D8235A">
      <w:pPr>
        <w:numPr>
          <w:ilvl w:val="0"/>
          <w:numId w:val="7"/>
        </w:numPr>
        <w:pBdr>
          <w:top w:val="nil"/>
          <w:left w:val="nil"/>
          <w:bottom w:val="nil"/>
          <w:right w:val="nil"/>
          <w:between w:val="nil"/>
        </w:pBdr>
        <w:spacing w:line="360" w:lineRule="auto"/>
        <w:ind w:left="0" w:right="-734" w:firstLine="0"/>
        <w:jc w:val="both"/>
        <w:rPr>
          <w:color w:val="000000"/>
        </w:rPr>
      </w:pPr>
      <w:r>
        <w:rPr>
          <w:rFonts w:ascii="Palatino Linotype" w:eastAsia="Palatino Linotype" w:hAnsi="Palatino Linotype" w:cs="Palatino Linotype"/>
          <w:color w:val="000000"/>
        </w:rPr>
        <w:t>El particular solicitó los cambios de uso de suelo y densidad generados en la administración actual.</w:t>
      </w:r>
    </w:p>
    <w:p w14:paraId="77CAB051" w14:textId="77777777" w:rsidR="00C25DAB" w:rsidRDefault="00C25DAB">
      <w:pPr>
        <w:pBdr>
          <w:top w:val="nil"/>
          <w:left w:val="nil"/>
          <w:bottom w:val="nil"/>
          <w:right w:val="nil"/>
          <w:between w:val="nil"/>
        </w:pBdr>
        <w:spacing w:line="360" w:lineRule="auto"/>
        <w:ind w:right="-734"/>
        <w:jc w:val="both"/>
        <w:rPr>
          <w:rFonts w:ascii="Palatino Linotype" w:eastAsia="Palatino Linotype" w:hAnsi="Palatino Linotype" w:cs="Palatino Linotype"/>
          <w:i/>
          <w:color w:val="000000"/>
        </w:rPr>
      </w:pPr>
    </w:p>
    <w:p w14:paraId="35DAF8CE" w14:textId="77777777" w:rsidR="00C25DAB" w:rsidRDefault="00D8235A">
      <w:pPr>
        <w:numPr>
          <w:ilvl w:val="0"/>
          <w:numId w:val="7"/>
        </w:numPr>
        <w:pBdr>
          <w:top w:val="nil"/>
          <w:left w:val="nil"/>
          <w:bottom w:val="nil"/>
          <w:right w:val="nil"/>
          <w:between w:val="nil"/>
        </w:pBdr>
        <w:spacing w:line="360" w:lineRule="auto"/>
        <w:ind w:left="0" w:right="-734" w:firstLine="0"/>
        <w:jc w:val="both"/>
        <w:rPr>
          <w:color w:val="000000"/>
        </w:rPr>
      </w:pPr>
      <w:r>
        <w:rPr>
          <w:rFonts w:ascii="Palatino Linotype" w:eastAsia="Palatino Linotype" w:hAnsi="Palatino Linotype" w:cs="Palatino Linotype"/>
          <w:color w:val="000000"/>
        </w:rPr>
        <w:t xml:space="preserve">En respuesta, el Sujeto Obligado a través del Director General  de Ordenamiento Territorial y Desarrollo Urbano, entregó dos autorizaciones de cambio de uso de suelo en versión pública. Posteriormente, el particular interpuso recurso de revisión en el que señaló su inconformidad por la clasificación de la información. </w:t>
      </w:r>
    </w:p>
    <w:p w14:paraId="2C87C789" w14:textId="77777777" w:rsidR="00C25DAB" w:rsidRDefault="00C25DAB">
      <w:pPr>
        <w:tabs>
          <w:tab w:val="left" w:pos="0"/>
        </w:tabs>
        <w:spacing w:line="360" w:lineRule="auto"/>
        <w:ind w:right="-734"/>
        <w:jc w:val="both"/>
        <w:rPr>
          <w:rFonts w:ascii="Palatino Linotype" w:eastAsia="Palatino Linotype" w:hAnsi="Palatino Linotype" w:cs="Palatino Linotype"/>
          <w:i/>
        </w:rPr>
      </w:pPr>
    </w:p>
    <w:p w14:paraId="6FFE9E4B" w14:textId="77777777" w:rsidR="00C25DAB" w:rsidRPr="00EC227C" w:rsidRDefault="00D8235A">
      <w:pPr>
        <w:numPr>
          <w:ilvl w:val="0"/>
          <w:numId w:val="7"/>
        </w:numPr>
        <w:pBdr>
          <w:top w:val="nil"/>
          <w:left w:val="nil"/>
          <w:bottom w:val="nil"/>
          <w:right w:val="nil"/>
          <w:between w:val="nil"/>
        </w:pBdr>
        <w:spacing w:line="360" w:lineRule="auto"/>
        <w:ind w:left="0" w:right="-734" w:firstLine="0"/>
        <w:jc w:val="both"/>
        <w:rPr>
          <w:color w:val="000000"/>
        </w:rPr>
      </w:pPr>
      <w:r>
        <w:rPr>
          <w:rFonts w:ascii="Palatino Linotype" w:eastAsia="Palatino Linotype" w:hAnsi="Palatino Linotype" w:cs="Palatino Linotype"/>
          <w:color w:val="000000"/>
        </w:rPr>
        <w:t>En consecuencia, la Litis a resolver en este recurso, se circunscribe a determinar si la respuesta colma con lo solicitado o si se actualiza la causal de procedencia prevista e</w:t>
      </w:r>
      <w:r w:rsidR="00EC227C">
        <w:rPr>
          <w:rFonts w:ascii="Palatino Linotype" w:eastAsia="Palatino Linotype" w:hAnsi="Palatino Linotype" w:cs="Palatino Linotype"/>
          <w:color w:val="000000"/>
        </w:rPr>
        <w:t xml:space="preserve">n el artículo 179, fracción </w:t>
      </w:r>
      <w:r>
        <w:rPr>
          <w:rFonts w:ascii="Palatino Linotype" w:eastAsia="Palatino Linotype" w:hAnsi="Palatino Linotype" w:cs="Palatino Linotype"/>
          <w:color w:val="000000"/>
        </w:rPr>
        <w:t>II de la Ley de Transparencia y Acceso a la Información Pública del Estado de México</w:t>
      </w:r>
      <w:r w:rsidR="00EC227C">
        <w:rPr>
          <w:rFonts w:ascii="Palatino Linotype" w:eastAsia="Palatino Linotype" w:hAnsi="Palatino Linotype" w:cs="Palatino Linotype"/>
          <w:color w:val="000000"/>
        </w:rPr>
        <w:t xml:space="preserve"> y Municipios; que establece </w:t>
      </w:r>
      <w:r>
        <w:rPr>
          <w:rFonts w:ascii="Palatino Linotype" w:eastAsia="Palatino Linotype" w:hAnsi="Palatino Linotype" w:cs="Palatino Linotype"/>
          <w:color w:val="000000"/>
        </w:rPr>
        <w:t xml:space="preserve">la clasificación de la información.  </w:t>
      </w:r>
    </w:p>
    <w:p w14:paraId="160BA70C" w14:textId="77777777" w:rsidR="00C25DAB" w:rsidRDefault="00C25DAB">
      <w:pPr>
        <w:pBdr>
          <w:top w:val="nil"/>
          <w:left w:val="nil"/>
          <w:bottom w:val="nil"/>
          <w:right w:val="nil"/>
          <w:between w:val="nil"/>
        </w:pBdr>
        <w:spacing w:line="360" w:lineRule="auto"/>
        <w:ind w:right="-734"/>
        <w:jc w:val="both"/>
        <w:rPr>
          <w:rFonts w:ascii="Palatino Linotype" w:eastAsia="Palatino Linotype" w:hAnsi="Palatino Linotype" w:cs="Palatino Linotype"/>
          <w:color w:val="000000"/>
        </w:rPr>
      </w:pPr>
    </w:p>
    <w:p w14:paraId="58143E51" w14:textId="77777777" w:rsidR="00C25DAB" w:rsidRDefault="00D8235A">
      <w:pPr>
        <w:pStyle w:val="Ttulo1"/>
        <w:spacing w:before="0" w:line="360" w:lineRule="auto"/>
        <w:ind w:right="-734"/>
        <w:rPr>
          <w:rFonts w:ascii="Palatino Linotype" w:eastAsia="Palatino Linotype" w:hAnsi="Palatino Linotype" w:cs="Palatino Linotype"/>
          <w:b/>
          <w:color w:val="000000"/>
          <w:sz w:val="24"/>
          <w:szCs w:val="24"/>
        </w:rPr>
      </w:pPr>
      <w:bookmarkStart w:id="6" w:name="_heading=h.3dy6vkm" w:colFirst="0" w:colLast="0"/>
      <w:bookmarkEnd w:id="6"/>
      <w:r>
        <w:rPr>
          <w:rFonts w:ascii="Palatino Linotype" w:eastAsia="Palatino Linotype" w:hAnsi="Palatino Linotype" w:cs="Palatino Linotype"/>
          <w:b/>
          <w:color w:val="000000"/>
          <w:sz w:val="24"/>
          <w:szCs w:val="24"/>
        </w:rPr>
        <w:lastRenderedPageBreak/>
        <w:t>CUARTO. Del estudio y resolución del recurso de revisión.</w:t>
      </w:r>
    </w:p>
    <w:p w14:paraId="1BA783CB" w14:textId="77777777" w:rsidR="00C25DAB" w:rsidRDefault="00D8235A">
      <w:pPr>
        <w:pStyle w:val="Ttulo1"/>
        <w:spacing w:before="0" w:line="360" w:lineRule="auto"/>
        <w:ind w:right="-734"/>
        <w:rPr>
          <w:rFonts w:ascii="Palatino Linotype" w:eastAsia="Palatino Linotype" w:hAnsi="Palatino Linotype" w:cs="Palatino Linotype"/>
          <w:b/>
          <w:color w:val="000000"/>
          <w:sz w:val="24"/>
          <w:szCs w:val="24"/>
        </w:rPr>
      </w:pPr>
      <w:bookmarkStart w:id="7" w:name="_heading=h.4d34og8" w:colFirst="0" w:colLast="0"/>
      <w:bookmarkEnd w:id="7"/>
      <w:r>
        <w:rPr>
          <w:rFonts w:ascii="Palatino Linotype" w:eastAsia="Palatino Linotype" w:hAnsi="Palatino Linotype" w:cs="Palatino Linotype"/>
          <w:b/>
          <w:color w:val="000000"/>
          <w:sz w:val="24"/>
          <w:szCs w:val="24"/>
        </w:rPr>
        <w:t>De la información solicitada y la respuesta del Sujeto Obligado</w:t>
      </w:r>
    </w:p>
    <w:p w14:paraId="0477B879" w14:textId="77777777" w:rsidR="00C25DAB" w:rsidRDefault="00D8235A">
      <w:pPr>
        <w:numPr>
          <w:ilvl w:val="0"/>
          <w:numId w:val="7"/>
        </w:numPr>
        <w:pBdr>
          <w:top w:val="nil"/>
          <w:left w:val="nil"/>
          <w:bottom w:val="nil"/>
          <w:right w:val="nil"/>
          <w:between w:val="nil"/>
        </w:pBdr>
        <w:spacing w:line="360" w:lineRule="auto"/>
        <w:ind w:left="0" w:right="-734" w:firstLine="0"/>
        <w:jc w:val="both"/>
        <w:rPr>
          <w:color w:val="000000"/>
        </w:rPr>
      </w:pPr>
      <w:r>
        <w:rPr>
          <w:rFonts w:ascii="Palatino Linotype" w:eastAsia="Palatino Linotype" w:hAnsi="Palatino Linotype" w:cs="Palatino Linotype"/>
          <w:color w:val="000000"/>
        </w:rPr>
        <w:t>Derivado del Planteamiento de la Litis, se procede a analizar el contenido íntegro de las actuaciones que obran en el expediente electrónico y con ello, este Órgano Garante dicte la resolución correspondiente, tomando en consideración los elementos aportados por las partes y apegándose en todo momento al principio de máxima publicidad, de acuerdo con lo establecido en el artículo 8 de la Ley de Transparencia y Acceso a la Información Pública del Estado de México y Municipios.</w:t>
      </w:r>
    </w:p>
    <w:p w14:paraId="7FECB67F" w14:textId="77777777" w:rsidR="00C25DAB" w:rsidRDefault="00C25DAB">
      <w:pPr>
        <w:pBdr>
          <w:top w:val="nil"/>
          <w:left w:val="nil"/>
          <w:bottom w:val="nil"/>
          <w:right w:val="nil"/>
          <w:between w:val="nil"/>
        </w:pBdr>
        <w:spacing w:line="360" w:lineRule="auto"/>
        <w:ind w:right="-734"/>
        <w:jc w:val="both"/>
        <w:rPr>
          <w:rFonts w:ascii="Palatino Linotype" w:eastAsia="Palatino Linotype" w:hAnsi="Palatino Linotype" w:cs="Palatino Linotype"/>
          <w:color w:val="000000"/>
        </w:rPr>
      </w:pPr>
    </w:p>
    <w:p w14:paraId="37221D59" w14:textId="77777777" w:rsidR="00C25DAB" w:rsidRDefault="00D8235A">
      <w:pPr>
        <w:numPr>
          <w:ilvl w:val="0"/>
          <w:numId w:val="7"/>
        </w:numPr>
        <w:pBdr>
          <w:top w:val="nil"/>
          <w:left w:val="nil"/>
          <w:bottom w:val="nil"/>
          <w:right w:val="nil"/>
          <w:between w:val="nil"/>
        </w:pBdr>
        <w:spacing w:line="360" w:lineRule="auto"/>
        <w:ind w:left="0" w:right="-734" w:firstLine="0"/>
        <w:jc w:val="both"/>
        <w:rPr>
          <w:color w:val="000000"/>
        </w:rPr>
      </w:pPr>
      <w:r>
        <w:rPr>
          <w:rFonts w:ascii="Palatino Linotype" w:eastAsia="Palatino Linotype" w:hAnsi="Palatino Linotype" w:cs="Palatino Linotype"/>
          <w:color w:val="000000"/>
        </w:rPr>
        <w:t>Primeramente, debemos recapitular que el particular solicitó los cambios de uso de suelo y densidad generados en la administración actual.</w:t>
      </w:r>
    </w:p>
    <w:p w14:paraId="32CCB8DF" w14:textId="77777777" w:rsidR="00C25DAB" w:rsidRDefault="00C25DAB">
      <w:pPr>
        <w:pBdr>
          <w:top w:val="nil"/>
          <w:left w:val="nil"/>
          <w:bottom w:val="nil"/>
          <w:right w:val="nil"/>
          <w:between w:val="nil"/>
        </w:pBdr>
        <w:spacing w:line="360" w:lineRule="auto"/>
        <w:ind w:right="-734"/>
        <w:jc w:val="both"/>
        <w:rPr>
          <w:rFonts w:ascii="Palatino Linotype" w:eastAsia="Palatino Linotype" w:hAnsi="Palatino Linotype" w:cs="Palatino Linotype"/>
          <w:i/>
          <w:color w:val="000000"/>
        </w:rPr>
      </w:pPr>
    </w:p>
    <w:p w14:paraId="72DD1F2C" w14:textId="77777777" w:rsidR="00C25DAB" w:rsidRDefault="00D8235A">
      <w:pPr>
        <w:numPr>
          <w:ilvl w:val="0"/>
          <w:numId w:val="7"/>
        </w:numPr>
        <w:pBdr>
          <w:top w:val="nil"/>
          <w:left w:val="nil"/>
          <w:bottom w:val="nil"/>
          <w:right w:val="nil"/>
          <w:between w:val="nil"/>
        </w:pBdr>
        <w:spacing w:line="360" w:lineRule="auto"/>
        <w:ind w:left="0" w:right="-734" w:firstLine="0"/>
        <w:jc w:val="both"/>
        <w:rPr>
          <w:color w:val="000000"/>
        </w:rPr>
      </w:pPr>
      <w:r>
        <w:rPr>
          <w:rFonts w:ascii="Palatino Linotype" w:eastAsia="Palatino Linotype" w:hAnsi="Palatino Linotype" w:cs="Palatino Linotype"/>
          <w:color w:val="000000"/>
        </w:rPr>
        <w:t>En respuesta, el Sujeto Obligado a través del Director General  de Ordenamiento Territorial y Desarrollo Urbano, entregó dos autorizaciones de cambio de uso de suelo en versión pública. Posteriormente, el particular interpuso recurso de revisión en el que señaló su inconformidad por las siguientes razones:</w:t>
      </w:r>
      <w:r>
        <w:rPr>
          <w:rFonts w:ascii="Verdana" w:eastAsia="Verdana" w:hAnsi="Verdana" w:cs="Verdana"/>
          <w:color w:val="000000"/>
        </w:rPr>
        <w:t xml:space="preserve"> </w:t>
      </w:r>
      <w:r>
        <w:rPr>
          <w:rFonts w:ascii="Verdana" w:eastAsia="Verdana" w:hAnsi="Verdana" w:cs="Verdana"/>
          <w:i/>
          <w:color w:val="000000"/>
        </w:rPr>
        <w:t>“</w:t>
      </w:r>
      <w:r>
        <w:rPr>
          <w:rFonts w:ascii="Palatino Linotype" w:eastAsia="Palatino Linotype" w:hAnsi="Palatino Linotype" w:cs="Palatino Linotype"/>
          <w:i/>
          <w:color w:val="000000"/>
        </w:rPr>
        <w:t>Testan información que es pública y además al ser industrial/comercial deben ser transparentes, e incluso en el registro de la propiedad son datos que se pueden vislumbrar. Por lo que solicito el documento sin testar información que no es confidencial. Además su acuerdo carece de fundamento”.</w:t>
      </w:r>
    </w:p>
    <w:p w14:paraId="2801C4DC" w14:textId="77777777" w:rsidR="00C25DAB" w:rsidRDefault="00C25DAB">
      <w:pPr>
        <w:pBdr>
          <w:top w:val="nil"/>
          <w:left w:val="nil"/>
          <w:bottom w:val="nil"/>
          <w:right w:val="nil"/>
          <w:between w:val="nil"/>
        </w:pBdr>
        <w:tabs>
          <w:tab w:val="left" w:pos="426"/>
        </w:tabs>
        <w:spacing w:line="360" w:lineRule="auto"/>
        <w:ind w:right="-734"/>
        <w:jc w:val="both"/>
        <w:rPr>
          <w:rFonts w:ascii="Palatino Linotype" w:eastAsia="Palatino Linotype" w:hAnsi="Palatino Linotype" w:cs="Palatino Linotype"/>
          <w:color w:val="000000"/>
        </w:rPr>
      </w:pPr>
    </w:p>
    <w:p w14:paraId="66E9F8B9" w14:textId="77777777" w:rsidR="00C25DAB" w:rsidRDefault="00D8235A">
      <w:pPr>
        <w:numPr>
          <w:ilvl w:val="0"/>
          <w:numId w:val="7"/>
        </w:numPr>
        <w:pBdr>
          <w:top w:val="nil"/>
          <w:left w:val="nil"/>
          <w:bottom w:val="nil"/>
          <w:right w:val="nil"/>
          <w:between w:val="nil"/>
        </w:pBdr>
        <w:spacing w:line="360" w:lineRule="auto"/>
        <w:ind w:left="0" w:right="-734" w:firstLine="0"/>
        <w:jc w:val="both"/>
        <w:rPr>
          <w:color w:val="000000"/>
        </w:rPr>
      </w:pPr>
      <w:r>
        <w:rPr>
          <w:rFonts w:ascii="Palatino Linotype" w:eastAsia="Palatino Linotype" w:hAnsi="Palatino Linotype" w:cs="Palatino Linotype"/>
          <w:color w:val="000000"/>
        </w:rPr>
        <w:t xml:space="preserve">Ahora bien, la inconformidad del RECURRENTE radica en la versión pública que se realizó de los documentos entregados en respuesta, es decir, que el particular no se inconformó por las documentales, únicamente por la información que se testó; en este caso, la parte de la respuesta que no fue impugnada debe declararse consentida, toda vez que al </w:t>
      </w:r>
      <w:r>
        <w:rPr>
          <w:rFonts w:ascii="Palatino Linotype" w:eastAsia="Palatino Linotype" w:hAnsi="Palatino Linotype" w:cs="Palatino Linotype"/>
          <w:color w:val="000000"/>
        </w:rPr>
        <w:lastRenderedPageBreak/>
        <w:t xml:space="preserve">no realizar manifestaciones de inconformidad respecto de la respuesta proporcionada, no pueden producirse efectos jurídicos tendentes a revocar, confirmar o modificar el acto reclamado, ya que no realizó manifestación alguna al respecto. </w:t>
      </w:r>
    </w:p>
    <w:p w14:paraId="38F7B204" w14:textId="77777777" w:rsidR="00C25DAB" w:rsidRDefault="00C25DAB">
      <w:pPr>
        <w:pBdr>
          <w:top w:val="nil"/>
          <w:left w:val="nil"/>
          <w:bottom w:val="nil"/>
          <w:right w:val="nil"/>
          <w:between w:val="nil"/>
        </w:pBdr>
        <w:spacing w:line="360" w:lineRule="auto"/>
        <w:ind w:right="-734"/>
        <w:jc w:val="both"/>
        <w:rPr>
          <w:rFonts w:ascii="Palatino Linotype" w:eastAsia="Palatino Linotype" w:hAnsi="Palatino Linotype" w:cs="Palatino Linotype"/>
          <w:color w:val="000000"/>
        </w:rPr>
      </w:pPr>
    </w:p>
    <w:p w14:paraId="11751102" w14:textId="77777777" w:rsidR="00C25DAB" w:rsidRDefault="00D8235A">
      <w:pPr>
        <w:numPr>
          <w:ilvl w:val="0"/>
          <w:numId w:val="7"/>
        </w:numPr>
        <w:pBdr>
          <w:top w:val="nil"/>
          <w:left w:val="nil"/>
          <w:bottom w:val="nil"/>
          <w:right w:val="nil"/>
          <w:between w:val="nil"/>
        </w:pBdr>
        <w:spacing w:line="360" w:lineRule="auto"/>
        <w:ind w:left="0" w:right="-734" w:firstLine="0"/>
        <w:jc w:val="both"/>
        <w:rPr>
          <w:color w:val="000000"/>
        </w:rPr>
      </w:pPr>
      <w:r>
        <w:rPr>
          <w:rFonts w:ascii="Palatino Linotype" w:eastAsia="Palatino Linotype" w:hAnsi="Palatino Linotype" w:cs="Palatino Linotype"/>
          <w:color w:val="000000"/>
        </w:rPr>
        <w:t>Sirve de sustento, la tesis jurisprudencial número VI.3o.C. J/60, publicada en el Semanario Judicial de la Federación y su Gaceta bajo el número de registro 176,608 que a la letra dice:</w:t>
      </w:r>
    </w:p>
    <w:p w14:paraId="531A2D20" w14:textId="77777777" w:rsidR="00C25DAB" w:rsidRDefault="00D8235A">
      <w:pPr>
        <w:pBdr>
          <w:top w:val="nil"/>
          <w:left w:val="nil"/>
          <w:bottom w:val="nil"/>
          <w:right w:val="nil"/>
          <w:between w:val="nil"/>
        </w:pBdr>
        <w:spacing w:line="360" w:lineRule="auto"/>
        <w:ind w:left="425" w:right="25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“ACTOS CONSENTIDOS. SON LOS QUE NO SE IMPUGNAN MEDIANTE EL RECURSO IDÓNEO. Debe reputarse como consentido el acto que no se impugnó por el medio establecido por la ley,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14:paraId="2E4215B1" w14:textId="77777777" w:rsidR="00C25DAB" w:rsidRDefault="00C25DAB">
      <w:pPr>
        <w:pBdr>
          <w:top w:val="nil"/>
          <w:left w:val="nil"/>
          <w:bottom w:val="nil"/>
          <w:right w:val="nil"/>
          <w:between w:val="nil"/>
        </w:pBdr>
        <w:spacing w:line="360" w:lineRule="auto"/>
        <w:ind w:left="851" w:right="-734"/>
        <w:jc w:val="both"/>
        <w:rPr>
          <w:rFonts w:ascii="Palatino Linotype" w:eastAsia="Palatino Linotype" w:hAnsi="Palatino Linotype" w:cs="Palatino Linotype"/>
          <w:i/>
          <w:color w:val="000000"/>
        </w:rPr>
      </w:pPr>
    </w:p>
    <w:p w14:paraId="384704D0" w14:textId="77777777" w:rsidR="00C25DAB" w:rsidRDefault="00D8235A">
      <w:pPr>
        <w:numPr>
          <w:ilvl w:val="0"/>
          <w:numId w:val="7"/>
        </w:numPr>
        <w:pBdr>
          <w:top w:val="nil"/>
          <w:left w:val="nil"/>
          <w:bottom w:val="nil"/>
          <w:right w:val="nil"/>
          <w:between w:val="nil"/>
        </w:pBdr>
        <w:spacing w:line="360" w:lineRule="auto"/>
        <w:ind w:left="0" w:right="-734" w:firstLine="0"/>
        <w:jc w:val="both"/>
        <w:rPr>
          <w:color w:val="000000"/>
        </w:rPr>
      </w:pPr>
      <w:r>
        <w:rPr>
          <w:rFonts w:ascii="Palatino Linotype" w:eastAsia="Palatino Linotype" w:hAnsi="Palatino Linotype" w:cs="Palatino Linotype"/>
          <w:color w:val="000000"/>
        </w:rPr>
        <w:t xml:space="preserve">Lo anterior es así, debido a que cuando el particular impugnó la respuesta del SUJETO OBLIGADO, y no expresó razón o motivo de inconformidad en contra de lo que se le hizo entrega, por tanto, estos deben declararse atendidos, pues se entiende que EL RECURRENTE está conforme con la respuesta proporcionada por EL SUJETO OBLIGADO, al no contravenir la misma. </w:t>
      </w:r>
    </w:p>
    <w:p w14:paraId="17906D6A" w14:textId="77777777" w:rsidR="00C25DAB" w:rsidRDefault="00C25DAB">
      <w:pPr>
        <w:pBdr>
          <w:top w:val="nil"/>
          <w:left w:val="nil"/>
          <w:bottom w:val="nil"/>
          <w:right w:val="nil"/>
          <w:between w:val="nil"/>
        </w:pBdr>
        <w:spacing w:line="360" w:lineRule="auto"/>
        <w:ind w:right="-734"/>
        <w:jc w:val="both"/>
        <w:rPr>
          <w:rFonts w:ascii="Palatino Linotype" w:eastAsia="Palatino Linotype" w:hAnsi="Palatino Linotype" w:cs="Palatino Linotype"/>
          <w:color w:val="000000"/>
        </w:rPr>
      </w:pPr>
    </w:p>
    <w:p w14:paraId="1AC24AC9" w14:textId="77777777" w:rsidR="00C25DAB" w:rsidRDefault="00D8235A">
      <w:pPr>
        <w:numPr>
          <w:ilvl w:val="0"/>
          <w:numId w:val="7"/>
        </w:numPr>
        <w:pBdr>
          <w:top w:val="nil"/>
          <w:left w:val="nil"/>
          <w:bottom w:val="nil"/>
          <w:right w:val="nil"/>
          <w:between w:val="nil"/>
        </w:pBdr>
        <w:spacing w:line="360" w:lineRule="auto"/>
        <w:ind w:left="0" w:right="-734" w:firstLine="0"/>
        <w:jc w:val="both"/>
        <w:rPr>
          <w:color w:val="000000"/>
        </w:rPr>
      </w:pPr>
      <w:r>
        <w:rPr>
          <w:rFonts w:ascii="Palatino Linotype" w:eastAsia="Palatino Linotype" w:hAnsi="Palatino Linotype" w:cs="Palatino Linotype"/>
          <w:color w:val="000000"/>
        </w:rPr>
        <w:t>Atento a ello, es importante traer a contexto la Tesis Jurisprudencial Número 3ª./J.7/91, Publicada en el Semanario Judicial de la Federación y su Gaceta bajo el número de registro 174,177, que establece lo siguiente:</w:t>
      </w:r>
    </w:p>
    <w:p w14:paraId="2ABBBB3E" w14:textId="77777777" w:rsidR="00C25DAB" w:rsidRDefault="00D8235A">
      <w:pPr>
        <w:pBdr>
          <w:top w:val="nil"/>
          <w:left w:val="nil"/>
          <w:bottom w:val="nil"/>
          <w:right w:val="nil"/>
          <w:between w:val="nil"/>
        </w:pBdr>
        <w:spacing w:after="240" w:line="360" w:lineRule="auto"/>
        <w:ind w:left="851" w:right="-16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“REVISIÓN EN AMPARO. LOS RESOLUTIVOS NO COMBATIDOS DEBEN DECLARARSE FIRMES. Cuando algún resolutivo de la sentencia impugnada afecta a la </w:t>
      </w:r>
      <w:r>
        <w:rPr>
          <w:rFonts w:ascii="Palatino Linotype" w:eastAsia="Palatino Linotype" w:hAnsi="Palatino Linotype" w:cs="Palatino Linotype"/>
          <w:i/>
          <w:color w:val="000000"/>
          <w:sz w:val="22"/>
          <w:szCs w:val="22"/>
        </w:rPr>
        <w:lastRenderedPageBreak/>
        <w:t>recurrente, y ésta no expresa agravio en contra de las consideraciones que le sirven de base, dicho resolutivo debe declararse firme. Esto es, en el caso referido, no obstante que la materia de la revisión comprende a todos los resolutivos que afectan a la recurrente, deben declararse firmes aquéllos en contra de los cuales no se formuló agravio y dicha declaración de firmeza debe reflejarse en la parte considerativa y en los resolutivos debe confirmarse la sentencia recurrida en la parte correspondiente.”</w:t>
      </w:r>
    </w:p>
    <w:p w14:paraId="7F0AF22A" w14:textId="77777777" w:rsidR="00C25DAB" w:rsidRDefault="00D8235A">
      <w:pPr>
        <w:numPr>
          <w:ilvl w:val="0"/>
          <w:numId w:val="7"/>
        </w:numPr>
        <w:spacing w:line="360" w:lineRule="auto"/>
        <w:ind w:left="0" w:right="-734" w:firstLine="0"/>
        <w:jc w:val="both"/>
      </w:pPr>
      <w:r>
        <w:rPr>
          <w:rFonts w:ascii="Palatino Linotype" w:eastAsia="Palatino Linotype" w:hAnsi="Palatino Linotype" w:cs="Palatino Linotype"/>
        </w:rPr>
        <w:t xml:space="preserve">Conforme al Criterio establecido, es improcedente entrar al análisis de las partes de la respuesta del Sujeto Obligado que no fueron impugnadas por el Recurrente; por lo que, en el presente caso, se tiene por consentida parte de la información proporcionada por el Ente Recurrido, en respuesta. En este contexto, se hará pronunciamiento, únicamente por la información que se clasificó. </w:t>
      </w:r>
    </w:p>
    <w:p w14:paraId="61F941BF" w14:textId="77777777" w:rsidR="00C25DAB" w:rsidRDefault="00C25DAB">
      <w:pPr>
        <w:spacing w:line="360" w:lineRule="auto"/>
        <w:ind w:right="-734"/>
        <w:jc w:val="both"/>
        <w:rPr>
          <w:rFonts w:ascii="Palatino Linotype" w:eastAsia="Palatino Linotype" w:hAnsi="Palatino Linotype" w:cs="Palatino Linotype"/>
        </w:rPr>
      </w:pPr>
    </w:p>
    <w:p w14:paraId="325C2C68" w14:textId="77777777" w:rsidR="00C25DAB" w:rsidRDefault="00D8235A">
      <w:pPr>
        <w:numPr>
          <w:ilvl w:val="0"/>
          <w:numId w:val="7"/>
        </w:numPr>
        <w:spacing w:line="360" w:lineRule="auto"/>
        <w:ind w:left="0" w:right="-734" w:firstLine="0"/>
        <w:jc w:val="both"/>
      </w:pPr>
      <w:r>
        <w:rPr>
          <w:rFonts w:ascii="Palatino Linotype" w:eastAsia="Palatino Linotype" w:hAnsi="Palatino Linotype" w:cs="Palatino Linotype"/>
        </w:rPr>
        <w:t>En este contexto, conviene señalar que de acuerdo con la Ley de Transparencia vigente en la Entidad, se entiende que la información pública es toda aquella que sea generada, obtenida, adquirida, transformada, administrada o en posesión de los sujetos obligados y la misma debe ser accesible de manera permanente a cualquier persona, siempre privilegiando el principio de máxima publicidad, tal y como se lee de sus artículo 4, segundo párrafo:</w:t>
      </w:r>
    </w:p>
    <w:p w14:paraId="15205A77" w14:textId="77777777" w:rsidR="00C25DAB" w:rsidRDefault="00D8235A">
      <w:pPr>
        <w:spacing w:line="360" w:lineRule="auto"/>
        <w:ind w:left="851" w:right="115"/>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“Artículo 4. </w:t>
      </w:r>
    </w:p>
    <w:p w14:paraId="153B420D" w14:textId="77777777" w:rsidR="00C25DAB" w:rsidRDefault="00D8235A">
      <w:pPr>
        <w:spacing w:line="360" w:lineRule="auto"/>
        <w:ind w:left="851" w:right="115"/>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14:paraId="1D61B6C1" w14:textId="77777777" w:rsidR="00C25DAB" w:rsidRDefault="00D8235A">
      <w:pPr>
        <w:spacing w:line="360" w:lineRule="auto"/>
        <w:ind w:left="851" w:right="115"/>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Toda la información generada, obtenida, adquirida, transformada, administrada o en posesión de los sujetos obligados es pública y accesible de manera permanente a cualquier persona</w:t>
      </w:r>
      <w:r>
        <w:rPr>
          <w:rFonts w:ascii="Palatino Linotype" w:eastAsia="Palatino Linotype" w:hAnsi="Palatino Linotype" w:cs="Palatino Linotype"/>
          <w:i/>
          <w:sz w:val="22"/>
          <w:szCs w:val="22"/>
        </w:rPr>
        <w:t xml:space="preserve">,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w:t>
      </w:r>
      <w:r>
        <w:rPr>
          <w:rFonts w:ascii="Palatino Linotype" w:eastAsia="Palatino Linotype" w:hAnsi="Palatino Linotype" w:cs="Palatino Linotype"/>
          <w:i/>
          <w:sz w:val="22"/>
          <w:szCs w:val="22"/>
        </w:rPr>
        <w:lastRenderedPageBreak/>
        <w:t>razones de interés público, en los términos de las causas legítimas y estrictamente necesarias previstas por esta Ley. …”</w:t>
      </w:r>
    </w:p>
    <w:p w14:paraId="48ACCF46" w14:textId="77777777" w:rsidR="00C25DAB" w:rsidRDefault="00D8235A">
      <w:pPr>
        <w:spacing w:line="360" w:lineRule="auto"/>
        <w:ind w:left="851" w:right="115"/>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Énfasis añadido</w:t>
      </w:r>
    </w:p>
    <w:p w14:paraId="28987D02" w14:textId="77777777" w:rsidR="00C25DAB" w:rsidRDefault="00C25DAB">
      <w:pPr>
        <w:spacing w:line="360" w:lineRule="auto"/>
        <w:ind w:right="-734"/>
        <w:jc w:val="both"/>
        <w:rPr>
          <w:rFonts w:ascii="Palatino Linotype" w:eastAsia="Palatino Linotype" w:hAnsi="Palatino Linotype" w:cs="Palatino Linotype"/>
        </w:rPr>
      </w:pPr>
    </w:p>
    <w:p w14:paraId="7D0081A0" w14:textId="77777777" w:rsidR="00C25DAB" w:rsidRDefault="00D8235A">
      <w:pPr>
        <w:numPr>
          <w:ilvl w:val="0"/>
          <w:numId w:val="7"/>
        </w:numPr>
        <w:spacing w:line="360" w:lineRule="auto"/>
        <w:ind w:left="0" w:right="-734" w:firstLine="0"/>
        <w:jc w:val="both"/>
      </w:pPr>
      <w:r>
        <w:rPr>
          <w:rFonts w:ascii="Palatino Linotype" w:eastAsia="Palatino Linotype" w:hAnsi="Palatino Linotype" w:cs="Palatino Linotype"/>
        </w:rPr>
        <w:t>Por lo tanto, los Sujeto Obligados cuentan con el deber de satisfacer las solicitudes de acceso a la información que le sean formuladas y de entregar la información pública que obre en sus archivos como lo indica el artículo 12, segundo párrafo de la Ley en análisis, que a la letra dice:</w:t>
      </w:r>
    </w:p>
    <w:p w14:paraId="1779D768" w14:textId="77777777" w:rsidR="00C25DAB" w:rsidRDefault="00D8235A">
      <w:pPr>
        <w:spacing w:line="360" w:lineRule="auto"/>
        <w:ind w:left="851" w:right="25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“Artículo 12. (…)</w:t>
      </w:r>
    </w:p>
    <w:p w14:paraId="3849630F" w14:textId="77777777" w:rsidR="00C25DAB" w:rsidRDefault="00D8235A">
      <w:pPr>
        <w:spacing w:line="360" w:lineRule="auto"/>
        <w:ind w:left="851" w:right="25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p>
    <w:p w14:paraId="726A0BB7" w14:textId="77777777" w:rsidR="00C25DAB" w:rsidRDefault="00C25DAB">
      <w:pPr>
        <w:pBdr>
          <w:top w:val="nil"/>
          <w:left w:val="nil"/>
          <w:bottom w:val="nil"/>
          <w:right w:val="nil"/>
          <w:between w:val="nil"/>
        </w:pBdr>
        <w:spacing w:line="360" w:lineRule="auto"/>
        <w:ind w:right="-734"/>
        <w:jc w:val="both"/>
        <w:rPr>
          <w:rFonts w:ascii="Palatino Linotype" w:eastAsia="Palatino Linotype" w:hAnsi="Palatino Linotype" w:cs="Palatino Linotype"/>
          <w:i/>
          <w:color w:val="000000"/>
        </w:rPr>
      </w:pPr>
    </w:p>
    <w:p w14:paraId="69506071" w14:textId="77777777" w:rsidR="00C25DAB" w:rsidRDefault="00D8235A">
      <w:pPr>
        <w:numPr>
          <w:ilvl w:val="0"/>
          <w:numId w:val="7"/>
        </w:numPr>
        <w:spacing w:line="360" w:lineRule="auto"/>
        <w:ind w:left="0" w:right="-734" w:firstLine="0"/>
        <w:jc w:val="both"/>
      </w:pPr>
      <w:r>
        <w:rPr>
          <w:rFonts w:ascii="Palatino Linotype" w:eastAsia="Palatino Linotype" w:hAnsi="Palatino Linotype" w:cs="Palatino Linotype"/>
        </w:rPr>
        <w:t>Ahora bien, es importante señalar que la clasificación total o parcial de la información requerida mediante solicitud de acceso a la información pública, constituye una restricción al derecho humano de acceso a la información. En este caso, la clasificación total o parcial de la información es un supuesto que tanto la Ley General de Transparencia y Acceso a la Información Pública, en adelante, la Ley General, como la Ley de Transparencia y Acceso a la Información Pública del Estado de México y Municipios, en adelante, la Ley Estatal, establecen, y agotar el procedimiento legalmente establecido, es precisamente lo que permite acreditar el cumplimiento de los otros dos requisitos.</w:t>
      </w:r>
    </w:p>
    <w:p w14:paraId="4B90BDB8" w14:textId="77777777" w:rsidR="00C25DAB" w:rsidRDefault="00C25DAB">
      <w:pPr>
        <w:spacing w:line="360" w:lineRule="auto"/>
        <w:ind w:right="-734"/>
        <w:jc w:val="both"/>
        <w:rPr>
          <w:rFonts w:ascii="Palatino Linotype" w:eastAsia="Palatino Linotype" w:hAnsi="Palatino Linotype" w:cs="Palatino Linotype"/>
        </w:rPr>
      </w:pPr>
    </w:p>
    <w:p w14:paraId="0ACB208D" w14:textId="77777777" w:rsidR="00C25DAB" w:rsidRDefault="00D8235A">
      <w:pPr>
        <w:numPr>
          <w:ilvl w:val="0"/>
          <w:numId w:val="7"/>
        </w:numPr>
        <w:spacing w:line="360" w:lineRule="auto"/>
        <w:ind w:left="0" w:right="-734" w:firstLine="0"/>
        <w:jc w:val="both"/>
      </w:pPr>
      <w:r>
        <w:rPr>
          <w:rFonts w:ascii="Palatino Linotype" w:eastAsia="Palatino Linotype" w:hAnsi="Palatino Linotype" w:cs="Palatino Linotype"/>
          <w:color w:val="000000"/>
        </w:rPr>
        <w:lastRenderedPageBreak/>
        <w:t xml:space="preserve">Así, es importante señalar que para la clasificación de la información se debe atender a ciertas formalidades establecidas en la Ley. </w:t>
      </w:r>
      <w:r>
        <w:rPr>
          <w:rFonts w:ascii="Palatino Linotype" w:eastAsia="Palatino Linotype" w:hAnsi="Palatino Linotype" w:cs="Palatino Linotype"/>
        </w:rPr>
        <w:t>Al respecto, los Lineamientos Generales en Materia de Clasificación y Desclasificación de la Información, así Como para la Elaboración de Versiones Públicas, por cuanto hace a la clasificación de la información, señalan lo siguiente:</w:t>
      </w:r>
    </w:p>
    <w:p w14:paraId="2DAC797F" w14:textId="77777777" w:rsidR="00C25DAB" w:rsidRDefault="00D8235A">
      <w:pPr>
        <w:pBdr>
          <w:top w:val="nil"/>
          <w:left w:val="nil"/>
          <w:bottom w:val="nil"/>
          <w:right w:val="nil"/>
          <w:between w:val="nil"/>
        </w:pBdr>
        <w:tabs>
          <w:tab w:val="left" w:pos="142"/>
          <w:tab w:val="left" w:pos="284"/>
          <w:tab w:val="left" w:pos="851"/>
        </w:tabs>
        <w:spacing w:line="276" w:lineRule="auto"/>
        <w:ind w:left="851" w:right="25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w:t>
      </w:r>
      <w:r>
        <w:rPr>
          <w:rFonts w:ascii="Palatino Linotype" w:eastAsia="Palatino Linotype" w:hAnsi="Palatino Linotype" w:cs="Palatino Linotype"/>
          <w:b/>
          <w:i/>
          <w:color w:val="000000"/>
          <w:sz w:val="22"/>
          <w:szCs w:val="22"/>
        </w:rPr>
        <w:t>Quincuagésimo.</w:t>
      </w:r>
      <w:r>
        <w:rPr>
          <w:rFonts w:ascii="Palatino Linotype" w:eastAsia="Palatino Linotype" w:hAnsi="Palatino Linotype" w:cs="Palatino Linotype"/>
          <w:i/>
          <w:color w:val="000000"/>
          <w:sz w:val="22"/>
          <w:szCs w:val="22"/>
        </w:rPr>
        <w:t xml:space="preserve"> Los titulares de las áreas de los sujetos obligados podrán utilizar los formatos contenidos en el presente Capítulo como modelo para señalar la clasificación de documentos o expedientes, sin perjuicio de que establezcan los propios.</w:t>
      </w:r>
    </w:p>
    <w:p w14:paraId="4CBDC06C" w14:textId="77777777" w:rsidR="00C25DAB" w:rsidRDefault="00C25DAB">
      <w:pPr>
        <w:pBdr>
          <w:top w:val="nil"/>
          <w:left w:val="nil"/>
          <w:bottom w:val="nil"/>
          <w:right w:val="nil"/>
          <w:between w:val="nil"/>
        </w:pBdr>
        <w:tabs>
          <w:tab w:val="left" w:pos="142"/>
          <w:tab w:val="left" w:pos="284"/>
          <w:tab w:val="left" w:pos="851"/>
        </w:tabs>
        <w:spacing w:line="276" w:lineRule="auto"/>
        <w:ind w:left="851" w:right="257"/>
        <w:jc w:val="both"/>
        <w:rPr>
          <w:rFonts w:ascii="Palatino Linotype" w:eastAsia="Palatino Linotype" w:hAnsi="Palatino Linotype" w:cs="Palatino Linotype"/>
          <w:i/>
          <w:color w:val="000000"/>
          <w:sz w:val="22"/>
          <w:szCs w:val="22"/>
        </w:rPr>
      </w:pPr>
    </w:p>
    <w:p w14:paraId="268BCD6C" w14:textId="77777777" w:rsidR="00C25DAB" w:rsidRDefault="00D8235A">
      <w:pPr>
        <w:pBdr>
          <w:top w:val="nil"/>
          <w:left w:val="nil"/>
          <w:bottom w:val="nil"/>
          <w:right w:val="nil"/>
          <w:between w:val="nil"/>
        </w:pBdr>
        <w:tabs>
          <w:tab w:val="left" w:pos="142"/>
          <w:tab w:val="left" w:pos="284"/>
          <w:tab w:val="left" w:pos="851"/>
        </w:tabs>
        <w:spacing w:line="276" w:lineRule="auto"/>
        <w:ind w:left="851" w:right="25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Quincuagésimo primero.</w:t>
      </w:r>
      <w:r>
        <w:rPr>
          <w:rFonts w:ascii="Palatino Linotype" w:eastAsia="Palatino Linotype" w:hAnsi="Palatino Linotype" w:cs="Palatino Linotype"/>
          <w:i/>
          <w:color w:val="000000"/>
          <w:sz w:val="22"/>
          <w:szCs w:val="22"/>
        </w:rPr>
        <w:t xml:space="preserve"> La leyenda en los documentos clasificados indicará:</w:t>
      </w:r>
    </w:p>
    <w:p w14:paraId="5C546812" w14:textId="77777777" w:rsidR="00C25DAB" w:rsidRDefault="00D8235A">
      <w:pPr>
        <w:pBdr>
          <w:top w:val="nil"/>
          <w:left w:val="nil"/>
          <w:bottom w:val="nil"/>
          <w:right w:val="nil"/>
          <w:between w:val="nil"/>
        </w:pBdr>
        <w:tabs>
          <w:tab w:val="left" w:pos="142"/>
          <w:tab w:val="left" w:pos="284"/>
          <w:tab w:val="left" w:pos="851"/>
        </w:tabs>
        <w:spacing w:line="276" w:lineRule="auto"/>
        <w:ind w:left="851" w:right="25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I. La fecha de sesión del Comité de Transparencia en donde se confirmó la clasificación, en su caso;</w:t>
      </w:r>
    </w:p>
    <w:p w14:paraId="2D297174" w14:textId="77777777" w:rsidR="00C25DAB" w:rsidRDefault="00D8235A">
      <w:pPr>
        <w:pBdr>
          <w:top w:val="nil"/>
          <w:left w:val="nil"/>
          <w:bottom w:val="nil"/>
          <w:right w:val="nil"/>
          <w:between w:val="nil"/>
        </w:pBdr>
        <w:tabs>
          <w:tab w:val="left" w:pos="142"/>
          <w:tab w:val="left" w:pos="284"/>
          <w:tab w:val="left" w:pos="851"/>
        </w:tabs>
        <w:spacing w:line="276" w:lineRule="auto"/>
        <w:ind w:left="851" w:right="25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II. El nombre del área;</w:t>
      </w:r>
    </w:p>
    <w:p w14:paraId="29F22CBC" w14:textId="77777777" w:rsidR="00C25DAB" w:rsidRDefault="00D8235A">
      <w:pPr>
        <w:pBdr>
          <w:top w:val="nil"/>
          <w:left w:val="nil"/>
          <w:bottom w:val="nil"/>
          <w:right w:val="nil"/>
          <w:between w:val="nil"/>
        </w:pBdr>
        <w:tabs>
          <w:tab w:val="left" w:pos="142"/>
          <w:tab w:val="left" w:pos="284"/>
          <w:tab w:val="left" w:pos="851"/>
        </w:tabs>
        <w:spacing w:line="276" w:lineRule="auto"/>
        <w:ind w:left="851" w:right="25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III. La palabra reservado o confidencial;</w:t>
      </w:r>
    </w:p>
    <w:p w14:paraId="4AAAE79C" w14:textId="77777777" w:rsidR="00C25DAB" w:rsidRDefault="00D8235A">
      <w:pPr>
        <w:pBdr>
          <w:top w:val="nil"/>
          <w:left w:val="nil"/>
          <w:bottom w:val="nil"/>
          <w:right w:val="nil"/>
          <w:between w:val="nil"/>
        </w:pBdr>
        <w:tabs>
          <w:tab w:val="left" w:pos="142"/>
          <w:tab w:val="left" w:pos="284"/>
          <w:tab w:val="left" w:pos="851"/>
        </w:tabs>
        <w:spacing w:line="276" w:lineRule="auto"/>
        <w:ind w:left="851" w:right="25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IV. Las partes o secciones reservadas o confidenciales, en su caso;</w:t>
      </w:r>
    </w:p>
    <w:p w14:paraId="1984382C" w14:textId="77777777" w:rsidR="00C25DAB" w:rsidRDefault="00D8235A">
      <w:pPr>
        <w:pBdr>
          <w:top w:val="nil"/>
          <w:left w:val="nil"/>
          <w:bottom w:val="nil"/>
          <w:right w:val="nil"/>
          <w:between w:val="nil"/>
        </w:pBdr>
        <w:tabs>
          <w:tab w:val="left" w:pos="142"/>
          <w:tab w:val="left" w:pos="284"/>
          <w:tab w:val="left" w:pos="851"/>
        </w:tabs>
        <w:spacing w:line="276" w:lineRule="auto"/>
        <w:ind w:left="851" w:right="25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V. El fundamento legal;</w:t>
      </w:r>
    </w:p>
    <w:p w14:paraId="006BA410" w14:textId="77777777" w:rsidR="00C25DAB" w:rsidRDefault="00D8235A">
      <w:pPr>
        <w:pBdr>
          <w:top w:val="nil"/>
          <w:left w:val="nil"/>
          <w:bottom w:val="nil"/>
          <w:right w:val="nil"/>
          <w:between w:val="nil"/>
        </w:pBdr>
        <w:tabs>
          <w:tab w:val="left" w:pos="142"/>
          <w:tab w:val="left" w:pos="284"/>
          <w:tab w:val="left" w:pos="851"/>
        </w:tabs>
        <w:spacing w:line="276" w:lineRule="auto"/>
        <w:ind w:left="851" w:right="25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VI. El periodo de reserva, y</w:t>
      </w:r>
    </w:p>
    <w:p w14:paraId="3C81B681" w14:textId="77777777" w:rsidR="00C25DAB" w:rsidRDefault="00D8235A">
      <w:pPr>
        <w:pBdr>
          <w:top w:val="nil"/>
          <w:left w:val="nil"/>
          <w:bottom w:val="nil"/>
          <w:right w:val="nil"/>
          <w:between w:val="nil"/>
        </w:pBdr>
        <w:tabs>
          <w:tab w:val="left" w:pos="142"/>
          <w:tab w:val="left" w:pos="284"/>
          <w:tab w:val="left" w:pos="851"/>
        </w:tabs>
        <w:spacing w:line="276" w:lineRule="auto"/>
        <w:ind w:left="851" w:right="25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VII. La rúbrica del titular del área.</w:t>
      </w:r>
    </w:p>
    <w:p w14:paraId="574351A6" w14:textId="77777777" w:rsidR="00C25DAB" w:rsidRDefault="00D8235A">
      <w:pPr>
        <w:numPr>
          <w:ilvl w:val="0"/>
          <w:numId w:val="7"/>
        </w:numPr>
        <w:pBdr>
          <w:top w:val="nil"/>
          <w:left w:val="nil"/>
          <w:bottom w:val="nil"/>
          <w:right w:val="nil"/>
          <w:between w:val="nil"/>
        </w:pBdr>
        <w:tabs>
          <w:tab w:val="left" w:pos="0"/>
        </w:tabs>
        <w:spacing w:line="360" w:lineRule="auto"/>
        <w:ind w:left="0" w:right="-734" w:firstLine="0"/>
        <w:jc w:val="both"/>
        <w:rPr>
          <w:color w:val="000000"/>
        </w:rPr>
      </w:pPr>
      <w:r>
        <w:rPr>
          <w:rFonts w:ascii="Palatino Linotype" w:eastAsia="Palatino Linotype" w:hAnsi="Palatino Linotype" w:cs="Palatino Linotype"/>
          <w:color w:val="000000"/>
        </w:rPr>
        <w:t xml:space="preserve">Una vez hecho lo anterior, se remite la información al Titular de la Unidad de Transparencia, con el acuerdo de clasificación correspondiente, para que sea </w:t>
      </w:r>
      <w:r>
        <w:rPr>
          <w:rFonts w:ascii="Palatino Linotype" w:eastAsia="Palatino Linotype" w:hAnsi="Palatino Linotype" w:cs="Palatino Linotype"/>
        </w:rPr>
        <w:t>sometida</w:t>
      </w:r>
      <w:r>
        <w:rPr>
          <w:rFonts w:ascii="Palatino Linotype" w:eastAsia="Palatino Linotype" w:hAnsi="Palatino Linotype" w:cs="Palatino Linotype"/>
          <w:color w:val="000000"/>
        </w:rPr>
        <w:t xml:space="preserve"> al conocimiento del Comité de Transparencia.</w:t>
      </w:r>
    </w:p>
    <w:p w14:paraId="4CA029FE" w14:textId="77777777" w:rsidR="00C25DAB" w:rsidRDefault="00C25DAB">
      <w:pPr>
        <w:pBdr>
          <w:top w:val="nil"/>
          <w:left w:val="nil"/>
          <w:bottom w:val="nil"/>
          <w:right w:val="nil"/>
          <w:between w:val="nil"/>
        </w:pBdr>
        <w:tabs>
          <w:tab w:val="left" w:pos="0"/>
        </w:tabs>
        <w:spacing w:line="360" w:lineRule="auto"/>
        <w:ind w:right="-734"/>
        <w:jc w:val="both"/>
        <w:rPr>
          <w:rFonts w:ascii="Palatino Linotype" w:eastAsia="Palatino Linotype" w:hAnsi="Palatino Linotype" w:cs="Palatino Linotype"/>
          <w:color w:val="000000"/>
        </w:rPr>
      </w:pPr>
    </w:p>
    <w:p w14:paraId="3777C333" w14:textId="77777777" w:rsidR="00C25DAB" w:rsidRDefault="00D8235A">
      <w:pPr>
        <w:numPr>
          <w:ilvl w:val="0"/>
          <w:numId w:val="7"/>
        </w:numPr>
        <w:pBdr>
          <w:top w:val="nil"/>
          <w:left w:val="nil"/>
          <w:bottom w:val="nil"/>
          <w:right w:val="nil"/>
          <w:between w:val="nil"/>
        </w:pBdr>
        <w:tabs>
          <w:tab w:val="left" w:pos="0"/>
        </w:tabs>
        <w:spacing w:line="360" w:lineRule="auto"/>
        <w:ind w:left="0" w:right="-734" w:firstLine="0"/>
        <w:jc w:val="both"/>
        <w:rPr>
          <w:color w:val="000000"/>
        </w:rPr>
      </w:pPr>
      <w:r>
        <w:rPr>
          <w:rFonts w:ascii="Palatino Linotype" w:eastAsia="Palatino Linotype" w:hAnsi="Palatino Linotype" w:cs="Palatino Linotype"/>
          <w:color w:val="000000"/>
        </w:rPr>
        <w:t xml:space="preserve">El Comité de Transparencia, según lo dispuesto en los artículos 128 y 103 de la Ley Estatal y de la Ley General, respectivamente, y la fracción III del numeral Segundo de los Lineamientos generales en materia de clasificación y desclasificación de la información, así como para la elaboración de versiones públicas, en adelante los Lineamientos Generales, cuenta con las facultades para </w:t>
      </w:r>
      <w:r>
        <w:rPr>
          <w:rFonts w:ascii="Palatino Linotype" w:eastAsia="Palatino Linotype" w:hAnsi="Palatino Linotype" w:cs="Palatino Linotype"/>
          <w:b/>
          <w:color w:val="000000"/>
          <w:u w:val="single"/>
        </w:rPr>
        <w:t>confirmar, modificar o revocar</w:t>
      </w:r>
      <w:r>
        <w:rPr>
          <w:rFonts w:ascii="Palatino Linotype" w:eastAsia="Palatino Linotype" w:hAnsi="Palatino Linotype" w:cs="Palatino Linotype"/>
          <w:color w:val="000000"/>
        </w:rPr>
        <w:t xml:space="preserve"> la clasificación de la información que ha hecho el titular del área que administra la información. Por lo tanto, el </w:t>
      </w:r>
      <w:r>
        <w:rPr>
          <w:rFonts w:ascii="Palatino Linotype" w:eastAsia="Palatino Linotype" w:hAnsi="Palatino Linotype" w:cs="Palatino Linotype"/>
          <w:color w:val="000000"/>
        </w:rPr>
        <w:lastRenderedPageBreak/>
        <w:t xml:space="preserve">Comité </w:t>
      </w:r>
      <w:r>
        <w:rPr>
          <w:rFonts w:ascii="Palatino Linotype" w:eastAsia="Palatino Linotype" w:hAnsi="Palatino Linotype" w:cs="Palatino Linotype"/>
          <w:b/>
          <w:color w:val="000000"/>
          <w:u w:val="single"/>
        </w:rPr>
        <w:t>no aprueba</w:t>
      </w:r>
      <w:r>
        <w:rPr>
          <w:rFonts w:ascii="Palatino Linotype" w:eastAsia="Palatino Linotype" w:hAnsi="Palatino Linotype" w:cs="Palatino Linotype"/>
          <w:color w:val="000000"/>
        </w:rPr>
        <w:t xml:space="preserve"> la clasificación, sino que revisa lo que ha hecho el titular del área y confirma, modifica o revoca la decisión a través de un acuerdo.</w:t>
      </w:r>
    </w:p>
    <w:p w14:paraId="088851C6" w14:textId="77777777" w:rsidR="00C25DAB" w:rsidRDefault="00C25DAB">
      <w:pPr>
        <w:pBdr>
          <w:top w:val="nil"/>
          <w:left w:val="nil"/>
          <w:bottom w:val="nil"/>
          <w:right w:val="nil"/>
          <w:between w:val="nil"/>
        </w:pBdr>
        <w:tabs>
          <w:tab w:val="left" w:pos="0"/>
        </w:tabs>
        <w:spacing w:line="360" w:lineRule="auto"/>
        <w:ind w:right="-734"/>
        <w:jc w:val="both"/>
        <w:rPr>
          <w:rFonts w:ascii="Palatino Linotype" w:eastAsia="Palatino Linotype" w:hAnsi="Palatino Linotype" w:cs="Palatino Linotype"/>
          <w:color w:val="000000"/>
        </w:rPr>
      </w:pPr>
    </w:p>
    <w:p w14:paraId="70B5CF06" w14:textId="77777777" w:rsidR="00C25DAB" w:rsidRDefault="00D8235A">
      <w:pPr>
        <w:numPr>
          <w:ilvl w:val="0"/>
          <w:numId w:val="7"/>
        </w:numPr>
        <w:pBdr>
          <w:top w:val="nil"/>
          <w:left w:val="nil"/>
          <w:bottom w:val="nil"/>
          <w:right w:val="nil"/>
          <w:between w:val="nil"/>
        </w:pBdr>
        <w:tabs>
          <w:tab w:val="left" w:pos="0"/>
        </w:tabs>
        <w:spacing w:line="360" w:lineRule="auto"/>
        <w:ind w:left="0" w:right="-734" w:firstLine="0"/>
        <w:jc w:val="both"/>
        <w:rPr>
          <w:color w:val="000000"/>
        </w:rPr>
      </w:pPr>
      <w:r>
        <w:rPr>
          <w:rFonts w:ascii="Palatino Linotype" w:eastAsia="Palatino Linotype" w:hAnsi="Palatino Linotype" w:cs="Palatino Linotype"/>
          <w:color w:val="000000"/>
        </w:rPr>
        <w:t xml:space="preserve">Evidentemente, esta decisión implica una restricción a un derecho humano, por lo tanto, puede generar un agravio al particular y, en consecuencia, es necesario que </w:t>
      </w:r>
      <w:r>
        <w:rPr>
          <w:rFonts w:ascii="Palatino Linotype" w:eastAsia="Palatino Linotype" w:hAnsi="Palatino Linotype" w:cs="Palatino Linotype"/>
          <w:b/>
          <w:color w:val="000000"/>
          <w:u w:val="single"/>
        </w:rPr>
        <w:t>el acto reúna con los requisitos elementales</w:t>
      </w:r>
      <w:r>
        <w:rPr>
          <w:rFonts w:ascii="Palatino Linotype" w:eastAsia="Palatino Linotype" w:hAnsi="Palatino Linotype" w:cs="Palatino Linotype"/>
          <w:color w:val="000000"/>
        </w:rPr>
        <w:t>, entre ellos, que la autoridad que va a emitir el acto de autoridad sea la legalmente facultada para ello, es decir, que cumpla con el principio de reserva de ley,  por lo que no está demás señalar que el artículo 45 de la Ley Estatal, claramente señala que el Comité de Transparencia, legalmente facultado para emitir el acuerdo de clasificación, se integra por el Titular de la Unidad de Transparencia, el responsable del área coordinadora de archivos y el titular del órgano interno de control, integrado siempre por un número impar y que no debe de existir dependencia jerárquica entre sus integrantes. Cualquier otra composición del Comité puede generar vicios de legalidad de origen en el acto que restringe un derecho humano.</w:t>
      </w:r>
    </w:p>
    <w:p w14:paraId="09D41EEE" w14:textId="77777777" w:rsidR="00C25DAB" w:rsidRDefault="00C25DAB">
      <w:pPr>
        <w:pBdr>
          <w:top w:val="nil"/>
          <w:left w:val="nil"/>
          <w:bottom w:val="nil"/>
          <w:right w:val="nil"/>
          <w:between w:val="nil"/>
        </w:pBdr>
        <w:spacing w:line="360" w:lineRule="auto"/>
        <w:ind w:right="-734"/>
        <w:rPr>
          <w:rFonts w:ascii="Palatino Linotype" w:eastAsia="Palatino Linotype" w:hAnsi="Palatino Linotype" w:cs="Palatino Linotype"/>
          <w:color w:val="000000"/>
        </w:rPr>
      </w:pPr>
    </w:p>
    <w:p w14:paraId="29B34CC8" w14:textId="77777777" w:rsidR="00C25DAB" w:rsidRDefault="00D8235A">
      <w:pPr>
        <w:numPr>
          <w:ilvl w:val="0"/>
          <w:numId w:val="7"/>
        </w:numPr>
        <w:pBdr>
          <w:top w:val="nil"/>
          <w:left w:val="nil"/>
          <w:bottom w:val="nil"/>
          <w:right w:val="nil"/>
          <w:between w:val="nil"/>
        </w:pBdr>
        <w:tabs>
          <w:tab w:val="left" w:pos="0"/>
        </w:tabs>
        <w:spacing w:line="360" w:lineRule="auto"/>
        <w:ind w:left="0" w:right="-734" w:firstLine="0"/>
        <w:jc w:val="both"/>
        <w:rPr>
          <w:color w:val="000000"/>
        </w:rPr>
      </w:pPr>
      <w:r>
        <w:rPr>
          <w:rFonts w:ascii="Palatino Linotype" w:eastAsia="Palatino Linotype" w:hAnsi="Palatino Linotype" w:cs="Palatino Linotype"/>
          <w:color w:val="000000"/>
        </w:rPr>
        <w:t>La decisión de confirmar, modificar o revocar la clasificación deberá de asentarse en un documento que registre la determinación a la que se llegue después de un análisis minucioso a partir de lo aprobado por el Titular del área que administra la información, cuyo análisis debe integrarse en la agenda de los asuntos a tratar en las sesiones, se insiste, a partir de las decisiones adoptadas previamente por los titulares de áreas y que son sujetas a control, en primera instancia, por el Comité de Transparencia.</w:t>
      </w:r>
    </w:p>
    <w:p w14:paraId="5E955099" w14:textId="77777777" w:rsidR="00C25DAB" w:rsidRDefault="00C25DAB">
      <w:pPr>
        <w:pBdr>
          <w:top w:val="nil"/>
          <w:left w:val="nil"/>
          <w:bottom w:val="nil"/>
          <w:right w:val="nil"/>
          <w:between w:val="nil"/>
        </w:pBdr>
        <w:spacing w:line="360" w:lineRule="auto"/>
        <w:ind w:right="-734"/>
        <w:rPr>
          <w:rFonts w:ascii="Palatino Linotype" w:eastAsia="Palatino Linotype" w:hAnsi="Palatino Linotype" w:cs="Palatino Linotype"/>
          <w:color w:val="000000"/>
        </w:rPr>
      </w:pPr>
    </w:p>
    <w:p w14:paraId="2141E369" w14:textId="77777777" w:rsidR="00C25DAB" w:rsidRDefault="00D8235A">
      <w:pPr>
        <w:numPr>
          <w:ilvl w:val="0"/>
          <w:numId w:val="7"/>
        </w:numPr>
        <w:pBdr>
          <w:top w:val="nil"/>
          <w:left w:val="nil"/>
          <w:bottom w:val="nil"/>
          <w:right w:val="nil"/>
          <w:between w:val="nil"/>
        </w:pBdr>
        <w:tabs>
          <w:tab w:val="left" w:pos="0"/>
        </w:tabs>
        <w:spacing w:line="360" w:lineRule="auto"/>
        <w:ind w:left="0" w:right="-734" w:firstLine="0"/>
        <w:jc w:val="both"/>
        <w:rPr>
          <w:color w:val="000000"/>
        </w:rPr>
      </w:pPr>
      <w:r>
        <w:rPr>
          <w:rFonts w:ascii="Palatino Linotype" w:eastAsia="Palatino Linotype" w:hAnsi="Palatino Linotype" w:cs="Palatino Linotype"/>
          <w:color w:val="000000"/>
        </w:rPr>
        <w:t xml:space="preserve">Ahora, en esta parte del procedimiento, que se desahoga en sede del Comité de Transparencia, la ley nos aporta mayores luces para cumplir con dicha acreditación. En los </w:t>
      </w:r>
      <w:r>
        <w:rPr>
          <w:rFonts w:ascii="Palatino Linotype" w:eastAsia="Palatino Linotype" w:hAnsi="Palatino Linotype" w:cs="Palatino Linotype"/>
          <w:color w:val="000000"/>
        </w:rPr>
        <w:lastRenderedPageBreak/>
        <w:t>artículos 131 y 105 segundo párrafo de la Ley Estatal y de la Ley General respectivamente, y el lineamiento sexagésimo segundo de los Lineamientos Generales, al señalar que la carga de la prueba, para justificar las restricciones, corresponde a los sujetos obligados, por lo que deberán fundar y motivar debidamente la clasificación.</w:t>
      </w:r>
    </w:p>
    <w:p w14:paraId="77BE0736" w14:textId="77777777" w:rsidR="00C25DAB" w:rsidRDefault="00C25DAB">
      <w:pPr>
        <w:pBdr>
          <w:top w:val="nil"/>
          <w:left w:val="nil"/>
          <w:bottom w:val="nil"/>
          <w:right w:val="nil"/>
          <w:between w:val="nil"/>
        </w:pBdr>
        <w:tabs>
          <w:tab w:val="left" w:pos="0"/>
        </w:tabs>
        <w:spacing w:line="360" w:lineRule="auto"/>
        <w:ind w:right="-734"/>
        <w:jc w:val="both"/>
        <w:rPr>
          <w:rFonts w:ascii="Palatino Linotype" w:eastAsia="Palatino Linotype" w:hAnsi="Palatino Linotype" w:cs="Palatino Linotype"/>
          <w:color w:val="000000"/>
        </w:rPr>
      </w:pPr>
    </w:p>
    <w:p w14:paraId="50279B2D" w14:textId="77777777" w:rsidR="00C25DAB" w:rsidRDefault="00D8235A">
      <w:pPr>
        <w:numPr>
          <w:ilvl w:val="0"/>
          <w:numId w:val="7"/>
        </w:numPr>
        <w:pBdr>
          <w:top w:val="nil"/>
          <w:left w:val="nil"/>
          <w:bottom w:val="nil"/>
          <w:right w:val="nil"/>
          <w:between w:val="nil"/>
        </w:pBdr>
        <w:tabs>
          <w:tab w:val="left" w:pos="0"/>
        </w:tabs>
        <w:spacing w:line="360" w:lineRule="auto"/>
        <w:ind w:left="0" w:right="-734" w:firstLine="0"/>
        <w:jc w:val="both"/>
        <w:rPr>
          <w:color w:val="000000"/>
        </w:rPr>
      </w:pPr>
      <w:r>
        <w:rPr>
          <w:rFonts w:ascii="Palatino Linotype" w:eastAsia="Palatino Linotype" w:hAnsi="Palatino Linotype" w:cs="Palatino Linotype"/>
          <w:color w:val="000000"/>
        </w:rPr>
        <w:t>De lo anterior, se desprende que, para una correcta clasificación total o parcial, esto es determinar los datos que se suprimen en las versiones públicas, es necesario fundar y motivar, de manera correcta, la clasificación; considerando que todo acto que la autoridad pronuncie en el ejercicio de sus atribuciones, debe expresar los fundamentos legales que le dieron origen y las razones por las que se deben aplicar al caso concreto.</w:t>
      </w:r>
    </w:p>
    <w:p w14:paraId="1A78F13B" w14:textId="77777777" w:rsidR="00C25DAB" w:rsidRDefault="00C25DAB">
      <w:pPr>
        <w:pBdr>
          <w:top w:val="nil"/>
          <w:left w:val="nil"/>
          <w:bottom w:val="nil"/>
          <w:right w:val="nil"/>
          <w:between w:val="nil"/>
        </w:pBdr>
        <w:tabs>
          <w:tab w:val="left" w:pos="0"/>
        </w:tabs>
        <w:spacing w:line="360" w:lineRule="auto"/>
        <w:ind w:right="-734"/>
        <w:jc w:val="both"/>
        <w:rPr>
          <w:rFonts w:ascii="Palatino Linotype" w:eastAsia="Palatino Linotype" w:hAnsi="Palatino Linotype" w:cs="Palatino Linotype"/>
          <w:color w:val="000000"/>
        </w:rPr>
      </w:pPr>
    </w:p>
    <w:p w14:paraId="2CCB1CC8" w14:textId="77777777" w:rsidR="00C25DAB" w:rsidRDefault="00D8235A">
      <w:pPr>
        <w:numPr>
          <w:ilvl w:val="0"/>
          <w:numId w:val="7"/>
        </w:numPr>
        <w:pBdr>
          <w:top w:val="nil"/>
          <w:left w:val="nil"/>
          <w:bottom w:val="nil"/>
          <w:right w:val="nil"/>
          <w:between w:val="nil"/>
        </w:pBdr>
        <w:tabs>
          <w:tab w:val="left" w:pos="0"/>
        </w:tabs>
        <w:spacing w:line="360" w:lineRule="auto"/>
        <w:ind w:left="0" w:right="-734" w:firstLine="0"/>
        <w:jc w:val="both"/>
        <w:rPr>
          <w:color w:val="000000"/>
        </w:rPr>
      </w:pPr>
      <w:r>
        <w:rPr>
          <w:rFonts w:ascii="Palatino Linotype" w:eastAsia="Palatino Linotype" w:hAnsi="Palatino Linotype" w:cs="Palatino Linotype"/>
          <w:color w:val="000000"/>
        </w:rPr>
        <w:t>Por su parte, el intérprete judicial del país ha establecido una jurisprudencia respecto a qué debe entenderse por fundamentación y motivación, en los siguientes términos:</w:t>
      </w:r>
    </w:p>
    <w:p w14:paraId="071BEEEA" w14:textId="77777777" w:rsidR="00C25DAB" w:rsidRDefault="00D8235A">
      <w:pPr>
        <w:spacing w:line="276" w:lineRule="auto"/>
        <w:ind w:left="425" w:right="25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FUNDAMENTACIÓN Y MOTIVACIÓN.</w:t>
      </w:r>
      <w:r>
        <w:rPr>
          <w:rFonts w:ascii="Palatino Linotype" w:eastAsia="Palatino Linotype" w:hAnsi="Palatino Linotype" w:cs="Palatino Linotype"/>
          <w:i/>
          <w:color w:val="000000"/>
          <w:sz w:val="22"/>
          <w:szCs w:val="22"/>
        </w:rPr>
        <w:t xml:space="preserve"> “La </w:t>
      </w:r>
      <w:r>
        <w:rPr>
          <w:rFonts w:ascii="Palatino Linotype" w:eastAsia="Palatino Linotype" w:hAnsi="Palatino Linotype" w:cs="Palatino Linotype"/>
          <w:i/>
          <w:color w:val="000000"/>
          <w:sz w:val="22"/>
          <w:szCs w:val="22"/>
          <w:u w:val="single"/>
        </w:rPr>
        <w:t>debida fundamentación y motivación legal, deben entenderse, por lo primero, la cita del precepto legal aplicable al caso, y por lo segundo, las razones, motivos o circunstancias especiales que llevaron a la autoridad a concluir que el caso particular encuadra en el supuesto previsto por la norma legal invocada como fundamento</w:t>
      </w:r>
      <w:r>
        <w:rPr>
          <w:rFonts w:ascii="Palatino Linotype" w:eastAsia="Palatino Linotype" w:hAnsi="Palatino Linotype" w:cs="Palatino Linotype"/>
          <w:i/>
          <w:color w:val="000000"/>
          <w:sz w:val="22"/>
          <w:szCs w:val="22"/>
        </w:rPr>
        <w:t>.”</w:t>
      </w:r>
    </w:p>
    <w:p w14:paraId="55A93AB5" w14:textId="77777777" w:rsidR="00C25DAB" w:rsidRDefault="00D8235A">
      <w:pPr>
        <w:spacing w:line="276" w:lineRule="auto"/>
        <w:ind w:left="425" w:right="25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SEGUNDO TRIBUNAL COLEGIADO DEL SEXTO CIRCUITO.</w:t>
      </w:r>
    </w:p>
    <w:p w14:paraId="583E1854" w14:textId="77777777" w:rsidR="00C25DAB" w:rsidRDefault="00D8235A">
      <w:pPr>
        <w:spacing w:line="276" w:lineRule="auto"/>
        <w:ind w:left="425" w:right="25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Amparo directo 194/88. Bufete Industrial Construcciones, S.A. de C.V. 28 de junio de 1988. Unanimidad de votos. Ponente: Gustavo Calvillo Rangel. Secretario: Jorge Alberto González Álvarez.</w:t>
      </w:r>
    </w:p>
    <w:p w14:paraId="613841E7" w14:textId="77777777" w:rsidR="00C25DAB" w:rsidRDefault="00D8235A">
      <w:pPr>
        <w:spacing w:line="276" w:lineRule="auto"/>
        <w:ind w:left="425" w:right="25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Revisión fiscal 103/88. Instituto Mexicano del Seguro Social. 18 de octubre de 1988. Unanimidad de votos. Ponente: Arnoldo Nájera Virgen. Secretario: Alejandro Esponda Rincón.</w:t>
      </w:r>
    </w:p>
    <w:p w14:paraId="464530A1" w14:textId="77777777" w:rsidR="00C25DAB" w:rsidRDefault="00D8235A">
      <w:pPr>
        <w:spacing w:line="276" w:lineRule="auto"/>
        <w:ind w:left="425" w:right="25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Amparo en revisión 333/88. Adilia Romero. 26 de octubre de 1988. Unanimidad de votos. Ponente: Arnoldo Nájera Virgen. Secretario: Enrique Crispín Campos Ramírez.</w:t>
      </w:r>
    </w:p>
    <w:p w14:paraId="67677809" w14:textId="77777777" w:rsidR="00C25DAB" w:rsidRDefault="00D8235A">
      <w:pPr>
        <w:spacing w:line="276" w:lineRule="auto"/>
        <w:ind w:left="425" w:right="25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Amparo en revisión 597/95. Emilio Maurer Bretón. 15 de noviembre de 1995. Unanimidad de votos. Ponente: Clementina Ramírez Moguel Goyzueta. Secretario: Gonzalo Carrera Molina.</w:t>
      </w:r>
    </w:p>
    <w:p w14:paraId="0774F286" w14:textId="77777777" w:rsidR="00C25DAB" w:rsidRDefault="00D8235A">
      <w:pPr>
        <w:spacing w:line="276" w:lineRule="auto"/>
        <w:ind w:left="425" w:right="25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lastRenderedPageBreak/>
        <w:t xml:space="preserve">Amparo directo 7/96. Pedro Vicente López Miro. 21 de febrero de 1996. Unanimidad de votos. Ponente: María Eugenia Estela Martínez Cardiel. Secretario: Enrique </w:t>
      </w:r>
      <w:proofErr w:type="spellStart"/>
      <w:r>
        <w:rPr>
          <w:rFonts w:ascii="Palatino Linotype" w:eastAsia="Palatino Linotype" w:hAnsi="Palatino Linotype" w:cs="Palatino Linotype"/>
          <w:i/>
          <w:color w:val="000000"/>
          <w:sz w:val="22"/>
          <w:szCs w:val="22"/>
        </w:rPr>
        <w:t>Baigts</w:t>
      </w:r>
      <w:proofErr w:type="spellEnd"/>
      <w:r>
        <w:rPr>
          <w:rFonts w:ascii="Palatino Linotype" w:eastAsia="Palatino Linotype" w:hAnsi="Palatino Linotype" w:cs="Palatino Linotype"/>
          <w:i/>
          <w:color w:val="000000"/>
          <w:sz w:val="22"/>
          <w:szCs w:val="22"/>
        </w:rPr>
        <w:t xml:space="preserve"> Muñoz.</w:t>
      </w:r>
    </w:p>
    <w:p w14:paraId="2C88BED2" w14:textId="77777777" w:rsidR="00C25DAB" w:rsidRDefault="00C25DAB">
      <w:pPr>
        <w:pBdr>
          <w:top w:val="nil"/>
          <w:left w:val="nil"/>
          <w:bottom w:val="nil"/>
          <w:right w:val="nil"/>
          <w:between w:val="nil"/>
        </w:pBdr>
        <w:spacing w:line="360" w:lineRule="auto"/>
        <w:ind w:left="720" w:right="-734"/>
        <w:rPr>
          <w:rFonts w:ascii="Palatino Linotype" w:eastAsia="Palatino Linotype" w:hAnsi="Palatino Linotype" w:cs="Palatino Linotype"/>
          <w:color w:val="000000"/>
        </w:rPr>
      </w:pPr>
    </w:p>
    <w:p w14:paraId="150D445A" w14:textId="77777777" w:rsidR="00C25DAB" w:rsidRDefault="00D8235A">
      <w:pPr>
        <w:numPr>
          <w:ilvl w:val="0"/>
          <w:numId w:val="7"/>
        </w:numPr>
        <w:pBdr>
          <w:top w:val="nil"/>
          <w:left w:val="nil"/>
          <w:bottom w:val="nil"/>
          <w:right w:val="nil"/>
          <w:between w:val="nil"/>
        </w:pBdr>
        <w:tabs>
          <w:tab w:val="left" w:pos="0"/>
        </w:tabs>
        <w:spacing w:line="360" w:lineRule="auto"/>
        <w:ind w:left="0" w:right="-734" w:firstLine="0"/>
        <w:jc w:val="both"/>
        <w:rPr>
          <w:color w:val="000000"/>
        </w:rPr>
      </w:pPr>
      <w:r>
        <w:rPr>
          <w:rFonts w:ascii="Palatino Linotype" w:eastAsia="Palatino Linotype" w:hAnsi="Palatino Linotype" w:cs="Palatino Linotype"/>
          <w:color w:val="000000"/>
        </w:rPr>
        <w:t>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w:t>
      </w:r>
    </w:p>
    <w:p w14:paraId="3903DDCE" w14:textId="77777777" w:rsidR="00C25DAB" w:rsidRDefault="00C25DAB">
      <w:pPr>
        <w:pBdr>
          <w:top w:val="nil"/>
          <w:left w:val="nil"/>
          <w:bottom w:val="nil"/>
          <w:right w:val="nil"/>
          <w:between w:val="nil"/>
        </w:pBdr>
        <w:tabs>
          <w:tab w:val="left" w:pos="0"/>
        </w:tabs>
        <w:spacing w:line="360" w:lineRule="auto"/>
        <w:ind w:right="-734"/>
        <w:jc w:val="both"/>
        <w:rPr>
          <w:rFonts w:ascii="Palatino Linotype" w:eastAsia="Palatino Linotype" w:hAnsi="Palatino Linotype" w:cs="Palatino Linotype"/>
          <w:color w:val="000000"/>
        </w:rPr>
      </w:pPr>
    </w:p>
    <w:p w14:paraId="6460E8A6" w14:textId="77777777" w:rsidR="00C25DAB" w:rsidRDefault="00D8235A">
      <w:pPr>
        <w:numPr>
          <w:ilvl w:val="0"/>
          <w:numId w:val="7"/>
        </w:numPr>
        <w:pBdr>
          <w:top w:val="nil"/>
          <w:left w:val="nil"/>
          <w:bottom w:val="nil"/>
          <w:right w:val="nil"/>
          <w:between w:val="nil"/>
        </w:pBdr>
        <w:tabs>
          <w:tab w:val="left" w:pos="0"/>
        </w:tabs>
        <w:spacing w:line="360" w:lineRule="auto"/>
        <w:ind w:left="0" w:right="-734" w:firstLine="0"/>
        <w:jc w:val="both"/>
        <w:rPr>
          <w:color w:val="000000"/>
        </w:rPr>
      </w:pPr>
      <w:r>
        <w:rPr>
          <w:rFonts w:ascii="Palatino Linotype" w:eastAsia="Palatino Linotype" w:hAnsi="Palatino Linotype" w:cs="Palatino Linotype"/>
          <w:color w:val="000000"/>
        </w:rPr>
        <w:t>En consecuencia, la fundamentación y motivación implica que, en el acto de autoridad, además de contenerse los supuestos jurídicos aplicables se expliquen claramente por qué a través de la utilización de la norma se emitió el acto. De este modo, la persona que se sienta afectada pueda impugnar la decisión, permitiéndole una real y auténtica defensa.</w:t>
      </w:r>
    </w:p>
    <w:p w14:paraId="74CA06B6" w14:textId="77777777" w:rsidR="00C25DAB" w:rsidRDefault="00C25DAB">
      <w:pPr>
        <w:pBdr>
          <w:top w:val="nil"/>
          <w:left w:val="nil"/>
          <w:bottom w:val="nil"/>
          <w:right w:val="nil"/>
          <w:between w:val="nil"/>
        </w:pBdr>
        <w:tabs>
          <w:tab w:val="left" w:pos="0"/>
        </w:tabs>
        <w:spacing w:line="360" w:lineRule="auto"/>
        <w:ind w:left="360" w:right="-734"/>
        <w:jc w:val="both"/>
        <w:rPr>
          <w:rFonts w:ascii="Palatino Linotype" w:eastAsia="Palatino Linotype" w:hAnsi="Palatino Linotype" w:cs="Palatino Linotype"/>
        </w:rPr>
      </w:pPr>
    </w:p>
    <w:p w14:paraId="05706F3A" w14:textId="77777777" w:rsidR="00C25DAB" w:rsidRDefault="00D8235A">
      <w:pPr>
        <w:numPr>
          <w:ilvl w:val="0"/>
          <w:numId w:val="7"/>
        </w:numPr>
        <w:pBdr>
          <w:top w:val="nil"/>
          <w:left w:val="nil"/>
          <w:bottom w:val="nil"/>
          <w:right w:val="nil"/>
          <w:between w:val="nil"/>
        </w:pBdr>
        <w:tabs>
          <w:tab w:val="left" w:pos="0"/>
        </w:tabs>
        <w:spacing w:line="360" w:lineRule="auto"/>
        <w:ind w:left="0" w:right="-734" w:firstLine="0"/>
        <w:jc w:val="both"/>
        <w:rPr>
          <w:color w:val="000000"/>
        </w:rPr>
      </w:pPr>
      <w:r>
        <w:rPr>
          <w:rFonts w:ascii="Palatino Linotype" w:eastAsia="Palatino Linotype" w:hAnsi="Palatino Linotype" w:cs="Palatino Linotype"/>
          <w:color w:val="000000"/>
        </w:rPr>
        <w:t>En ese mismo sentido, el numeral trigésimo tercero fracción V de los Lineamientos Generales, precisa que para motivar la clasificación se deben acreditar las circunstancias de tiempo, modo y lugar.</w:t>
      </w:r>
    </w:p>
    <w:p w14:paraId="4567C854" w14:textId="77777777" w:rsidR="00C25DAB" w:rsidRDefault="00C25DAB">
      <w:pPr>
        <w:pBdr>
          <w:top w:val="nil"/>
          <w:left w:val="nil"/>
          <w:bottom w:val="nil"/>
          <w:right w:val="nil"/>
          <w:between w:val="nil"/>
        </w:pBdr>
        <w:spacing w:line="360" w:lineRule="auto"/>
        <w:ind w:right="-734"/>
        <w:jc w:val="both"/>
        <w:rPr>
          <w:rFonts w:ascii="Palatino Linotype" w:eastAsia="Palatino Linotype" w:hAnsi="Palatino Linotype" w:cs="Palatino Linotype"/>
          <w:color w:val="000000"/>
        </w:rPr>
      </w:pPr>
    </w:p>
    <w:p w14:paraId="397D2A90" w14:textId="77777777" w:rsidR="00C25DAB" w:rsidRDefault="00D8235A">
      <w:pPr>
        <w:numPr>
          <w:ilvl w:val="0"/>
          <w:numId w:val="7"/>
        </w:numPr>
        <w:pBdr>
          <w:top w:val="nil"/>
          <w:left w:val="nil"/>
          <w:bottom w:val="nil"/>
          <w:right w:val="nil"/>
          <w:between w:val="nil"/>
        </w:pBdr>
        <w:spacing w:line="360" w:lineRule="auto"/>
        <w:ind w:left="0" w:right="-734" w:firstLine="0"/>
        <w:jc w:val="both"/>
        <w:rPr>
          <w:color w:val="000000"/>
        </w:rPr>
      </w:pPr>
      <w:r>
        <w:rPr>
          <w:rFonts w:ascii="Palatino Linotype" w:eastAsia="Palatino Linotype" w:hAnsi="Palatino Linotype" w:cs="Palatino Linotype"/>
          <w:color w:val="000000"/>
        </w:rPr>
        <w:t>En el presente caso, el Sujeto Obligado entregó la información solicitada en versión pública con el Acuerdo-01 CT/XIII-E/15-12-2023 de la Décima Tercera Sesión Extraordinaria del Comité de Transparencia en el que se aprobó la clasificación de la información. Al respecto, es necesario señalar que el acuerdo cuenta con los elementos necesarios mínimos indispensables exigidos por la normatividad en la materia, entre los que se advierte, el número de folio de la solicitud, la fundamentación legal, las razones y motivos de la clasificación y se encuentra debidamente firmado por los integrantes del Comité de Transparencia, como se observa en las siguientes imágenes obtenidas del acuerdo:</w:t>
      </w:r>
    </w:p>
    <w:p w14:paraId="11D6AD4F" w14:textId="77777777" w:rsidR="00C25DAB" w:rsidRDefault="00C25DAB">
      <w:pPr>
        <w:pBdr>
          <w:top w:val="nil"/>
          <w:left w:val="nil"/>
          <w:bottom w:val="nil"/>
          <w:right w:val="nil"/>
          <w:between w:val="nil"/>
        </w:pBdr>
        <w:spacing w:line="360" w:lineRule="auto"/>
        <w:ind w:right="-734"/>
        <w:jc w:val="both"/>
        <w:rPr>
          <w:rFonts w:ascii="Palatino Linotype" w:eastAsia="Palatino Linotype" w:hAnsi="Palatino Linotype" w:cs="Palatino Linotype"/>
          <w:color w:val="000000"/>
        </w:rPr>
      </w:pPr>
    </w:p>
    <w:p w14:paraId="73C35EC0" w14:textId="77777777" w:rsidR="00C25DAB" w:rsidRDefault="00C25DAB">
      <w:pPr>
        <w:pBdr>
          <w:top w:val="nil"/>
          <w:left w:val="nil"/>
          <w:bottom w:val="nil"/>
          <w:right w:val="nil"/>
          <w:between w:val="nil"/>
        </w:pBdr>
        <w:ind w:left="720" w:right="-734"/>
        <w:rPr>
          <w:rFonts w:ascii="Palatino Linotype" w:eastAsia="Palatino Linotype" w:hAnsi="Palatino Linotype" w:cs="Palatino Linotype"/>
          <w:color w:val="000000"/>
        </w:rPr>
      </w:pPr>
    </w:p>
    <w:p w14:paraId="2916EEA7" w14:textId="77777777" w:rsidR="00C25DAB" w:rsidRDefault="00D8235A">
      <w:pPr>
        <w:pBdr>
          <w:top w:val="nil"/>
          <w:left w:val="nil"/>
          <w:bottom w:val="nil"/>
          <w:right w:val="nil"/>
          <w:between w:val="nil"/>
        </w:pBdr>
        <w:spacing w:line="360" w:lineRule="auto"/>
        <w:ind w:right="-734"/>
        <w:jc w:val="center"/>
        <w:rPr>
          <w:rFonts w:ascii="Palatino Linotype" w:eastAsia="Palatino Linotype" w:hAnsi="Palatino Linotype" w:cs="Palatino Linotype"/>
          <w:color w:val="000000"/>
        </w:rPr>
      </w:pPr>
      <w:r>
        <w:rPr>
          <w:rFonts w:ascii="Palatino Linotype" w:eastAsia="Palatino Linotype" w:hAnsi="Palatino Linotype" w:cs="Palatino Linotype"/>
          <w:noProof/>
          <w:color w:val="000000"/>
        </w:rPr>
        <w:drawing>
          <wp:inline distT="0" distB="0" distL="0" distR="0" wp14:anchorId="756F2898" wp14:editId="447533B3">
            <wp:extent cx="4792994" cy="1052508"/>
            <wp:effectExtent l="0" t="0" r="0" b="0"/>
            <wp:docPr id="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3"/>
                    <a:srcRect/>
                    <a:stretch>
                      <a:fillRect/>
                    </a:stretch>
                  </pic:blipFill>
                  <pic:spPr>
                    <a:xfrm>
                      <a:off x="0" y="0"/>
                      <a:ext cx="4792994" cy="1052508"/>
                    </a:xfrm>
                    <a:prstGeom prst="rect">
                      <a:avLst/>
                    </a:prstGeom>
                    <a:ln/>
                  </pic:spPr>
                </pic:pic>
              </a:graphicData>
            </a:graphic>
          </wp:inline>
        </w:drawing>
      </w:r>
    </w:p>
    <w:p w14:paraId="6FCE3CBB" w14:textId="77777777" w:rsidR="00C25DAB" w:rsidRDefault="00D8235A">
      <w:pPr>
        <w:pBdr>
          <w:top w:val="nil"/>
          <w:left w:val="nil"/>
          <w:bottom w:val="nil"/>
          <w:right w:val="nil"/>
          <w:between w:val="nil"/>
        </w:pBdr>
        <w:spacing w:line="360" w:lineRule="auto"/>
        <w:ind w:right="-734"/>
        <w:jc w:val="center"/>
        <w:rPr>
          <w:rFonts w:ascii="Palatino Linotype" w:eastAsia="Palatino Linotype" w:hAnsi="Palatino Linotype" w:cs="Palatino Linotype"/>
          <w:color w:val="000000"/>
        </w:rPr>
      </w:pPr>
      <w:r>
        <w:rPr>
          <w:rFonts w:ascii="Palatino Linotype" w:eastAsia="Palatino Linotype" w:hAnsi="Palatino Linotype" w:cs="Palatino Linotype"/>
          <w:noProof/>
          <w:color w:val="000000"/>
        </w:rPr>
        <w:drawing>
          <wp:inline distT="0" distB="0" distL="0" distR="0" wp14:anchorId="5F4D23D5" wp14:editId="2D6478FF">
            <wp:extent cx="4463224" cy="2126990"/>
            <wp:effectExtent l="0" t="0" r="0" b="0"/>
            <wp:docPr id="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4"/>
                    <a:srcRect/>
                    <a:stretch>
                      <a:fillRect/>
                    </a:stretch>
                  </pic:blipFill>
                  <pic:spPr>
                    <a:xfrm>
                      <a:off x="0" y="0"/>
                      <a:ext cx="4463224" cy="2126990"/>
                    </a:xfrm>
                    <a:prstGeom prst="rect">
                      <a:avLst/>
                    </a:prstGeom>
                    <a:ln/>
                  </pic:spPr>
                </pic:pic>
              </a:graphicData>
            </a:graphic>
          </wp:inline>
        </w:drawing>
      </w:r>
    </w:p>
    <w:p w14:paraId="55FCB763" w14:textId="77777777" w:rsidR="00C25DAB" w:rsidRDefault="00C25DAB">
      <w:pPr>
        <w:pBdr>
          <w:top w:val="nil"/>
          <w:left w:val="nil"/>
          <w:bottom w:val="nil"/>
          <w:right w:val="nil"/>
          <w:between w:val="nil"/>
        </w:pBdr>
        <w:spacing w:line="360" w:lineRule="auto"/>
        <w:ind w:right="-734"/>
        <w:jc w:val="center"/>
        <w:rPr>
          <w:rFonts w:ascii="Palatino Linotype" w:eastAsia="Palatino Linotype" w:hAnsi="Palatino Linotype" w:cs="Palatino Linotype"/>
          <w:color w:val="000000"/>
        </w:rPr>
      </w:pPr>
    </w:p>
    <w:p w14:paraId="5B1428B4" w14:textId="77777777" w:rsidR="00C25DAB" w:rsidRDefault="00D8235A">
      <w:pPr>
        <w:pBdr>
          <w:top w:val="nil"/>
          <w:left w:val="nil"/>
          <w:bottom w:val="nil"/>
          <w:right w:val="nil"/>
          <w:between w:val="nil"/>
        </w:pBdr>
        <w:spacing w:line="360" w:lineRule="auto"/>
        <w:ind w:right="-734"/>
        <w:jc w:val="center"/>
        <w:rPr>
          <w:rFonts w:ascii="Palatino Linotype" w:eastAsia="Palatino Linotype" w:hAnsi="Palatino Linotype" w:cs="Palatino Linotype"/>
          <w:color w:val="000000"/>
        </w:rPr>
      </w:pPr>
      <w:r>
        <w:rPr>
          <w:rFonts w:ascii="Palatino Linotype" w:eastAsia="Palatino Linotype" w:hAnsi="Palatino Linotype" w:cs="Palatino Linotype"/>
          <w:noProof/>
          <w:color w:val="000000"/>
        </w:rPr>
        <w:lastRenderedPageBreak/>
        <w:drawing>
          <wp:inline distT="0" distB="0" distL="0" distR="0" wp14:anchorId="0282A795" wp14:editId="6963A38B">
            <wp:extent cx="4566886" cy="4002338"/>
            <wp:effectExtent l="0" t="0" r="0" b="0"/>
            <wp:docPr id="6"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5"/>
                    <a:srcRect/>
                    <a:stretch>
                      <a:fillRect/>
                    </a:stretch>
                  </pic:blipFill>
                  <pic:spPr>
                    <a:xfrm>
                      <a:off x="0" y="0"/>
                      <a:ext cx="4566886" cy="4002338"/>
                    </a:xfrm>
                    <a:prstGeom prst="rect">
                      <a:avLst/>
                    </a:prstGeom>
                    <a:ln/>
                  </pic:spPr>
                </pic:pic>
              </a:graphicData>
            </a:graphic>
          </wp:inline>
        </w:drawing>
      </w:r>
    </w:p>
    <w:p w14:paraId="2F6A7621" w14:textId="77777777" w:rsidR="00C25DAB" w:rsidRDefault="00C25DAB">
      <w:pPr>
        <w:pBdr>
          <w:top w:val="nil"/>
          <w:left w:val="nil"/>
          <w:bottom w:val="nil"/>
          <w:right w:val="nil"/>
          <w:between w:val="nil"/>
        </w:pBdr>
        <w:spacing w:line="360" w:lineRule="auto"/>
        <w:ind w:right="-734"/>
        <w:jc w:val="center"/>
        <w:rPr>
          <w:rFonts w:ascii="Palatino Linotype" w:eastAsia="Palatino Linotype" w:hAnsi="Palatino Linotype" w:cs="Palatino Linotype"/>
          <w:color w:val="000000"/>
        </w:rPr>
      </w:pPr>
    </w:p>
    <w:p w14:paraId="2242A9AE" w14:textId="77777777" w:rsidR="00C25DAB" w:rsidRDefault="00D8235A">
      <w:pPr>
        <w:pBdr>
          <w:top w:val="nil"/>
          <w:left w:val="nil"/>
          <w:bottom w:val="nil"/>
          <w:right w:val="nil"/>
          <w:between w:val="nil"/>
        </w:pBdr>
        <w:spacing w:line="360" w:lineRule="auto"/>
        <w:ind w:right="-734"/>
        <w:jc w:val="center"/>
        <w:rPr>
          <w:rFonts w:ascii="Palatino Linotype" w:eastAsia="Palatino Linotype" w:hAnsi="Palatino Linotype" w:cs="Palatino Linotype"/>
          <w:color w:val="000000"/>
        </w:rPr>
      </w:pPr>
      <w:r>
        <w:rPr>
          <w:rFonts w:ascii="Palatino Linotype" w:eastAsia="Palatino Linotype" w:hAnsi="Palatino Linotype" w:cs="Palatino Linotype"/>
          <w:noProof/>
          <w:color w:val="000000"/>
        </w:rPr>
        <w:lastRenderedPageBreak/>
        <w:drawing>
          <wp:inline distT="0" distB="0" distL="0" distR="0" wp14:anchorId="2E85EFFB" wp14:editId="63542A8D">
            <wp:extent cx="3760237" cy="3982259"/>
            <wp:effectExtent l="0" t="0" r="0" b="0"/>
            <wp:docPr id="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6"/>
                    <a:srcRect/>
                    <a:stretch>
                      <a:fillRect/>
                    </a:stretch>
                  </pic:blipFill>
                  <pic:spPr>
                    <a:xfrm>
                      <a:off x="0" y="0"/>
                      <a:ext cx="3760237" cy="3982259"/>
                    </a:xfrm>
                    <a:prstGeom prst="rect">
                      <a:avLst/>
                    </a:prstGeom>
                    <a:ln/>
                  </pic:spPr>
                </pic:pic>
              </a:graphicData>
            </a:graphic>
          </wp:inline>
        </w:drawing>
      </w:r>
    </w:p>
    <w:p w14:paraId="72743BF2" w14:textId="77777777" w:rsidR="00C25DAB" w:rsidRDefault="00C25DAB">
      <w:pPr>
        <w:pBdr>
          <w:top w:val="nil"/>
          <w:left w:val="nil"/>
          <w:bottom w:val="nil"/>
          <w:right w:val="nil"/>
          <w:between w:val="nil"/>
        </w:pBdr>
        <w:spacing w:line="360" w:lineRule="auto"/>
        <w:ind w:right="-734"/>
        <w:jc w:val="center"/>
        <w:rPr>
          <w:rFonts w:ascii="Palatino Linotype" w:eastAsia="Palatino Linotype" w:hAnsi="Palatino Linotype" w:cs="Palatino Linotype"/>
          <w:color w:val="000000"/>
        </w:rPr>
      </w:pPr>
    </w:p>
    <w:p w14:paraId="702C948B" w14:textId="77777777" w:rsidR="00C25DAB" w:rsidRPr="00885493" w:rsidRDefault="00D8235A">
      <w:pPr>
        <w:numPr>
          <w:ilvl w:val="0"/>
          <w:numId w:val="7"/>
        </w:numPr>
        <w:pBdr>
          <w:top w:val="nil"/>
          <w:left w:val="nil"/>
          <w:bottom w:val="nil"/>
          <w:right w:val="nil"/>
          <w:between w:val="nil"/>
        </w:pBdr>
        <w:spacing w:line="360" w:lineRule="auto"/>
        <w:ind w:left="0" w:right="-734" w:firstLine="0"/>
        <w:jc w:val="both"/>
        <w:rPr>
          <w:color w:val="000000"/>
        </w:rPr>
      </w:pPr>
      <w:r>
        <w:rPr>
          <w:rFonts w:ascii="Palatino Linotype" w:eastAsia="Palatino Linotype" w:hAnsi="Palatino Linotype" w:cs="Palatino Linotype"/>
          <w:color w:val="000000"/>
        </w:rPr>
        <w:t xml:space="preserve">Ahora bien, de acuerdo a lo señalado en el acuerdo de clasificación, se advierte que el Sujeto Obligado testó información referente al domicilio del predio y el domicilio para oír y recibir notificaciones, superficie </w:t>
      </w:r>
      <w:r w:rsidRPr="00885493">
        <w:rPr>
          <w:rFonts w:ascii="Palatino Linotype" w:eastAsia="Palatino Linotype" w:hAnsi="Palatino Linotype" w:cs="Palatino Linotype"/>
          <w:color w:val="000000"/>
        </w:rPr>
        <w:t xml:space="preserve">del terreno, clave catastral y medidas y colindancias, por lo tanto, se procede analizar cada dato que se clasificó. </w:t>
      </w:r>
    </w:p>
    <w:p w14:paraId="794B8C68" w14:textId="77777777" w:rsidR="00C25DAB" w:rsidRPr="00885493" w:rsidRDefault="00C25DAB">
      <w:pPr>
        <w:pBdr>
          <w:top w:val="nil"/>
          <w:left w:val="nil"/>
          <w:bottom w:val="nil"/>
          <w:right w:val="nil"/>
          <w:between w:val="nil"/>
        </w:pBdr>
        <w:spacing w:line="360" w:lineRule="auto"/>
        <w:ind w:right="-734"/>
        <w:jc w:val="both"/>
        <w:rPr>
          <w:rFonts w:ascii="Palatino Linotype" w:eastAsia="Palatino Linotype" w:hAnsi="Palatino Linotype" w:cs="Palatino Linotype"/>
          <w:color w:val="000000"/>
        </w:rPr>
      </w:pPr>
    </w:p>
    <w:p w14:paraId="625671FB" w14:textId="77777777" w:rsidR="00922077" w:rsidRPr="00885493" w:rsidRDefault="00922077" w:rsidP="00922077">
      <w:pPr>
        <w:pStyle w:val="Prrafodelista"/>
        <w:numPr>
          <w:ilvl w:val="0"/>
          <w:numId w:val="10"/>
        </w:numPr>
        <w:pBdr>
          <w:top w:val="nil"/>
          <w:left w:val="nil"/>
          <w:bottom w:val="nil"/>
          <w:right w:val="nil"/>
          <w:between w:val="nil"/>
        </w:pBdr>
        <w:spacing w:line="360" w:lineRule="auto"/>
        <w:ind w:right="-734"/>
        <w:jc w:val="both"/>
        <w:rPr>
          <w:rFonts w:ascii="Palatino Linotype" w:eastAsia="Palatino Linotype" w:hAnsi="Palatino Linotype" w:cs="Palatino Linotype"/>
          <w:b/>
          <w:color w:val="000000"/>
        </w:rPr>
      </w:pPr>
      <w:r w:rsidRPr="00885493">
        <w:rPr>
          <w:rFonts w:ascii="Palatino Linotype" w:eastAsia="Palatino Linotype" w:hAnsi="Palatino Linotype" w:cs="Palatino Linotype"/>
          <w:b/>
          <w:color w:val="000000"/>
        </w:rPr>
        <w:t>Del Domicilio</w:t>
      </w:r>
    </w:p>
    <w:p w14:paraId="295FA24C" w14:textId="77777777" w:rsidR="00922077" w:rsidRPr="00885493" w:rsidRDefault="00922077" w:rsidP="00922077">
      <w:pPr>
        <w:pStyle w:val="Prrafodelista"/>
        <w:pBdr>
          <w:top w:val="nil"/>
          <w:left w:val="nil"/>
          <w:bottom w:val="nil"/>
          <w:right w:val="nil"/>
          <w:between w:val="nil"/>
        </w:pBdr>
        <w:spacing w:line="360" w:lineRule="auto"/>
        <w:ind w:right="-734"/>
        <w:jc w:val="both"/>
        <w:rPr>
          <w:rFonts w:ascii="Palatino Linotype" w:eastAsia="Palatino Linotype" w:hAnsi="Palatino Linotype" w:cs="Palatino Linotype"/>
          <w:b/>
          <w:color w:val="000000"/>
        </w:rPr>
      </w:pPr>
    </w:p>
    <w:p w14:paraId="54E1F79A" w14:textId="77777777" w:rsidR="00C25DAB" w:rsidRPr="00885493" w:rsidRDefault="00D8235A" w:rsidP="00922077">
      <w:pPr>
        <w:pStyle w:val="Prrafodelista"/>
        <w:numPr>
          <w:ilvl w:val="0"/>
          <w:numId w:val="9"/>
        </w:numPr>
        <w:pBdr>
          <w:top w:val="nil"/>
          <w:left w:val="nil"/>
          <w:bottom w:val="nil"/>
          <w:right w:val="nil"/>
          <w:between w:val="nil"/>
        </w:pBdr>
        <w:spacing w:line="360" w:lineRule="auto"/>
        <w:ind w:right="-734"/>
        <w:jc w:val="both"/>
        <w:rPr>
          <w:rFonts w:ascii="Palatino Linotype" w:eastAsia="Palatino Linotype" w:hAnsi="Palatino Linotype" w:cs="Palatino Linotype"/>
          <w:color w:val="000000"/>
        </w:rPr>
      </w:pPr>
      <w:r w:rsidRPr="00885493">
        <w:rPr>
          <w:rFonts w:ascii="Palatino Linotype" w:eastAsia="Palatino Linotype" w:hAnsi="Palatino Linotype" w:cs="Palatino Linotype"/>
          <w:b/>
          <w:color w:val="000000"/>
        </w:rPr>
        <w:t>Domicilio de Persona física.</w:t>
      </w:r>
    </w:p>
    <w:p w14:paraId="7BE4BF69" w14:textId="77777777" w:rsidR="00C25DAB" w:rsidRPr="00885493" w:rsidRDefault="00D8235A">
      <w:pPr>
        <w:numPr>
          <w:ilvl w:val="0"/>
          <w:numId w:val="7"/>
        </w:numPr>
        <w:pBdr>
          <w:top w:val="nil"/>
          <w:left w:val="nil"/>
          <w:bottom w:val="nil"/>
          <w:right w:val="nil"/>
          <w:between w:val="nil"/>
        </w:pBdr>
        <w:spacing w:line="360" w:lineRule="auto"/>
        <w:ind w:left="0" w:right="-734" w:firstLine="0"/>
        <w:jc w:val="both"/>
        <w:rPr>
          <w:color w:val="000000"/>
        </w:rPr>
      </w:pPr>
      <w:r w:rsidRPr="00885493">
        <w:rPr>
          <w:rFonts w:ascii="Palatino Linotype" w:eastAsia="Palatino Linotype" w:hAnsi="Palatino Linotype" w:cs="Palatino Linotype"/>
          <w:color w:val="000000"/>
        </w:rPr>
        <w:t xml:space="preserve">De acuerdo a lo señalado en los artículos 2.3 y 2.5 del Código Civil del Estado de México, el domicilio es un atributo de la personalidad y un derecho de las personas; además </w:t>
      </w:r>
      <w:r w:rsidRPr="00885493">
        <w:rPr>
          <w:rFonts w:ascii="Palatino Linotype" w:eastAsia="Palatino Linotype" w:hAnsi="Palatino Linotype" w:cs="Palatino Linotype"/>
          <w:color w:val="000000"/>
        </w:rPr>
        <w:lastRenderedPageBreak/>
        <w:t xml:space="preserve">que tiene como propósito que una persona pueda establecerse temporal o permanentemente en un lugar determinado, para habitar, establecer su centro de trabajo o negocios. </w:t>
      </w:r>
    </w:p>
    <w:p w14:paraId="119011A3" w14:textId="77777777" w:rsidR="00C25DAB" w:rsidRPr="00885493" w:rsidRDefault="00C25DAB">
      <w:pPr>
        <w:pBdr>
          <w:top w:val="nil"/>
          <w:left w:val="nil"/>
          <w:bottom w:val="nil"/>
          <w:right w:val="nil"/>
          <w:between w:val="nil"/>
        </w:pBdr>
        <w:spacing w:line="360" w:lineRule="auto"/>
        <w:ind w:right="-734"/>
        <w:jc w:val="both"/>
        <w:rPr>
          <w:rFonts w:ascii="Palatino Linotype" w:eastAsia="Palatino Linotype" w:hAnsi="Palatino Linotype" w:cs="Palatino Linotype"/>
          <w:color w:val="000000"/>
        </w:rPr>
      </w:pPr>
    </w:p>
    <w:p w14:paraId="5F0162AB" w14:textId="77777777" w:rsidR="00C25DAB" w:rsidRPr="00885493" w:rsidRDefault="00D8235A">
      <w:pPr>
        <w:numPr>
          <w:ilvl w:val="0"/>
          <w:numId w:val="7"/>
        </w:numPr>
        <w:pBdr>
          <w:top w:val="nil"/>
          <w:left w:val="nil"/>
          <w:bottom w:val="nil"/>
          <w:right w:val="nil"/>
          <w:between w:val="nil"/>
        </w:pBdr>
        <w:spacing w:line="360" w:lineRule="auto"/>
        <w:ind w:left="0" w:right="-734" w:firstLine="0"/>
        <w:jc w:val="both"/>
        <w:rPr>
          <w:color w:val="000000"/>
        </w:rPr>
      </w:pPr>
      <w:r w:rsidRPr="00885493">
        <w:rPr>
          <w:rFonts w:ascii="Palatino Linotype" w:eastAsia="Palatino Linotype" w:hAnsi="Palatino Linotype" w:cs="Palatino Linotype"/>
          <w:color w:val="000000"/>
        </w:rPr>
        <w:t>De la misma manera, lo establece el artículo 29 del Código Civil Federal, al precisar que el domicilio de personas físicas, es el lugar donde residen habitualmente, el lugar del centro principal de sus negocios, donde residan o el lugar donde se encuentren.</w:t>
      </w:r>
    </w:p>
    <w:p w14:paraId="53332CC3" w14:textId="77777777" w:rsidR="00C25DAB" w:rsidRPr="00885493" w:rsidRDefault="00C25DAB">
      <w:pPr>
        <w:spacing w:line="360" w:lineRule="auto"/>
        <w:ind w:right="-734"/>
        <w:jc w:val="both"/>
        <w:rPr>
          <w:rFonts w:ascii="Palatino Linotype" w:eastAsia="Palatino Linotype" w:hAnsi="Palatino Linotype" w:cs="Palatino Linotype"/>
        </w:rPr>
      </w:pPr>
    </w:p>
    <w:p w14:paraId="6D490B3B" w14:textId="77777777" w:rsidR="00C25DAB" w:rsidRPr="00885493" w:rsidRDefault="00D8235A" w:rsidP="00922077">
      <w:pPr>
        <w:pStyle w:val="Prrafodelista"/>
        <w:numPr>
          <w:ilvl w:val="0"/>
          <w:numId w:val="9"/>
        </w:numPr>
        <w:pBdr>
          <w:top w:val="nil"/>
          <w:left w:val="nil"/>
          <w:bottom w:val="nil"/>
          <w:right w:val="nil"/>
          <w:between w:val="nil"/>
        </w:pBdr>
        <w:spacing w:line="360" w:lineRule="auto"/>
        <w:ind w:right="-734"/>
        <w:jc w:val="both"/>
        <w:rPr>
          <w:rFonts w:ascii="Palatino Linotype" w:eastAsia="Palatino Linotype" w:hAnsi="Palatino Linotype" w:cs="Palatino Linotype"/>
          <w:color w:val="000000"/>
        </w:rPr>
      </w:pPr>
      <w:r w:rsidRPr="00885493">
        <w:rPr>
          <w:rFonts w:ascii="Palatino Linotype" w:eastAsia="Palatino Linotype" w:hAnsi="Palatino Linotype" w:cs="Palatino Linotype"/>
          <w:b/>
          <w:color w:val="000000"/>
        </w:rPr>
        <w:t>Domicilio de Persona Jurídico Colectiva.</w:t>
      </w:r>
    </w:p>
    <w:p w14:paraId="2640C0D5" w14:textId="77777777" w:rsidR="00C25DAB" w:rsidRPr="00885493" w:rsidRDefault="00D8235A">
      <w:pPr>
        <w:numPr>
          <w:ilvl w:val="0"/>
          <w:numId w:val="7"/>
        </w:numPr>
        <w:pBdr>
          <w:top w:val="nil"/>
          <w:left w:val="nil"/>
          <w:bottom w:val="nil"/>
          <w:right w:val="nil"/>
          <w:between w:val="nil"/>
        </w:pBdr>
        <w:spacing w:line="360" w:lineRule="auto"/>
        <w:ind w:left="0" w:right="-734" w:firstLine="0"/>
        <w:jc w:val="both"/>
        <w:rPr>
          <w:color w:val="000000"/>
        </w:rPr>
      </w:pPr>
      <w:r w:rsidRPr="00885493">
        <w:rPr>
          <w:rFonts w:ascii="Palatino Linotype" w:eastAsia="Palatino Linotype" w:hAnsi="Palatino Linotype" w:cs="Palatino Linotype"/>
          <w:color w:val="000000"/>
        </w:rPr>
        <w:t xml:space="preserve">En principio, cabe señalar, la información entregada a las autoridades por parte de las personas jurídicas colectivas, debe ser confidencial cuando tenga el carácter de privada por contener datos que pudieran equipararse a los de las personas físicas. </w:t>
      </w:r>
    </w:p>
    <w:p w14:paraId="1D328286" w14:textId="77777777" w:rsidR="00C25DAB" w:rsidRPr="00885493" w:rsidRDefault="00C25DAB">
      <w:pPr>
        <w:pBdr>
          <w:top w:val="nil"/>
          <w:left w:val="nil"/>
          <w:bottom w:val="nil"/>
          <w:right w:val="nil"/>
          <w:between w:val="nil"/>
        </w:pBdr>
        <w:spacing w:line="360" w:lineRule="auto"/>
        <w:ind w:right="-734"/>
        <w:jc w:val="both"/>
        <w:rPr>
          <w:rFonts w:ascii="Palatino Linotype" w:eastAsia="Palatino Linotype" w:hAnsi="Palatino Linotype" w:cs="Palatino Linotype"/>
          <w:color w:val="000000"/>
        </w:rPr>
      </w:pPr>
    </w:p>
    <w:p w14:paraId="35C60BAC" w14:textId="77777777" w:rsidR="00C25DAB" w:rsidRPr="00885493" w:rsidRDefault="00D8235A">
      <w:pPr>
        <w:numPr>
          <w:ilvl w:val="0"/>
          <w:numId w:val="7"/>
        </w:numPr>
        <w:pBdr>
          <w:top w:val="nil"/>
          <w:left w:val="nil"/>
          <w:bottom w:val="nil"/>
          <w:right w:val="nil"/>
          <w:between w:val="nil"/>
        </w:pBdr>
        <w:spacing w:line="360" w:lineRule="auto"/>
        <w:ind w:left="0" w:right="-734" w:firstLine="0"/>
        <w:jc w:val="both"/>
        <w:rPr>
          <w:color w:val="000000"/>
        </w:rPr>
      </w:pPr>
      <w:r w:rsidRPr="00885493">
        <w:rPr>
          <w:rFonts w:ascii="Palatino Linotype" w:eastAsia="Palatino Linotype" w:hAnsi="Palatino Linotype" w:cs="Palatino Linotype"/>
          <w:color w:val="000000"/>
        </w:rPr>
        <w:t xml:space="preserve">Lo anterior, encuentra sustento en la Tesis Aislada con número P. II/2014 (10a.), publicada en febrero de dos mil catorce, en la Gaceta del Semanario Judicial de la Federación, en su Libro 3, Tomo I, que precisa que los bienes protegidos por el derecho a la privacidad y de protección de datos de las personas morales, comprenden aquellos documentos e información que les son inherentes, que deben permanecer ajenos al conocimiento de terceros; por lo que, la </w:t>
      </w:r>
      <w:r w:rsidRPr="00885493">
        <w:rPr>
          <w:rFonts w:ascii="Palatino Linotype" w:eastAsia="Palatino Linotype" w:hAnsi="Palatino Linotype" w:cs="Palatino Linotype"/>
          <w:b/>
          <w:color w:val="000000"/>
        </w:rPr>
        <w:t>información entregada a las autoridades por parte de personas morales, será confidencial cuando tenga el carácter de privada por contener datos que pudieran equipararse a los personales,</w:t>
      </w:r>
      <w:r w:rsidRPr="00885493">
        <w:rPr>
          <w:rFonts w:ascii="Palatino Linotype" w:eastAsia="Palatino Linotype" w:hAnsi="Palatino Linotype" w:cs="Palatino Linotype"/>
          <w:color w:val="000000"/>
        </w:rPr>
        <w:t xml:space="preserve"> o bien, reservada temporalmente, si actualiza alguno de los supuestos previstos legalmente.</w:t>
      </w:r>
    </w:p>
    <w:p w14:paraId="09BA99C8" w14:textId="77777777" w:rsidR="00922077" w:rsidRPr="00885493" w:rsidRDefault="00922077" w:rsidP="00922077">
      <w:pPr>
        <w:pStyle w:val="Prrafodelista"/>
        <w:rPr>
          <w:color w:val="000000"/>
        </w:rPr>
      </w:pPr>
    </w:p>
    <w:p w14:paraId="56AA4E65" w14:textId="77777777" w:rsidR="00922077" w:rsidRPr="00885493" w:rsidRDefault="00922077">
      <w:pPr>
        <w:numPr>
          <w:ilvl w:val="0"/>
          <w:numId w:val="7"/>
        </w:numPr>
        <w:pBdr>
          <w:top w:val="nil"/>
          <w:left w:val="nil"/>
          <w:bottom w:val="nil"/>
          <w:right w:val="nil"/>
          <w:between w:val="nil"/>
        </w:pBdr>
        <w:spacing w:line="360" w:lineRule="auto"/>
        <w:ind w:left="0" w:right="-734" w:firstLine="0"/>
        <w:jc w:val="both"/>
        <w:rPr>
          <w:rFonts w:ascii="Palatino Linotype" w:hAnsi="Palatino Linotype"/>
          <w:color w:val="000000"/>
        </w:rPr>
      </w:pPr>
      <w:r w:rsidRPr="00885493">
        <w:rPr>
          <w:rFonts w:ascii="Palatino Linotype" w:hAnsi="Palatino Linotype"/>
          <w:color w:val="000000"/>
        </w:rPr>
        <w:t xml:space="preserve">Derivado de lo anteriormente señalado, el domicilio de particulares constituye un dato personal, sin embargo, de acuerdo a los Lineamientos técnicos generales para la publicación, </w:t>
      </w:r>
      <w:r w:rsidRPr="00885493">
        <w:rPr>
          <w:rFonts w:ascii="Palatino Linotype" w:hAnsi="Palatino Linotype"/>
          <w:color w:val="000000"/>
        </w:rPr>
        <w:lastRenderedPageBreak/>
        <w:t>homologación y estandarización de la información de las obligaciones establecidas en el título quinto y en la fracción IV del artículo 31 de la Ley General de Transparencia y Acceso a la Información Pública, que deben de difundir los sujetos obligados en los portales de Internet y en la Plataforma Nacional de Transparencia</w:t>
      </w:r>
      <w:r w:rsidR="00487559" w:rsidRPr="00885493">
        <w:rPr>
          <w:rFonts w:ascii="Palatino Linotype" w:hAnsi="Palatino Linotype"/>
          <w:color w:val="000000"/>
        </w:rPr>
        <w:t>, el domicilio de las licencias de uso de suelo, debe ser público:</w:t>
      </w:r>
    </w:p>
    <w:p w14:paraId="5E8E5022" w14:textId="77777777" w:rsidR="00487559" w:rsidRPr="00885493" w:rsidRDefault="00487559" w:rsidP="00487559">
      <w:pPr>
        <w:pStyle w:val="Prrafodelista"/>
        <w:rPr>
          <w:rFonts w:ascii="Palatino Linotype" w:hAnsi="Palatino Linotype"/>
          <w:color w:val="000000"/>
        </w:rPr>
      </w:pPr>
    </w:p>
    <w:p w14:paraId="14A50138" w14:textId="77777777" w:rsidR="00487559" w:rsidRPr="00885493" w:rsidRDefault="00F940A7" w:rsidP="00487559">
      <w:pPr>
        <w:pBdr>
          <w:top w:val="nil"/>
          <w:left w:val="nil"/>
          <w:bottom w:val="nil"/>
          <w:right w:val="nil"/>
          <w:between w:val="nil"/>
        </w:pBdr>
        <w:spacing w:line="360" w:lineRule="auto"/>
        <w:ind w:left="851" w:right="822"/>
        <w:jc w:val="both"/>
        <w:rPr>
          <w:rFonts w:ascii="Palatino Linotype" w:hAnsi="Palatino Linotype"/>
          <w:i/>
          <w:sz w:val="22"/>
        </w:rPr>
      </w:pPr>
      <w:r w:rsidRPr="00885493">
        <w:rPr>
          <w:rFonts w:ascii="Palatino Linotype" w:hAnsi="Palatino Linotype"/>
          <w:i/>
          <w:sz w:val="22"/>
        </w:rPr>
        <w:t>“</w:t>
      </w:r>
      <w:r w:rsidR="00487559" w:rsidRPr="00885493">
        <w:rPr>
          <w:rFonts w:ascii="Palatino Linotype" w:hAnsi="Palatino Linotype"/>
          <w:i/>
          <w:sz w:val="22"/>
        </w:rPr>
        <w:t>f) La información detallada que contengan los planes de desarrollo urbano, ordenamiento territorial y ecológico, los tipos de uso del suelo, licencias de uso y construcción otorgadas por los gobiernos municipales.</w:t>
      </w:r>
    </w:p>
    <w:p w14:paraId="192C8528" w14:textId="77777777" w:rsidR="00F940A7" w:rsidRPr="00885493" w:rsidRDefault="00487559" w:rsidP="00487559">
      <w:pPr>
        <w:pBdr>
          <w:top w:val="nil"/>
          <w:left w:val="nil"/>
          <w:bottom w:val="nil"/>
          <w:right w:val="nil"/>
          <w:between w:val="nil"/>
        </w:pBdr>
        <w:spacing w:line="360" w:lineRule="auto"/>
        <w:ind w:left="851" w:right="822"/>
        <w:jc w:val="both"/>
        <w:rPr>
          <w:rFonts w:ascii="Palatino Linotype" w:hAnsi="Palatino Linotype"/>
          <w:i/>
          <w:sz w:val="22"/>
        </w:rPr>
      </w:pPr>
      <w:r w:rsidRPr="00885493">
        <w:rPr>
          <w:rFonts w:ascii="Palatino Linotype" w:hAnsi="Palatino Linotype"/>
          <w:i/>
          <w:sz w:val="22"/>
        </w:rPr>
        <w:t xml:space="preserve">Respecto a las licencias de uso de suelo se publicarán los siguientes datos: </w:t>
      </w:r>
    </w:p>
    <w:p w14:paraId="5BFD11C4" w14:textId="77777777" w:rsidR="00F940A7" w:rsidRPr="00885493" w:rsidRDefault="00487559" w:rsidP="00487559">
      <w:pPr>
        <w:pBdr>
          <w:top w:val="nil"/>
          <w:left w:val="nil"/>
          <w:bottom w:val="nil"/>
          <w:right w:val="nil"/>
          <w:between w:val="nil"/>
        </w:pBdr>
        <w:spacing w:line="360" w:lineRule="auto"/>
        <w:ind w:left="851" w:right="822"/>
        <w:jc w:val="both"/>
        <w:rPr>
          <w:rFonts w:ascii="Palatino Linotype" w:hAnsi="Palatino Linotype"/>
          <w:i/>
          <w:sz w:val="22"/>
        </w:rPr>
      </w:pPr>
      <w:r w:rsidRPr="00885493">
        <w:rPr>
          <w:rFonts w:ascii="Palatino Linotype" w:hAnsi="Palatino Linotype"/>
          <w:i/>
          <w:sz w:val="22"/>
        </w:rPr>
        <w:t xml:space="preserve">Criterio 25 Ejercicio. </w:t>
      </w:r>
    </w:p>
    <w:p w14:paraId="169F7BED" w14:textId="77777777" w:rsidR="00F940A7" w:rsidRPr="00885493" w:rsidRDefault="00487559" w:rsidP="00487559">
      <w:pPr>
        <w:pBdr>
          <w:top w:val="nil"/>
          <w:left w:val="nil"/>
          <w:bottom w:val="nil"/>
          <w:right w:val="nil"/>
          <w:between w:val="nil"/>
        </w:pBdr>
        <w:spacing w:line="360" w:lineRule="auto"/>
        <w:ind w:left="851" w:right="822"/>
        <w:jc w:val="both"/>
        <w:rPr>
          <w:rFonts w:ascii="Palatino Linotype" w:hAnsi="Palatino Linotype"/>
          <w:i/>
          <w:sz w:val="22"/>
        </w:rPr>
      </w:pPr>
      <w:r w:rsidRPr="00885493">
        <w:rPr>
          <w:rFonts w:ascii="Palatino Linotype" w:hAnsi="Palatino Linotype"/>
          <w:i/>
          <w:sz w:val="22"/>
        </w:rPr>
        <w:t xml:space="preserve">Criterio 26 Periodo que se informa (fecha de inicio y fecha de término con el formato día/mes/año). </w:t>
      </w:r>
    </w:p>
    <w:p w14:paraId="7F61DFE7" w14:textId="77777777" w:rsidR="00F940A7" w:rsidRPr="00885493" w:rsidRDefault="00487559" w:rsidP="00487559">
      <w:pPr>
        <w:pBdr>
          <w:top w:val="nil"/>
          <w:left w:val="nil"/>
          <w:bottom w:val="nil"/>
          <w:right w:val="nil"/>
          <w:between w:val="nil"/>
        </w:pBdr>
        <w:spacing w:line="360" w:lineRule="auto"/>
        <w:ind w:left="851" w:right="822"/>
        <w:jc w:val="both"/>
        <w:rPr>
          <w:rFonts w:ascii="Palatino Linotype" w:hAnsi="Palatino Linotype"/>
          <w:i/>
          <w:sz w:val="22"/>
        </w:rPr>
      </w:pPr>
      <w:r w:rsidRPr="00885493">
        <w:rPr>
          <w:rFonts w:ascii="Palatino Linotype" w:hAnsi="Palatino Linotype"/>
          <w:i/>
          <w:sz w:val="22"/>
        </w:rPr>
        <w:t xml:space="preserve">Criterio 27 Denominación de la licencia de uso de suelo. </w:t>
      </w:r>
    </w:p>
    <w:p w14:paraId="68D79295" w14:textId="77777777" w:rsidR="00F940A7" w:rsidRPr="00885493" w:rsidRDefault="00487559" w:rsidP="00487559">
      <w:pPr>
        <w:pBdr>
          <w:top w:val="nil"/>
          <w:left w:val="nil"/>
          <w:bottom w:val="nil"/>
          <w:right w:val="nil"/>
          <w:between w:val="nil"/>
        </w:pBdr>
        <w:spacing w:line="360" w:lineRule="auto"/>
        <w:ind w:left="851" w:right="822"/>
        <w:jc w:val="both"/>
        <w:rPr>
          <w:rFonts w:ascii="Palatino Linotype" w:hAnsi="Palatino Linotype"/>
          <w:i/>
          <w:sz w:val="22"/>
        </w:rPr>
      </w:pPr>
      <w:r w:rsidRPr="00885493">
        <w:rPr>
          <w:rFonts w:ascii="Palatino Linotype" w:hAnsi="Palatino Linotype"/>
          <w:i/>
          <w:sz w:val="22"/>
        </w:rPr>
        <w:t xml:space="preserve">Criterio 28 Objeto de las licencias de uso de suelo. </w:t>
      </w:r>
    </w:p>
    <w:p w14:paraId="311F4D19" w14:textId="77777777" w:rsidR="00F940A7" w:rsidRPr="00885493" w:rsidRDefault="00487559" w:rsidP="00487559">
      <w:pPr>
        <w:pBdr>
          <w:top w:val="nil"/>
          <w:left w:val="nil"/>
          <w:bottom w:val="nil"/>
          <w:right w:val="nil"/>
          <w:between w:val="nil"/>
        </w:pBdr>
        <w:spacing w:line="360" w:lineRule="auto"/>
        <w:ind w:left="851" w:right="822"/>
        <w:jc w:val="both"/>
        <w:rPr>
          <w:rFonts w:ascii="Palatino Linotype" w:hAnsi="Palatino Linotype"/>
          <w:i/>
          <w:sz w:val="22"/>
        </w:rPr>
      </w:pPr>
      <w:r w:rsidRPr="00885493">
        <w:rPr>
          <w:rFonts w:ascii="Palatino Linotype" w:hAnsi="Palatino Linotype"/>
          <w:i/>
          <w:sz w:val="22"/>
        </w:rPr>
        <w:t xml:space="preserve">Criterio 29 Nombre o denominación de la persona física o moral que solicita la licencia. Criterio </w:t>
      </w:r>
    </w:p>
    <w:p w14:paraId="18DD924C" w14:textId="77777777" w:rsidR="00F940A7" w:rsidRPr="00885493" w:rsidRDefault="00487559" w:rsidP="00487559">
      <w:pPr>
        <w:pBdr>
          <w:top w:val="nil"/>
          <w:left w:val="nil"/>
          <w:bottom w:val="nil"/>
          <w:right w:val="nil"/>
          <w:between w:val="nil"/>
        </w:pBdr>
        <w:spacing w:line="360" w:lineRule="auto"/>
        <w:ind w:left="851" w:right="822"/>
        <w:jc w:val="both"/>
        <w:rPr>
          <w:rFonts w:ascii="Palatino Linotype" w:hAnsi="Palatino Linotype"/>
          <w:i/>
          <w:sz w:val="22"/>
        </w:rPr>
      </w:pPr>
      <w:r w:rsidRPr="00885493">
        <w:rPr>
          <w:rFonts w:ascii="Palatino Linotype" w:hAnsi="Palatino Linotype"/>
          <w:i/>
          <w:sz w:val="22"/>
        </w:rPr>
        <w:t xml:space="preserve">30 Domicilio de donde se solicita la licencia de uso de suelo (tipo de vialidad [catálogo], nombre de vialidad [calle], número exterior, número interior [en su caso], tipo de asentamiento humano [catálogo], nombre de asentamiento humano [colonia], clave de la localidad, nombre de la localidad, clave del municipio, nombre del municipio o delegación, clave de la entidad federativa, nombre de la entidad federativa [catálogo], código postal). </w:t>
      </w:r>
    </w:p>
    <w:p w14:paraId="07423BC3" w14:textId="77777777" w:rsidR="00F940A7" w:rsidRPr="00885493" w:rsidRDefault="00487559" w:rsidP="00487559">
      <w:pPr>
        <w:pBdr>
          <w:top w:val="nil"/>
          <w:left w:val="nil"/>
          <w:bottom w:val="nil"/>
          <w:right w:val="nil"/>
          <w:between w:val="nil"/>
        </w:pBdr>
        <w:spacing w:line="360" w:lineRule="auto"/>
        <w:ind w:left="851" w:right="822"/>
        <w:jc w:val="both"/>
        <w:rPr>
          <w:rFonts w:ascii="Palatino Linotype" w:hAnsi="Palatino Linotype"/>
          <w:i/>
          <w:sz w:val="22"/>
        </w:rPr>
      </w:pPr>
      <w:r w:rsidRPr="00885493">
        <w:rPr>
          <w:rFonts w:ascii="Palatino Linotype" w:hAnsi="Palatino Linotype"/>
          <w:i/>
          <w:sz w:val="22"/>
        </w:rPr>
        <w:t xml:space="preserve">Criterio 31 Periodo de vigencia expresado en el formato día/mes/año. Criterio 32 Fecha de inicio de la licencia, con el formato mes año. Criterio 33 Fecha de término de la licencia, con el formato mes año. </w:t>
      </w:r>
    </w:p>
    <w:p w14:paraId="12FB6CA1" w14:textId="77777777" w:rsidR="00F940A7" w:rsidRPr="00885493" w:rsidRDefault="00487559" w:rsidP="00F940A7">
      <w:pPr>
        <w:pBdr>
          <w:top w:val="nil"/>
          <w:left w:val="nil"/>
          <w:bottom w:val="nil"/>
          <w:right w:val="nil"/>
          <w:between w:val="nil"/>
        </w:pBdr>
        <w:spacing w:line="360" w:lineRule="auto"/>
        <w:ind w:left="851" w:right="822"/>
        <w:jc w:val="both"/>
        <w:rPr>
          <w:rFonts w:ascii="Palatino Linotype" w:hAnsi="Palatino Linotype"/>
          <w:i/>
          <w:sz w:val="22"/>
        </w:rPr>
      </w:pPr>
      <w:r w:rsidRPr="00885493">
        <w:rPr>
          <w:rFonts w:ascii="Palatino Linotype" w:hAnsi="Palatino Linotype"/>
          <w:i/>
          <w:sz w:val="22"/>
        </w:rPr>
        <w:lastRenderedPageBreak/>
        <w:t>Criterio 34 Bienes, servicios y/o recursos públicos que aprovechará el titular de la licencia o, en su caso, señalar que no hay aprovechamiento de bien alguno.</w:t>
      </w:r>
      <w:r w:rsidR="00F940A7" w:rsidRPr="00885493">
        <w:rPr>
          <w:rFonts w:ascii="Palatino Linotype" w:hAnsi="Palatino Linotype"/>
          <w:i/>
          <w:sz w:val="22"/>
        </w:rPr>
        <w:t>”</w:t>
      </w:r>
    </w:p>
    <w:p w14:paraId="52830639" w14:textId="77777777" w:rsidR="00487559" w:rsidRPr="00885493" w:rsidRDefault="00487559" w:rsidP="00487559">
      <w:pPr>
        <w:pBdr>
          <w:top w:val="nil"/>
          <w:left w:val="nil"/>
          <w:bottom w:val="nil"/>
          <w:right w:val="nil"/>
          <w:between w:val="nil"/>
        </w:pBdr>
        <w:spacing w:line="360" w:lineRule="auto"/>
        <w:ind w:left="851" w:right="822"/>
        <w:jc w:val="both"/>
        <w:rPr>
          <w:rFonts w:ascii="Palatino Linotype" w:hAnsi="Palatino Linotype"/>
          <w:i/>
          <w:sz w:val="22"/>
        </w:rPr>
      </w:pPr>
    </w:p>
    <w:p w14:paraId="07929938" w14:textId="77777777" w:rsidR="00487559" w:rsidRPr="00885493" w:rsidRDefault="00487559" w:rsidP="00487559">
      <w:pPr>
        <w:pBdr>
          <w:top w:val="nil"/>
          <w:left w:val="nil"/>
          <w:bottom w:val="nil"/>
          <w:right w:val="nil"/>
          <w:between w:val="nil"/>
        </w:pBdr>
        <w:spacing w:line="360" w:lineRule="auto"/>
        <w:ind w:right="-734"/>
        <w:jc w:val="both"/>
        <w:rPr>
          <w:rFonts w:ascii="Palatino Linotype" w:hAnsi="Palatino Linotype"/>
          <w:color w:val="000000"/>
        </w:rPr>
      </w:pPr>
      <w:r w:rsidRPr="00885493">
        <w:rPr>
          <w:rFonts w:ascii="Palatino Linotype" w:hAnsi="Palatino Linotype"/>
          <w:noProof/>
          <w:color w:val="000000"/>
        </w:rPr>
        <w:drawing>
          <wp:inline distT="0" distB="0" distL="0" distR="0" wp14:anchorId="2EF1502B" wp14:editId="7A9D5F81">
            <wp:extent cx="5742940" cy="198882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742940" cy="1988820"/>
                    </a:xfrm>
                    <a:prstGeom prst="rect">
                      <a:avLst/>
                    </a:prstGeom>
                  </pic:spPr>
                </pic:pic>
              </a:graphicData>
            </a:graphic>
          </wp:inline>
        </w:drawing>
      </w:r>
    </w:p>
    <w:p w14:paraId="1E0CAB06" w14:textId="77777777" w:rsidR="00487559" w:rsidRPr="00885493" w:rsidRDefault="00487559" w:rsidP="00487559">
      <w:pPr>
        <w:pBdr>
          <w:top w:val="nil"/>
          <w:left w:val="nil"/>
          <w:bottom w:val="nil"/>
          <w:right w:val="nil"/>
          <w:between w:val="nil"/>
        </w:pBdr>
        <w:spacing w:line="360" w:lineRule="auto"/>
        <w:ind w:right="-734"/>
        <w:jc w:val="both"/>
        <w:rPr>
          <w:rFonts w:ascii="Palatino Linotype" w:hAnsi="Palatino Linotype"/>
          <w:color w:val="000000"/>
        </w:rPr>
      </w:pPr>
      <w:r w:rsidRPr="00885493">
        <w:rPr>
          <w:rFonts w:ascii="Palatino Linotype" w:hAnsi="Palatino Linotype"/>
          <w:noProof/>
          <w:color w:val="000000"/>
        </w:rPr>
        <w:drawing>
          <wp:inline distT="0" distB="0" distL="0" distR="0" wp14:anchorId="0265C88F" wp14:editId="15CBD09F">
            <wp:extent cx="5706271" cy="1895740"/>
            <wp:effectExtent l="0" t="0" r="0"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706271" cy="1895740"/>
                    </a:xfrm>
                    <a:prstGeom prst="rect">
                      <a:avLst/>
                    </a:prstGeom>
                  </pic:spPr>
                </pic:pic>
              </a:graphicData>
            </a:graphic>
          </wp:inline>
        </w:drawing>
      </w:r>
    </w:p>
    <w:p w14:paraId="6709C910" w14:textId="77777777" w:rsidR="00487559" w:rsidRPr="00885493" w:rsidRDefault="00487559" w:rsidP="00487559">
      <w:pPr>
        <w:pStyle w:val="Prrafodelista"/>
        <w:rPr>
          <w:rFonts w:ascii="Palatino Linotype" w:hAnsi="Palatino Linotype"/>
          <w:color w:val="000000"/>
        </w:rPr>
      </w:pPr>
    </w:p>
    <w:p w14:paraId="7D735A61" w14:textId="77777777" w:rsidR="00C25DAB" w:rsidRPr="00885493" w:rsidRDefault="00487559" w:rsidP="00F940A7">
      <w:pPr>
        <w:numPr>
          <w:ilvl w:val="0"/>
          <w:numId w:val="7"/>
        </w:numPr>
        <w:pBdr>
          <w:top w:val="nil"/>
          <w:left w:val="nil"/>
          <w:bottom w:val="nil"/>
          <w:right w:val="nil"/>
          <w:between w:val="nil"/>
        </w:pBdr>
        <w:spacing w:line="360" w:lineRule="auto"/>
        <w:ind w:left="0" w:right="-28" w:firstLine="0"/>
        <w:jc w:val="both"/>
        <w:rPr>
          <w:rFonts w:ascii="Palatino Linotype" w:hAnsi="Palatino Linotype"/>
          <w:color w:val="000000"/>
        </w:rPr>
      </w:pPr>
      <w:r w:rsidRPr="00885493">
        <w:rPr>
          <w:rFonts w:ascii="Palatino Linotype" w:hAnsi="Palatino Linotype"/>
          <w:color w:val="000000"/>
        </w:rPr>
        <w:t>Como se advierte en los Lineamientos, la información referente al domicilio de donde se solicitó</w:t>
      </w:r>
      <w:r w:rsidR="00F940A7" w:rsidRPr="00885493">
        <w:rPr>
          <w:rFonts w:ascii="Palatino Linotype" w:hAnsi="Palatino Linotype"/>
          <w:color w:val="000000"/>
        </w:rPr>
        <w:t xml:space="preserve"> la licencia de uso de suelo es un dato que debe ser publicado y debe contener </w:t>
      </w:r>
      <w:r w:rsidR="00F940A7" w:rsidRPr="00885493">
        <w:rPr>
          <w:rFonts w:ascii="Palatino Linotype" w:hAnsi="Palatino Linotype"/>
          <w:sz w:val="22"/>
        </w:rPr>
        <w:t xml:space="preserve">nombre de vialidad, número exterior, número interior, tipo de asentamiento humano, colonia, clave de la localidad, nombre de la localidad, clave del municipio, nombre del municipio o delegación, clave de la entidad federativa, nombre de la entidad federativa, código postal, por lo tanto, en este caso, no procede su clasificación.  </w:t>
      </w:r>
    </w:p>
    <w:p w14:paraId="4D5F26D6" w14:textId="77777777" w:rsidR="00F940A7" w:rsidRPr="00885493" w:rsidRDefault="00F940A7" w:rsidP="00F940A7">
      <w:pPr>
        <w:pBdr>
          <w:top w:val="nil"/>
          <w:left w:val="nil"/>
          <w:bottom w:val="nil"/>
          <w:right w:val="nil"/>
          <w:between w:val="nil"/>
        </w:pBdr>
        <w:spacing w:line="360" w:lineRule="auto"/>
        <w:ind w:right="-28"/>
        <w:jc w:val="both"/>
        <w:rPr>
          <w:rFonts w:ascii="Palatino Linotype" w:hAnsi="Palatino Linotype"/>
          <w:color w:val="000000"/>
        </w:rPr>
      </w:pPr>
    </w:p>
    <w:p w14:paraId="5661B349" w14:textId="77777777" w:rsidR="00487559" w:rsidRPr="00885493" w:rsidRDefault="00D8235A" w:rsidP="00487559">
      <w:pPr>
        <w:numPr>
          <w:ilvl w:val="0"/>
          <w:numId w:val="3"/>
        </w:numPr>
        <w:pBdr>
          <w:top w:val="nil"/>
          <w:left w:val="nil"/>
          <w:bottom w:val="nil"/>
          <w:right w:val="nil"/>
          <w:between w:val="nil"/>
        </w:pBdr>
        <w:spacing w:line="360" w:lineRule="auto"/>
        <w:ind w:right="-734"/>
        <w:jc w:val="both"/>
        <w:rPr>
          <w:rFonts w:ascii="Palatino Linotype" w:eastAsia="Palatino Linotype" w:hAnsi="Palatino Linotype" w:cs="Palatino Linotype"/>
          <w:b/>
          <w:color w:val="000000"/>
        </w:rPr>
      </w:pPr>
      <w:r w:rsidRPr="00885493">
        <w:rPr>
          <w:rFonts w:ascii="Palatino Linotype" w:eastAsia="Palatino Linotype" w:hAnsi="Palatino Linotype" w:cs="Palatino Linotype"/>
          <w:b/>
          <w:color w:val="000000"/>
        </w:rPr>
        <w:t>Superficie del Predio y medidas y colindancias</w:t>
      </w:r>
      <w:r w:rsidR="00487559" w:rsidRPr="00885493">
        <w:rPr>
          <w:rFonts w:ascii="Palatino Linotype" w:eastAsia="Palatino Linotype" w:hAnsi="Palatino Linotype" w:cs="Palatino Linotype"/>
          <w:b/>
          <w:color w:val="000000"/>
        </w:rPr>
        <w:t>.</w:t>
      </w:r>
    </w:p>
    <w:p w14:paraId="7D27E5A9" w14:textId="77777777" w:rsidR="00C25DAB" w:rsidRDefault="00D8235A">
      <w:pPr>
        <w:numPr>
          <w:ilvl w:val="0"/>
          <w:numId w:val="7"/>
        </w:numPr>
        <w:pBdr>
          <w:top w:val="nil"/>
          <w:left w:val="nil"/>
          <w:bottom w:val="nil"/>
          <w:right w:val="nil"/>
          <w:between w:val="nil"/>
        </w:pBdr>
        <w:spacing w:line="360" w:lineRule="auto"/>
        <w:ind w:left="0" w:right="-734" w:firstLine="0"/>
        <w:jc w:val="both"/>
        <w:rPr>
          <w:color w:val="000000"/>
        </w:rPr>
      </w:pPr>
      <w:r>
        <w:rPr>
          <w:rFonts w:ascii="Palatino Linotype" w:eastAsia="Palatino Linotype" w:hAnsi="Palatino Linotype" w:cs="Palatino Linotype"/>
          <w:color w:val="000000"/>
        </w:rPr>
        <w:lastRenderedPageBreak/>
        <w:t>Se considera información cuya divulgación puede conducir a un vulneración a la esfera privada de los particulares propietarios o poseedores de los inmuebles, pues se trata de información que solo atañe a sus titulares, máxime que se trata de información que no es referente a servidores públicos si no de particulares, por lo tanto, es procedente su clasificación en términos de lo dispuesto en los artículo 3, fracciones IX, XX y XXI, 143 fracción I y 91 de la Ley de Transparencia y Acceso a la Información Pública del Estado de México y Municipios, porque se trata de información de carácter patrimonial que puede vincularse a particulares.</w:t>
      </w:r>
    </w:p>
    <w:p w14:paraId="7EA2850B" w14:textId="77777777" w:rsidR="00C25DAB" w:rsidRDefault="00C25DAB">
      <w:pPr>
        <w:pBdr>
          <w:top w:val="nil"/>
          <w:left w:val="nil"/>
          <w:bottom w:val="nil"/>
          <w:right w:val="nil"/>
          <w:between w:val="nil"/>
        </w:pBdr>
        <w:spacing w:line="360" w:lineRule="auto"/>
        <w:ind w:right="-734"/>
        <w:jc w:val="both"/>
        <w:rPr>
          <w:rFonts w:ascii="Palatino Linotype" w:eastAsia="Palatino Linotype" w:hAnsi="Palatino Linotype" w:cs="Palatino Linotype"/>
          <w:color w:val="000000"/>
        </w:rPr>
      </w:pPr>
    </w:p>
    <w:p w14:paraId="3BD6F28E" w14:textId="77777777" w:rsidR="00C25DAB" w:rsidRDefault="00D8235A">
      <w:pPr>
        <w:numPr>
          <w:ilvl w:val="0"/>
          <w:numId w:val="4"/>
        </w:numPr>
        <w:spacing w:line="360" w:lineRule="auto"/>
        <w:ind w:right="-734"/>
        <w:jc w:val="both"/>
        <w:rPr>
          <w:rFonts w:ascii="Palatino Linotype" w:eastAsia="Palatino Linotype" w:hAnsi="Palatino Linotype" w:cs="Palatino Linotype"/>
          <w:b/>
        </w:rPr>
      </w:pPr>
      <w:r>
        <w:rPr>
          <w:rFonts w:ascii="Palatino Linotype" w:eastAsia="Palatino Linotype" w:hAnsi="Palatino Linotype" w:cs="Palatino Linotype"/>
          <w:b/>
        </w:rPr>
        <w:t xml:space="preserve">Clave catastral </w:t>
      </w:r>
    </w:p>
    <w:p w14:paraId="4023F94B" w14:textId="77777777" w:rsidR="00C25DAB" w:rsidRDefault="00D8235A">
      <w:pPr>
        <w:numPr>
          <w:ilvl w:val="0"/>
          <w:numId w:val="7"/>
        </w:numPr>
        <w:pBdr>
          <w:top w:val="nil"/>
          <w:left w:val="nil"/>
          <w:bottom w:val="nil"/>
          <w:right w:val="nil"/>
          <w:between w:val="nil"/>
        </w:pBdr>
        <w:spacing w:line="360" w:lineRule="auto"/>
        <w:ind w:left="0" w:right="-734" w:firstLine="0"/>
        <w:jc w:val="both"/>
        <w:rPr>
          <w:color w:val="000000"/>
        </w:rPr>
      </w:pPr>
      <w:r>
        <w:rPr>
          <w:rFonts w:ascii="Palatino Linotype" w:eastAsia="Palatino Linotype" w:hAnsi="Palatino Linotype" w:cs="Palatino Linotype"/>
          <w:color w:val="000000"/>
        </w:rPr>
        <w:t>Por cuanto hace a la clave catastral; el artículo 179, fracción I, del Código Financiero del Estado de México y Municipios, refiere que la clave catastral es un código alfanumérico único e irrepetible, que se asigna para efectos de localización geográfica, identificación inscripción, control y registro de los inmuebles; por lo que, integrado de dieciséis caracteres., los primeros tres identifican el código del municipio, los dos siguientes a la zona catastral, los subsecuentes tres a la manzana y los últimos dos, identifican el número de lote o predio.</w:t>
      </w:r>
    </w:p>
    <w:p w14:paraId="3F1F8591" w14:textId="77777777" w:rsidR="00C25DAB" w:rsidRDefault="00C25DAB">
      <w:pPr>
        <w:pBdr>
          <w:top w:val="nil"/>
          <w:left w:val="nil"/>
          <w:bottom w:val="nil"/>
          <w:right w:val="nil"/>
          <w:between w:val="nil"/>
        </w:pBdr>
        <w:spacing w:line="360" w:lineRule="auto"/>
        <w:ind w:right="-734"/>
        <w:jc w:val="both"/>
        <w:rPr>
          <w:rFonts w:ascii="Palatino Linotype" w:eastAsia="Palatino Linotype" w:hAnsi="Palatino Linotype" w:cs="Palatino Linotype"/>
          <w:color w:val="000000"/>
        </w:rPr>
      </w:pPr>
    </w:p>
    <w:p w14:paraId="3753E4EB" w14:textId="77777777" w:rsidR="00C25DAB" w:rsidRDefault="00D8235A">
      <w:pPr>
        <w:numPr>
          <w:ilvl w:val="0"/>
          <w:numId w:val="7"/>
        </w:numPr>
        <w:pBdr>
          <w:top w:val="nil"/>
          <w:left w:val="nil"/>
          <w:bottom w:val="nil"/>
          <w:right w:val="nil"/>
          <w:between w:val="nil"/>
        </w:pBdr>
        <w:spacing w:line="360" w:lineRule="auto"/>
        <w:ind w:left="0" w:right="-734" w:firstLine="0"/>
        <w:jc w:val="both"/>
        <w:rPr>
          <w:color w:val="000000"/>
        </w:rPr>
      </w:pPr>
      <w:r>
        <w:rPr>
          <w:rFonts w:ascii="Palatino Linotype" w:eastAsia="Palatino Linotype" w:hAnsi="Palatino Linotype" w:cs="Palatino Linotype"/>
          <w:color w:val="000000"/>
        </w:rPr>
        <w:t>El diccionario de Datos catastrales Escala 1:1000 del Instituto Nacional de Estadística y Geografía (INEGI), contempla en su glosario la definición de clave catastral, la cual, es la siguiente:</w:t>
      </w:r>
    </w:p>
    <w:p w14:paraId="2881CBA9" w14:textId="77777777" w:rsidR="00C25DAB" w:rsidRDefault="00C25DAB">
      <w:pPr>
        <w:spacing w:line="360" w:lineRule="auto"/>
        <w:ind w:right="-734"/>
        <w:jc w:val="both"/>
        <w:rPr>
          <w:rFonts w:ascii="Palatino Linotype" w:eastAsia="Palatino Linotype" w:hAnsi="Palatino Linotype" w:cs="Palatino Linotype"/>
        </w:rPr>
      </w:pPr>
    </w:p>
    <w:p w14:paraId="166EE664" w14:textId="77777777" w:rsidR="00C25DAB" w:rsidRDefault="00D8235A">
      <w:pPr>
        <w:spacing w:line="276" w:lineRule="auto"/>
        <w:ind w:left="851" w:right="25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r>
        <w:rPr>
          <w:rFonts w:ascii="Palatino Linotype" w:eastAsia="Palatino Linotype" w:hAnsi="Palatino Linotype" w:cs="Palatino Linotype"/>
          <w:b/>
          <w:i/>
          <w:sz w:val="22"/>
          <w:szCs w:val="22"/>
        </w:rPr>
        <w:t xml:space="preserve">Clave catastral: </w:t>
      </w:r>
      <w:r>
        <w:rPr>
          <w:rFonts w:ascii="Palatino Linotype" w:eastAsia="Palatino Linotype" w:hAnsi="Palatino Linotype" w:cs="Palatino Linotype"/>
          <w:i/>
          <w:sz w:val="22"/>
          <w:szCs w:val="22"/>
        </w:rPr>
        <w:t>El código que identifica al predio de forma única para su localización geográfica, mismo que es asignado a cada uno de ellos en el momento de su inscripción en el padrón catastral por las Unidades del estado con atribuciones catastrales”</w:t>
      </w:r>
    </w:p>
    <w:p w14:paraId="3789558F" w14:textId="77777777" w:rsidR="00C25DAB" w:rsidRDefault="00C25DAB">
      <w:pPr>
        <w:spacing w:line="360" w:lineRule="auto"/>
        <w:ind w:right="-734"/>
        <w:jc w:val="both"/>
        <w:rPr>
          <w:rFonts w:ascii="Palatino Linotype" w:eastAsia="Palatino Linotype" w:hAnsi="Palatino Linotype" w:cs="Palatino Linotype"/>
        </w:rPr>
      </w:pPr>
    </w:p>
    <w:p w14:paraId="2AA41083" w14:textId="77777777" w:rsidR="00C25DAB" w:rsidRDefault="00D8235A">
      <w:pPr>
        <w:numPr>
          <w:ilvl w:val="0"/>
          <w:numId w:val="7"/>
        </w:numPr>
        <w:pBdr>
          <w:top w:val="nil"/>
          <w:left w:val="nil"/>
          <w:bottom w:val="nil"/>
          <w:right w:val="nil"/>
          <w:between w:val="nil"/>
        </w:pBdr>
        <w:spacing w:line="360" w:lineRule="auto"/>
        <w:ind w:left="0" w:right="-734" w:firstLine="0"/>
        <w:jc w:val="both"/>
        <w:rPr>
          <w:color w:val="000000"/>
        </w:rPr>
      </w:pPr>
      <w:r>
        <w:rPr>
          <w:rFonts w:ascii="Palatino Linotype" w:eastAsia="Palatino Linotype" w:hAnsi="Palatino Linotype" w:cs="Palatino Linotype"/>
          <w:color w:val="000000"/>
        </w:rPr>
        <w:lastRenderedPageBreak/>
        <w:t>Así mismo, dicho diccionario estipula dos tipos de Claves catastrales, siendo estas la Estándar y la Original, cuyo diccionario de datos catastrales Escala 1:1000 del INEGI, las define como</w:t>
      </w:r>
    </w:p>
    <w:p w14:paraId="731A48F4" w14:textId="77777777" w:rsidR="00C25DAB" w:rsidRDefault="00D8235A">
      <w:pPr>
        <w:spacing w:line="276" w:lineRule="auto"/>
        <w:ind w:left="851" w:right="115"/>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r>
        <w:rPr>
          <w:rFonts w:ascii="Palatino Linotype" w:eastAsia="Palatino Linotype" w:hAnsi="Palatino Linotype" w:cs="Palatino Linotype"/>
          <w:b/>
          <w:i/>
          <w:sz w:val="22"/>
          <w:szCs w:val="22"/>
        </w:rPr>
        <w:t xml:space="preserve">CLAVE CATASTRAL ESTÁNDAR: </w:t>
      </w:r>
      <w:r>
        <w:rPr>
          <w:rFonts w:ascii="Palatino Linotype" w:eastAsia="Palatino Linotype" w:hAnsi="Palatino Linotype" w:cs="Palatino Linotype"/>
          <w:i/>
          <w:sz w:val="22"/>
          <w:szCs w:val="22"/>
        </w:rPr>
        <w:t xml:space="preserve">Código de 31 caracteres conformado por elementos administrativos y que identifica al objeto espacial en forma única para su localización, compuesto por: Estado (2) + Región Catastral (3) + Municipio (3) + Zona Catastral (2) + Localidad (4) + Sector Catastral (3) + </w:t>
      </w:r>
      <w:proofErr w:type="gramStart"/>
      <w:r>
        <w:rPr>
          <w:rFonts w:ascii="Palatino Linotype" w:eastAsia="Palatino Linotype" w:hAnsi="Palatino Linotype" w:cs="Palatino Linotype"/>
          <w:i/>
          <w:sz w:val="22"/>
          <w:szCs w:val="22"/>
        </w:rPr>
        <w:t>Manzana(</w:t>
      </w:r>
      <w:proofErr w:type="gramEnd"/>
      <w:r>
        <w:rPr>
          <w:rFonts w:ascii="Palatino Linotype" w:eastAsia="Palatino Linotype" w:hAnsi="Palatino Linotype" w:cs="Palatino Linotype"/>
          <w:i/>
          <w:sz w:val="22"/>
          <w:szCs w:val="22"/>
        </w:rPr>
        <w:t>3) + Predio (5) +  Condominio: edificio (2) y unidad (4).</w:t>
      </w:r>
    </w:p>
    <w:p w14:paraId="526DB0E6" w14:textId="77777777" w:rsidR="00C25DAB" w:rsidRDefault="00C25DAB">
      <w:pPr>
        <w:spacing w:line="276" w:lineRule="auto"/>
        <w:ind w:left="851" w:right="115"/>
        <w:jc w:val="both"/>
        <w:rPr>
          <w:rFonts w:ascii="Palatino Linotype" w:eastAsia="Palatino Linotype" w:hAnsi="Palatino Linotype" w:cs="Palatino Linotype"/>
          <w:i/>
          <w:sz w:val="22"/>
          <w:szCs w:val="22"/>
        </w:rPr>
      </w:pPr>
    </w:p>
    <w:p w14:paraId="552855EC" w14:textId="77777777" w:rsidR="00C25DAB" w:rsidRDefault="00D8235A">
      <w:pPr>
        <w:spacing w:line="276" w:lineRule="auto"/>
        <w:ind w:left="851" w:right="115"/>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 xml:space="preserve">CLAVE CATASTRAL ORIGINAL: </w:t>
      </w:r>
      <w:r>
        <w:rPr>
          <w:rFonts w:ascii="Palatino Linotype" w:eastAsia="Palatino Linotype" w:hAnsi="Palatino Linotype" w:cs="Palatino Linotype"/>
          <w:i/>
          <w:sz w:val="22"/>
          <w:szCs w:val="22"/>
        </w:rPr>
        <w:t>Código que identifica al objeto espacial el cual es asignado, por el Catastro Estatal, Municipal o por el registro Agrario Nacional”</w:t>
      </w:r>
      <w:r>
        <w:rPr>
          <w:rFonts w:ascii="Palatino Linotype" w:eastAsia="Palatino Linotype" w:hAnsi="Palatino Linotype" w:cs="Palatino Linotype"/>
          <w:b/>
          <w:i/>
          <w:sz w:val="22"/>
          <w:szCs w:val="22"/>
        </w:rPr>
        <w:t xml:space="preserve"> </w:t>
      </w:r>
    </w:p>
    <w:p w14:paraId="07752DEF" w14:textId="77777777" w:rsidR="00C25DAB" w:rsidRDefault="00C25DAB">
      <w:pPr>
        <w:spacing w:line="360" w:lineRule="auto"/>
        <w:ind w:right="-734"/>
        <w:jc w:val="both"/>
        <w:rPr>
          <w:rFonts w:ascii="Palatino Linotype" w:eastAsia="Palatino Linotype" w:hAnsi="Palatino Linotype" w:cs="Palatino Linotype"/>
        </w:rPr>
      </w:pPr>
    </w:p>
    <w:p w14:paraId="356FCC38" w14:textId="77777777" w:rsidR="00C25DAB" w:rsidRDefault="00D8235A">
      <w:pPr>
        <w:numPr>
          <w:ilvl w:val="0"/>
          <w:numId w:val="7"/>
        </w:numPr>
        <w:pBdr>
          <w:top w:val="nil"/>
          <w:left w:val="nil"/>
          <w:bottom w:val="nil"/>
          <w:right w:val="nil"/>
          <w:between w:val="nil"/>
        </w:pBdr>
        <w:spacing w:line="360" w:lineRule="auto"/>
        <w:ind w:left="0" w:right="-734" w:firstLine="0"/>
        <w:jc w:val="both"/>
        <w:rPr>
          <w:color w:val="000000"/>
        </w:rPr>
      </w:pPr>
      <w:r>
        <w:rPr>
          <w:rFonts w:ascii="Palatino Linotype" w:eastAsia="Palatino Linotype" w:hAnsi="Palatino Linotype" w:cs="Palatino Linotype"/>
          <w:color w:val="000000"/>
        </w:rPr>
        <w:t xml:space="preserve">Conforme a lo anterior, se advierte que el dato en comento, hace referencia a un predio determinado, que lo hace identificable mediante su localización geográfica e inscripción al padrón catastral de cada entidad federativa, por lo que pudiera revelar información inherente al patrimonio del propietario de dicho predio o inmueble, por lo que de igual manera </w:t>
      </w:r>
      <w:r>
        <w:rPr>
          <w:rFonts w:ascii="Palatino Linotype" w:eastAsia="Palatino Linotype" w:hAnsi="Palatino Linotype" w:cs="Palatino Linotype"/>
          <w:b/>
          <w:color w:val="000000"/>
        </w:rPr>
        <w:t>procede a clasificar dicho dato como confidencial, en términos del artículo 143, fracción I de la Ley de Transparencia y Acceso a la Información Pública del Estado de México y Municipios.</w:t>
      </w:r>
    </w:p>
    <w:p w14:paraId="1CFA4222" w14:textId="77777777" w:rsidR="00C25DAB" w:rsidRDefault="00C25DAB">
      <w:pPr>
        <w:pBdr>
          <w:top w:val="nil"/>
          <w:left w:val="nil"/>
          <w:bottom w:val="nil"/>
          <w:right w:val="nil"/>
          <w:between w:val="nil"/>
        </w:pBdr>
        <w:spacing w:line="360" w:lineRule="auto"/>
        <w:ind w:right="-734"/>
        <w:jc w:val="both"/>
        <w:rPr>
          <w:rFonts w:ascii="Palatino Linotype" w:eastAsia="Palatino Linotype" w:hAnsi="Palatino Linotype" w:cs="Palatino Linotype"/>
          <w:color w:val="000000"/>
        </w:rPr>
      </w:pPr>
    </w:p>
    <w:p w14:paraId="47C7D842" w14:textId="77777777" w:rsidR="00487559" w:rsidRPr="00885493" w:rsidRDefault="00D8235A" w:rsidP="00487559">
      <w:pPr>
        <w:numPr>
          <w:ilvl w:val="0"/>
          <w:numId w:val="7"/>
        </w:numPr>
        <w:pBdr>
          <w:top w:val="nil"/>
          <w:left w:val="nil"/>
          <w:bottom w:val="nil"/>
          <w:right w:val="nil"/>
          <w:between w:val="nil"/>
        </w:pBdr>
        <w:spacing w:line="360" w:lineRule="auto"/>
        <w:ind w:left="0" w:right="-734" w:firstLine="0"/>
        <w:jc w:val="both"/>
        <w:rPr>
          <w:color w:val="000000"/>
        </w:rPr>
      </w:pPr>
      <w:r w:rsidRPr="00885493">
        <w:rPr>
          <w:rFonts w:ascii="Palatino Linotype" w:eastAsia="Palatino Linotype" w:hAnsi="Palatino Linotype" w:cs="Palatino Linotype"/>
          <w:color w:val="000000"/>
        </w:rPr>
        <w:t xml:space="preserve">Por todo lo anteriormente referido, este órgano Garante advierte que la información remitida en respuesta </w:t>
      </w:r>
      <w:r w:rsidR="00487559" w:rsidRPr="00885493">
        <w:rPr>
          <w:rFonts w:ascii="Palatino Linotype" w:eastAsia="Palatino Linotype" w:hAnsi="Palatino Linotype" w:cs="Palatino Linotype"/>
          <w:color w:val="000000"/>
        </w:rPr>
        <w:t xml:space="preserve">no </w:t>
      </w:r>
      <w:r w:rsidRPr="00885493">
        <w:rPr>
          <w:rFonts w:ascii="Palatino Linotype" w:eastAsia="Palatino Linotype" w:hAnsi="Palatino Linotype" w:cs="Palatino Linotype"/>
          <w:color w:val="000000"/>
        </w:rPr>
        <w:t xml:space="preserve">colma con lo solicitado, pues </w:t>
      </w:r>
      <w:r w:rsidR="00487559" w:rsidRPr="00885493">
        <w:rPr>
          <w:rFonts w:ascii="Palatino Linotype" w:eastAsia="Palatino Linotype" w:hAnsi="Palatino Linotype" w:cs="Palatino Linotype"/>
          <w:color w:val="000000"/>
        </w:rPr>
        <w:t xml:space="preserve">si bien, el Sujeto Obligado entregó la información requerida por el particular, se testó el domicilio de donde se otorgó la licencia de uso de suelo. </w:t>
      </w:r>
    </w:p>
    <w:p w14:paraId="58C047DF" w14:textId="77777777" w:rsidR="00487559" w:rsidRPr="00885493" w:rsidRDefault="00487559" w:rsidP="00487559">
      <w:pPr>
        <w:pStyle w:val="Prrafodelista"/>
        <w:rPr>
          <w:rFonts w:ascii="Palatino Linotype" w:eastAsia="Calibri" w:hAnsi="Palatino Linotype"/>
        </w:rPr>
      </w:pPr>
    </w:p>
    <w:p w14:paraId="6392256E" w14:textId="77777777" w:rsidR="00487559" w:rsidRPr="00885493" w:rsidRDefault="00487559" w:rsidP="00487559">
      <w:pPr>
        <w:numPr>
          <w:ilvl w:val="0"/>
          <w:numId w:val="7"/>
        </w:numPr>
        <w:pBdr>
          <w:top w:val="nil"/>
          <w:left w:val="nil"/>
          <w:bottom w:val="nil"/>
          <w:right w:val="nil"/>
          <w:between w:val="nil"/>
        </w:pBdr>
        <w:spacing w:line="360" w:lineRule="auto"/>
        <w:ind w:left="0" w:right="-734" w:firstLine="0"/>
        <w:jc w:val="both"/>
        <w:rPr>
          <w:color w:val="000000"/>
        </w:rPr>
      </w:pPr>
      <w:r w:rsidRPr="00885493">
        <w:rPr>
          <w:rFonts w:ascii="Palatino Linotype" w:eastAsia="Calibri" w:hAnsi="Palatino Linotype"/>
        </w:rPr>
        <w:t>En consecuencia, una vez analizadas las constancias que integran el expediente electrónico</w:t>
      </w:r>
      <w:r w:rsidRPr="00885493">
        <w:rPr>
          <w:rFonts w:ascii="Palatino Linotype" w:eastAsia="MS Mincho" w:hAnsi="Palatino Linotype" w:cstheme="majorBidi"/>
        </w:rPr>
        <w:t>,</w:t>
      </w:r>
      <w:r w:rsidRPr="00885493">
        <w:rPr>
          <w:rFonts w:ascii="Palatino Linotype" w:eastAsia="MS Mincho" w:hAnsi="Palatino Linotype" w:cstheme="majorBidi"/>
          <w:lang w:val="es-ES"/>
        </w:rPr>
        <w:t xml:space="preserve"> y en mérito de lo expuesto en líneas anteriores, resultan fundadas las razones o motivos de inconformidad hechos valer por el </w:t>
      </w:r>
      <w:r w:rsidRPr="00885493">
        <w:rPr>
          <w:rFonts w:ascii="Palatino Linotype" w:eastAsia="MS Mincho" w:hAnsi="Palatino Linotype" w:cstheme="majorBidi"/>
          <w:b/>
          <w:lang w:val="es-ES"/>
        </w:rPr>
        <w:t>RECURRENTE</w:t>
      </w:r>
      <w:r w:rsidRPr="00885493">
        <w:rPr>
          <w:rFonts w:ascii="Palatino Linotype" w:eastAsia="MS Mincho" w:hAnsi="Palatino Linotype" w:cstheme="majorBidi"/>
          <w:lang w:val="es-ES"/>
        </w:rPr>
        <w:t xml:space="preserve"> dentro del recurso de revisión </w:t>
      </w:r>
      <w:r w:rsidRPr="00885493">
        <w:rPr>
          <w:rFonts w:ascii="Palatino Linotype" w:eastAsia="MS Mincho" w:hAnsi="Palatino Linotype" w:cstheme="majorBidi"/>
          <w:b/>
          <w:bCs/>
          <w:lang w:val="es-ES"/>
        </w:rPr>
        <w:lastRenderedPageBreak/>
        <w:t>00063/INFOEM/IP/RR/2024</w:t>
      </w:r>
      <w:r w:rsidRPr="00885493">
        <w:rPr>
          <w:rFonts w:ascii="Palatino Linotype" w:eastAsia="MS Mincho" w:hAnsi="Palatino Linotype" w:cstheme="majorBidi"/>
          <w:lang w:val="es-ES"/>
        </w:rPr>
        <w:t xml:space="preserve">; por ello, y con fundamento en la fracción III del numeral 186 de la Ley de Transparencia y Acceso a la Información Pública del Estado de México y Municipios, se </w:t>
      </w:r>
      <w:r w:rsidRPr="00885493">
        <w:rPr>
          <w:rFonts w:ascii="Palatino Linotype" w:eastAsia="MS Mincho" w:hAnsi="Palatino Linotype" w:cstheme="majorBidi"/>
          <w:b/>
          <w:lang w:val="es-ES"/>
        </w:rPr>
        <w:t>MODIFICA</w:t>
      </w:r>
      <w:r w:rsidRPr="00885493">
        <w:rPr>
          <w:rFonts w:ascii="Palatino Linotype" w:eastAsia="MS Mincho" w:hAnsi="Palatino Linotype" w:cstheme="majorBidi"/>
          <w:lang w:val="es-ES"/>
        </w:rPr>
        <w:t xml:space="preserve"> la respuesta del Sujeto Obligado. </w:t>
      </w:r>
    </w:p>
    <w:p w14:paraId="78B2CA9E" w14:textId="77777777" w:rsidR="007019C8" w:rsidRPr="00885493" w:rsidRDefault="007019C8" w:rsidP="007019C8">
      <w:pPr>
        <w:pStyle w:val="Prrafodelista"/>
        <w:rPr>
          <w:color w:val="000000"/>
        </w:rPr>
      </w:pPr>
    </w:p>
    <w:p w14:paraId="7E14118C" w14:textId="77777777" w:rsidR="007019C8" w:rsidRPr="00885493" w:rsidRDefault="007019C8" w:rsidP="007019C8">
      <w:pPr>
        <w:pBdr>
          <w:top w:val="nil"/>
          <w:left w:val="nil"/>
          <w:bottom w:val="nil"/>
          <w:right w:val="nil"/>
          <w:between w:val="nil"/>
        </w:pBdr>
        <w:spacing w:line="360" w:lineRule="auto"/>
        <w:ind w:right="-734"/>
        <w:jc w:val="both"/>
        <w:rPr>
          <w:color w:val="000000"/>
        </w:rPr>
      </w:pPr>
    </w:p>
    <w:p w14:paraId="62F21554" w14:textId="77777777" w:rsidR="007019C8" w:rsidRPr="00885493" w:rsidRDefault="007019C8" w:rsidP="007019C8">
      <w:pPr>
        <w:pStyle w:val="Prrafodelista"/>
        <w:tabs>
          <w:tab w:val="left" w:pos="426"/>
        </w:tabs>
        <w:spacing w:line="360" w:lineRule="auto"/>
        <w:ind w:left="0" w:right="51"/>
        <w:jc w:val="both"/>
        <w:outlineLvl w:val="1"/>
        <w:rPr>
          <w:rFonts w:ascii="Palatino Linotype" w:hAnsi="Palatino Linotype"/>
          <w:b/>
          <w:bCs/>
          <w:color w:val="000000" w:themeColor="text1"/>
          <w:sz w:val="24"/>
        </w:rPr>
      </w:pPr>
      <w:bookmarkStart w:id="8" w:name="_Toc89350464"/>
      <w:bookmarkStart w:id="9" w:name="_Toc94119619"/>
      <w:r w:rsidRPr="00885493">
        <w:rPr>
          <w:rFonts w:ascii="Palatino Linotype" w:hAnsi="Palatino Linotype"/>
          <w:b/>
          <w:bCs/>
          <w:color w:val="000000" w:themeColor="text1"/>
          <w:sz w:val="24"/>
        </w:rPr>
        <w:t>QUINTO. De la versión pública.</w:t>
      </w:r>
      <w:bookmarkEnd w:id="8"/>
      <w:bookmarkEnd w:id="9"/>
    </w:p>
    <w:p w14:paraId="7C291FE3" w14:textId="77777777" w:rsidR="007019C8" w:rsidRPr="00885493" w:rsidRDefault="007019C8" w:rsidP="007019C8">
      <w:pPr>
        <w:pStyle w:val="Prrafodelista"/>
        <w:tabs>
          <w:tab w:val="left" w:pos="426"/>
        </w:tabs>
        <w:spacing w:line="360" w:lineRule="auto"/>
        <w:ind w:left="0" w:right="51"/>
        <w:jc w:val="both"/>
        <w:rPr>
          <w:rFonts w:ascii="Palatino Linotype" w:hAnsi="Palatino Linotype"/>
          <w:color w:val="000000" w:themeColor="text1"/>
        </w:rPr>
      </w:pPr>
    </w:p>
    <w:p w14:paraId="50B948A4" w14:textId="77777777" w:rsidR="007019C8" w:rsidRPr="00885493" w:rsidRDefault="007019C8" w:rsidP="007019C8">
      <w:pPr>
        <w:pStyle w:val="Prrafodelista"/>
        <w:numPr>
          <w:ilvl w:val="0"/>
          <w:numId w:val="7"/>
        </w:numPr>
        <w:tabs>
          <w:tab w:val="left" w:pos="426"/>
        </w:tabs>
        <w:spacing w:line="360" w:lineRule="auto"/>
        <w:ind w:left="0" w:right="51" w:firstLine="0"/>
        <w:jc w:val="both"/>
        <w:rPr>
          <w:rFonts w:ascii="Palatino Linotype" w:hAnsi="Palatino Linotype"/>
          <w:color w:val="000000" w:themeColor="text1"/>
          <w:sz w:val="24"/>
        </w:rPr>
      </w:pPr>
      <w:r w:rsidRPr="00885493">
        <w:rPr>
          <w:rFonts w:ascii="Palatino Linotype" w:hAnsi="Palatino Linotype"/>
          <w:color w:val="000000" w:themeColor="text1"/>
          <w:sz w:val="24"/>
        </w:rPr>
        <w:t>Debe destacarse que, debido a la naturaleza de la información solicitada</w:t>
      </w:r>
      <w:r w:rsidRPr="00885493">
        <w:rPr>
          <w:rFonts w:ascii="Palatino Linotype" w:hAnsi="Palatino Linotype"/>
          <w:b/>
          <w:color w:val="000000" w:themeColor="text1"/>
          <w:sz w:val="24"/>
        </w:rPr>
        <w:t xml:space="preserve"> </w:t>
      </w:r>
      <w:r w:rsidRPr="00885493">
        <w:rPr>
          <w:rFonts w:ascii="Palatino Linotype" w:hAnsi="Palatino Linotype"/>
          <w:color w:val="000000" w:themeColor="text1"/>
          <w:sz w:val="24"/>
        </w:rPr>
        <w:t>eventualmente pudieran obrar datos personales susceptibles de protegerse, y toda vez que este Instituto de Transparencia, Acceso a la Información Pública y Protección de Datos Personales del Estado de México tiene el deber de velar por la protección de los datos personales aun tratándose de servidores públicos y en su caso generar la versión pública de los documentos por las consideraciones que se estimen pertinentes.</w:t>
      </w:r>
    </w:p>
    <w:p w14:paraId="6F249B1C" w14:textId="77777777" w:rsidR="007019C8" w:rsidRPr="00885493" w:rsidRDefault="007019C8" w:rsidP="007019C8">
      <w:pPr>
        <w:pStyle w:val="Prrafodelista"/>
        <w:tabs>
          <w:tab w:val="left" w:pos="426"/>
        </w:tabs>
        <w:spacing w:line="360" w:lineRule="auto"/>
        <w:ind w:left="0" w:right="51"/>
        <w:jc w:val="both"/>
        <w:rPr>
          <w:rFonts w:ascii="Palatino Linotype" w:hAnsi="Palatino Linotype"/>
          <w:color w:val="000000" w:themeColor="text1"/>
          <w:sz w:val="24"/>
        </w:rPr>
      </w:pPr>
    </w:p>
    <w:p w14:paraId="6A5F71B6" w14:textId="77777777" w:rsidR="007019C8" w:rsidRPr="00885493" w:rsidRDefault="007019C8" w:rsidP="007019C8">
      <w:pPr>
        <w:pStyle w:val="Prrafodelista"/>
        <w:numPr>
          <w:ilvl w:val="0"/>
          <w:numId w:val="7"/>
        </w:numPr>
        <w:tabs>
          <w:tab w:val="left" w:pos="426"/>
        </w:tabs>
        <w:spacing w:line="360" w:lineRule="auto"/>
        <w:ind w:left="0" w:right="51" w:firstLine="0"/>
        <w:jc w:val="both"/>
        <w:rPr>
          <w:rFonts w:ascii="Palatino Linotype" w:hAnsi="Palatino Linotype"/>
          <w:color w:val="000000" w:themeColor="text1"/>
          <w:sz w:val="24"/>
        </w:rPr>
      </w:pPr>
      <w:r w:rsidRPr="00885493">
        <w:rPr>
          <w:rFonts w:ascii="Palatino Linotype" w:hAnsi="Palatino Linotype"/>
          <w:color w:val="000000" w:themeColor="text1"/>
          <w:sz w:val="24"/>
        </w:rPr>
        <w:t xml:space="preserve">La </w:t>
      </w:r>
      <w:r w:rsidRPr="00885493">
        <w:rPr>
          <w:rFonts w:ascii="Palatino Linotype" w:eastAsia="MS Mincho" w:hAnsi="Palatino Linotype"/>
          <w:sz w:val="24"/>
        </w:rPr>
        <w:t>clasificación total o parcial de la información requerida, mediante solicitud de acceso a la información pública, constituye una restricción al derecho humano de acceso a la información</w:t>
      </w:r>
      <w:r w:rsidRPr="00885493">
        <w:rPr>
          <w:rFonts w:ascii="Palatino Linotype" w:hAnsi="Palatino Linotype" w:cs="Arial"/>
          <w:color w:val="000000"/>
          <w:sz w:val="24"/>
        </w:rPr>
        <w:t>, por lo que es menester reiterar los mismos:</w:t>
      </w:r>
    </w:p>
    <w:p w14:paraId="6A9A4CB9" w14:textId="77777777" w:rsidR="007019C8" w:rsidRPr="00885493" w:rsidRDefault="007019C8" w:rsidP="007019C8">
      <w:pPr>
        <w:pStyle w:val="Prrafodelista"/>
        <w:tabs>
          <w:tab w:val="left" w:pos="426"/>
        </w:tabs>
        <w:spacing w:line="360" w:lineRule="auto"/>
        <w:ind w:left="0" w:right="51"/>
        <w:jc w:val="both"/>
        <w:rPr>
          <w:rFonts w:ascii="Palatino Linotype" w:hAnsi="Palatino Linotype"/>
          <w:color w:val="000000" w:themeColor="text1"/>
        </w:rPr>
      </w:pPr>
    </w:p>
    <w:tbl>
      <w:tblPr>
        <w:tblStyle w:val="Tablaconcuadrcula6concolores"/>
        <w:tblW w:w="0" w:type="auto"/>
        <w:tblLook w:val="04A0" w:firstRow="1" w:lastRow="0" w:firstColumn="1" w:lastColumn="0" w:noHBand="0" w:noVBand="1"/>
      </w:tblPr>
      <w:tblGrid>
        <w:gridCol w:w="1838"/>
        <w:gridCol w:w="6990"/>
      </w:tblGrid>
      <w:tr w:rsidR="007019C8" w:rsidRPr="00885493" w14:paraId="4B0FBDA9" w14:textId="77777777" w:rsidTr="00E729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3C7E4DD8" w14:textId="77777777" w:rsidR="007019C8" w:rsidRPr="00885493" w:rsidRDefault="007019C8" w:rsidP="00E729F8">
            <w:pPr>
              <w:spacing w:line="360" w:lineRule="auto"/>
              <w:rPr>
                <w:rFonts w:ascii="Palatino Linotype" w:hAnsi="Palatino Linotype"/>
                <w:sz w:val="20"/>
                <w:szCs w:val="20"/>
              </w:rPr>
            </w:pPr>
            <w:r w:rsidRPr="00885493">
              <w:rPr>
                <w:rFonts w:ascii="Palatino Linotype" w:hAnsi="Palatino Linotype" w:cstheme="majorBidi"/>
                <w:b w:val="0"/>
                <w:sz w:val="20"/>
                <w:szCs w:val="20"/>
              </w:rPr>
              <w:t>a) Requisitos previos.</w:t>
            </w:r>
          </w:p>
        </w:tc>
        <w:tc>
          <w:tcPr>
            <w:tcW w:w="6990" w:type="dxa"/>
          </w:tcPr>
          <w:p w14:paraId="547D1BE1" w14:textId="77777777" w:rsidR="007019C8" w:rsidRPr="00885493" w:rsidRDefault="007019C8" w:rsidP="00E729F8">
            <w:pPr>
              <w:spacing w:line="360" w:lineRule="auto"/>
              <w:ind w:right="49"/>
              <w:contextualSpacing/>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cs="Arial"/>
                <w:color w:val="000000"/>
                <w:sz w:val="20"/>
                <w:szCs w:val="20"/>
              </w:rPr>
            </w:pPr>
            <w:r w:rsidRPr="00885493">
              <w:rPr>
                <w:rFonts w:ascii="Palatino Linotype" w:hAnsi="Palatino Linotype" w:cs="Arial"/>
                <w:color w:val="000000"/>
                <w:sz w:val="20"/>
                <w:szCs w:val="20"/>
              </w:rPr>
              <w:t xml:space="preserve">Los artículos 100 y 122 de la Ley Estatal y de la Ley General, respectivamente, señalan que si los </w:t>
            </w:r>
            <w:r w:rsidRPr="00885493">
              <w:rPr>
                <w:rFonts w:ascii="Palatino Linotype" w:hAnsi="Palatino Linotype" w:cs="Arial"/>
                <w:b w:val="0"/>
                <w:color w:val="000000"/>
                <w:sz w:val="20"/>
                <w:szCs w:val="20"/>
              </w:rPr>
              <w:t>Sujetos Obligados</w:t>
            </w:r>
            <w:r w:rsidRPr="00885493">
              <w:rPr>
                <w:rFonts w:ascii="Palatino Linotype" w:hAnsi="Palatino Linotype" w:cs="Arial"/>
                <w:color w:val="000000"/>
                <w:sz w:val="20"/>
                <w:szCs w:val="20"/>
              </w:rPr>
              <w:t xml:space="preserve"> determinan que la información actualiza alguno de los supuestos de clasificación, es deber de los titulares de las áreas proponer su clasificación y no del Comité de Transparencia. </w:t>
            </w:r>
          </w:p>
          <w:p w14:paraId="5EA35A5B" w14:textId="77777777" w:rsidR="007019C8" w:rsidRPr="00885493" w:rsidRDefault="007019C8" w:rsidP="00E729F8">
            <w:pPr>
              <w:spacing w:line="360" w:lineRule="auto"/>
              <w:ind w:right="49"/>
              <w:contextualSpacing/>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cs="Arial"/>
                <w:color w:val="000000"/>
                <w:sz w:val="20"/>
                <w:szCs w:val="20"/>
              </w:rPr>
            </w:pPr>
            <w:r w:rsidRPr="00885493">
              <w:rPr>
                <w:rFonts w:ascii="Palatino Linotype" w:hAnsi="Palatino Linotype" w:cs="Arial"/>
                <w:color w:val="000000"/>
                <w:sz w:val="20"/>
                <w:szCs w:val="20"/>
              </w:rPr>
              <w:t>Al hacerlo tienen que precisar de qué información se trata, señalando el supuesto de clasificación (confidencialidad o reserva).</w:t>
            </w:r>
          </w:p>
          <w:p w14:paraId="3BCE4A2C" w14:textId="77777777" w:rsidR="007019C8" w:rsidRPr="00885493" w:rsidRDefault="007019C8" w:rsidP="00E729F8">
            <w:pPr>
              <w:spacing w:line="360" w:lineRule="auto"/>
              <w:ind w:right="49"/>
              <w:contextualSpacing/>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cs="Arial"/>
                <w:color w:val="000000"/>
                <w:sz w:val="20"/>
                <w:szCs w:val="20"/>
              </w:rPr>
            </w:pPr>
            <w:r w:rsidRPr="00885493">
              <w:rPr>
                <w:rFonts w:ascii="Palatino Linotype" w:hAnsi="Palatino Linotype" w:cs="Arial"/>
                <w:color w:val="000000"/>
                <w:sz w:val="20"/>
                <w:szCs w:val="20"/>
              </w:rPr>
              <w:lastRenderedPageBreak/>
              <w:t>Además, se debe señalar el procedimiento, de los tres que establecen los artículos 132 y 106 de la Ley Estatal y General, respectivamente.</w:t>
            </w:r>
          </w:p>
          <w:p w14:paraId="74005026" w14:textId="77777777" w:rsidR="007019C8" w:rsidRPr="00885493" w:rsidRDefault="007019C8" w:rsidP="00E729F8">
            <w:pPr>
              <w:spacing w:line="360" w:lineRule="auto"/>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sz w:val="20"/>
                <w:szCs w:val="20"/>
              </w:rPr>
            </w:pPr>
            <w:r w:rsidRPr="00885493">
              <w:rPr>
                <w:rFonts w:ascii="Palatino Linotype" w:hAnsi="Palatino Linotype" w:cs="Arial"/>
                <w:color w:val="000000"/>
                <w:sz w:val="20"/>
                <w:szCs w:val="20"/>
              </w:rPr>
              <w:t xml:space="preserve">El último de estos requisitos previos consiste en que no se pueden emitir acuerdos de carácter general ni particular, esto es, </w:t>
            </w:r>
            <w:r w:rsidRPr="00885493">
              <w:rPr>
                <w:rFonts w:ascii="Palatino Linotype" w:hAnsi="Palatino Linotype" w:cs="Arial"/>
                <w:b w:val="0"/>
                <w:color w:val="000000"/>
                <w:sz w:val="20"/>
                <w:szCs w:val="20"/>
                <w:u w:val="single"/>
              </w:rPr>
              <w:t xml:space="preserve">no se puede hacer un acuerdo para clasificar de manera general todos los documentos de un expediente o área,  </w:t>
            </w:r>
            <w:r w:rsidRPr="00885493">
              <w:rPr>
                <w:rFonts w:ascii="Palatino Linotype" w:hAnsi="Palatino Linotype" w:cs="Arial"/>
                <w:color w:val="000000"/>
                <w:sz w:val="20"/>
                <w:szCs w:val="20"/>
              </w:rPr>
              <w:t>sin individualizar su análisis y tampoco se puede hacer un acuerdo por cada dato que se vaya a clasificar dentro de un documento con diez datos, por ejemplo, susceptibles de ser clasificados.</w:t>
            </w:r>
          </w:p>
        </w:tc>
      </w:tr>
      <w:tr w:rsidR="007019C8" w:rsidRPr="00885493" w14:paraId="6C3DB7A6" w14:textId="77777777" w:rsidTr="00E729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35EBDFFA" w14:textId="77777777" w:rsidR="007019C8" w:rsidRPr="00885493" w:rsidRDefault="007019C8" w:rsidP="00E729F8">
            <w:pPr>
              <w:spacing w:line="360" w:lineRule="auto"/>
              <w:rPr>
                <w:rFonts w:ascii="Palatino Linotype" w:hAnsi="Palatino Linotype"/>
                <w:sz w:val="20"/>
                <w:szCs w:val="20"/>
              </w:rPr>
            </w:pPr>
            <w:r w:rsidRPr="00885493">
              <w:rPr>
                <w:rFonts w:ascii="Palatino Linotype" w:hAnsi="Palatino Linotype" w:cstheme="majorBidi"/>
                <w:b w:val="0"/>
                <w:sz w:val="20"/>
                <w:szCs w:val="20"/>
              </w:rPr>
              <w:lastRenderedPageBreak/>
              <w:t>b) Supuestos de clasificación.</w:t>
            </w:r>
          </w:p>
        </w:tc>
        <w:tc>
          <w:tcPr>
            <w:tcW w:w="6990" w:type="dxa"/>
          </w:tcPr>
          <w:p w14:paraId="34FC3CA8" w14:textId="77777777" w:rsidR="007019C8" w:rsidRPr="00885493" w:rsidRDefault="007019C8" w:rsidP="00E729F8">
            <w:pPr>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szCs w:val="20"/>
              </w:rPr>
            </w:pPr>
            <w:r w:rsidRPr="00885493">
              <w:rPr>
                <w:rFonts w:ascii="Palatino Linotype" w:hAnsi="Palatino Linotype" w:cs="Arial"/>
                <w:color w:val="000000"/>
                <w:sz w:val="20"/>
                <w:szCs w:val="20"/>
              </w:rPr>
              <w:t>Las disposiciones constitucionales y legales en la materia establecen los dos supuestos generales para clasificar la información: por reserva y por confidencialidad.</w:t>
            </w:r>
          </w:p>
          <w:p w14:paraId="4BAFD3C5" w14:textId="77777777" w:rsidR="007019C8" w:rsidRPr="00885493" w:rsidRDefault="007019C8" w:rsidP="00E729F8">
            <w:pPr>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szCs w:val="20"/>
              </w:rPr>
            </w:pPr>
            <w:r w:rsidRPr="00885493">
              <w:rPr>
                <w:rFonts w:ascii="Palatino Linotype" w:hAnsi="Palatino Linotype" w:cs="Arial"/>
                <w:color w:val="000000"/>
                <w:sz w:val="20"/>
                <w:szCs w:val="20"/>
              </w:rPr>
              <w:t>Los artículos 116 y 143 de la Ley Estatal y de la Ley General, respectivamente, señalan los supuestos para que la información pueda ser clasificada como confidencial. Mientras que los artículos 105 y 130 de la Ley Estatal y de la Ley General, respectivamente, señalan que la aplicación de estos supuestos debe realizarse de manera restrictiva y limitada, por lo que debe acreditarse que se cumple con esta condición y no se pueden ampliar las excepciones o supuestos de clasificación aduciendo analogía o mayoría de razón.</w:t>
            </w:r>
          </w:p>
          <w:p w14:paraId="335C0522" w14:textId="77777777" w:rsidR="007019C8" w:rsidRPr="00885493" w:rsidRDefault="007019C8" w:rsidP="00E729F8">
            <w:pPr>
              <w:spacing w:line="360" w:lineRule="auto"/>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sz w:val="20"/>
                <w:szCs w:val="20"/>
              </w:rPr>
            </w:pPr>
            <w:r w:rsidRPr="00885493">
              <w:rPr>
                <w:rFonts w:ascii="Palatino Linotype" w:hAnsi="Palatino Linotype" w:cs="Arial"/>
                <w:color w:val="000000"/>
                <w:sz w:val="20"/>
                <w:szCs w:val="20"/>
              </w:rPr>
              <w:t xml:space="preserve">El </w:t>
            </w:r>
            <w:r w:rsidRPr="00885493">
              <w:rPr>
                <w:rFonts w:ascii="Palatino Linotype" w:hAnsi="Palatino Linotype" w:cs="Arial"/>
                <w:b/>
                <w:color w:val="000000"/>
                <w:sz w:val="20"/>
                <w:szCs w:val="20"/>
              </w:rPr>
              <w:t>SUJETO OBLIGADO</w:t>
            </w:r>
            <w:r w:rsidRPr="00885493">
              <w:rPr>
                <w:rFonts w:ascii="Palatino Linotype" w:hAnsi="Palatino Linotype" w:cs="Arial"/>
                <w:color w:val="000000"/>
                <w:sz w:val="20"/>
                <w:szCs w:val="20"/>
              </w:rPr>
              <w:t xml:space="preserve"> debe identificar claramente el tipo de información y hacer un juicio de subsunción o encaje para acreditar que el supuesto de hecho corresponde estrictamente con la hipótesis jurídica. Esto también lo debe de realizar el servidor público habilitado y el titular del área que administra la información.</w:t>
            </w:r>
          </w:p>
        </w:tc>
      </w:tr>
      <w:tr w:rsidR="007019C8" w:rsidRPr="00885493" w14:paraId="7CAB65C6" w14:textId="77777777" w:rsidTr="00E729F8">
        <w:tc>
          <w:tcPr>
            <w:cnfStyle w:val="001000000000" w:firstRow="0" w:lastRow="0" w:firstColumn="1" w:lastColumn="0" w:oddVBand="0" w:evenVBand="0" w:oddHBand="0" w:evenHBand="0" w:firstRowFirstColumn="0" w:firstRowLastColumn="0" w:lastRowFirstColumn="0" w:lastRowLastColumn="0"/>
            <w:tcW w:w="1838" w:type="dxa"/>
          </w:tcPr>
          <w:p w14:paraId="16BB5464" w14:textId="77777777" w:rsidR="007019C8" w:rsidRPr="00885493" w:rsidRDefault="007019C8" w:rsidP="00E729F8">
            <w:pPr>
              <w:spacing w:line="360" w:lineRule="auto"/>
              <w:rPr>
                <w:rFonts w:ascii="Palatino Linotype" w:hAnsi="Palatino Linotype"/>
                <w:sz w:val="20"/>
                <w:szCs w:val="20"/>
              </w:rPr>
            </w:pPr>
            <w:r w:rsidRPr="00885493">
              <w:rPr>
                <w:rFonts w:ascii="Palatino Linotype" w:hAnsi="Palatino Linotype" w:cstheme="majorBidi"/>
                <w:b w:val="0"/>
                <w:sz w:val="20"/>
                <w:szCs w:val="20"/>
              </w:rPr>
              <w:t>c) Formalidades para emitir el acuerdo de clasificación.</w:t>
            </w:r>
          </w:p>
        </w:tc>
        <w:tc>
          <w:tcPr>
            <w:tcW w:w="6990" w:type="dxa"/>
          </w:tcPr>
          <w:p w14:paraId="2BA14830" w14:textId="77777777" w:rsidR="007019C8" w:rsidRPr="00885493" w:rsidRDefault="007019C8" w:rsidP="00E729F8">
            <w:pPr>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sz w:val="20"/>
                <w:szCs w:val="20"/>
              </w:rPr>
            </w:pPr>
            <w:r w:rsidRPr="00885493">
              <w:rPr>
                <w:rFonts w:ascii="Palatino Linotype" w:hAnsi="Palatino Linotype" w:cs="Arial"/>
                <w:color w:val="000000"/>
                <w:sz w:val="20"/>
                <w:szCs w:val="20"/>
              </w:rPr>
              <w:t xml:space="preserve">El Comité de Transparencia, según lo dispuesto en los artículos cuenta con las facultades para aprobar, modificar o revocar la clasificación de la información que haya propuesto. </w:t>
            </w:r>
          </w:p>
          <w:p w14:paraId="655B1454" w14:textId="77777777" w:rsidR="007019C8" w:rsidRPr="00885493" w:rsidRDefault="007019C8" w:rsidP="00E729F8">
            <w:pPr>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sz w:val="20"/>
                <w:szCs w:val="20"/>
              </w:rPr>
            </w:pPr>
            <w:r w:rsidRPr="00885493">
              <w:rPr>
                <w:rFonts w:ascii="Palatino Linotype" w:hAnsi="Palatino Linotype" w:cs="Arial"/>
                <w:color w:val="000000"/>
                <w:sz w:val="20"/>
                <w:szCs w:val="20"/>
              </w:rPr>
              <w:lastRenderedPageBreak/>
              <w:t xml:space="preserve">Es necesario que </w:t>
            </w:r>
            <w:r w:rsidRPr="00885493">
              <w:rPr>
                <w:rFonts w:ascii="Palatino Linotype" w:hAnsi="Palatino Linotype" w:cs="Arial"/>
                <w:b/>
                <w:color w:val="000000"/>
                <w:sz w:val="20"/>
                <w:szCs w:val="20"/>
                <w:u w:val="single"/>
              </w:rPr>
              <w:t>el acto reúna con los requisitos elementales</w:t>
            </w:r>
            <w:r w:rsidRPr="00885493">
              <w:rPr>
                <w:rFonts w:ascii="Palatino Linotype" w:hAnsi="Palatino Linotype" w:cs="Arial"/>
                <w:color w:val="000000"/>
                <w:sz w:val="20"/>
                <w:szCs w:val="20"/>
              </w:rPr>
              <w:t>, entre ellos, que la autoridad que va a emitir el acto de autoridad sea la legalmente facultada para ello.</w:t>
            </w:r>
          </w:p>
          <w:p w14:paraId="7227D1E0" w14:textId="77777777" w:rsidR="007019C8" w:rsidRPr="00885493" w:rsidRDefault="007019C8" w:rsidP="00E729F8">
            <w:pPr>
              <w:spacing w:line="360" w:lineRule="auto"/>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sz w:val="20"/>
                <w:szCs w:val="20"/>
              </w:rPr>
            </w:pPr>
            <w:r w:rsidRPr="00885493">
              <w:rPr>
                <w:rFonts w:ascii="Palatino Linotype" w:hAnsi="Palatino Linotype" w:cs="Arial"/>
                <w:color w:val="000000"/>
                <w:sz w:val="20"/>
                <w:szCs w:val="20"/>
              </w:rPr>
              <w:t>La decisión de aprobar, modificar o revocar la clasificación deberá de asentarse en un documento que registre la determinación a la que se llegue después de un análisis minucioso a partir de lo propuesto por el Titular del área que administra la información, cuyo análisis debe integrarse en la agenda de los asuntos a tratar en las sesiones, se insiste, a partir de las decisiones adoptadas previamente por los titulares de áreas y que son sujetas a control, en primera instancia, por el Comité de Transparencia.</w:t>
            </w:r>
          </w:p>
        </w:tc>
      </w:tr>
      <w:tr w:rsidR="007019C8" w:rsidRPr="00885493" w14:paraId="711DE093" w14:textId="77777777" w:rsidTr="00E729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566C503E" w14:textId="77777777" w:rsidR="007019C8" w:rsidRPr="00885493" w:rsidRDefault="007019C8" w:rsidP="00E729F8">
            <w:pPr>
              <w:spacing w:line="360" w:lineRule="auto"/>
              <w:rPr>
                <w:rFonts w:ascii="Palatino Linotype" w:hAnsi="Palatino Linotype"/>
                <w:b w:val="0"/>
                <w:sz w:val="20"/>
                <w:szCs w:val="20"/>
              </w:rPr>
            </w:pPr>
          </w:p>
          <w:p w14:paraId="144F4958" w14:textId="77777777" w:rsidR="007019C8" w:rsidRPr="00885493" w:rsidRDefault="007019C8" w:rsidP="00E729F8">
            <w:pPr>
              <w:spacing w:line="360" w:lineRule="auto"/>
              <w:jc w:val="both"/>
              <w:rPr>
                <w:rFonts w:ascii="Palatino Linotype" w:hAnsi="Palatino Linotype"/>
                <w:b w:val="0"/>
                <w:sz w:val="20"/>
                <w:szCs w:val="20"/>
              </w:rPr>
            </w:pPr>
            <w:r w:rsidRPr="00885493">
              <w:rPr>
                <w:rFonts w:ascii="Palatino Linotype" w:hAnsi="Palatino Linotype" w:cs="Arial"/>
                <w:b w:val="0"/>
                <w:color w:val="000000"/>
                <w:sz w:val="20"/>
                <w:szCs w:val="20"/>
              </w:rPr>
              <w:t xml:space="preserve">d) Requisitos de fondo del acuerdo de clasificación. </w:t>
            </w:r>
          </w:p>
        </w:tc>
        <w:tc>
          <w:tcPr>
            <w:tcW w:w="6990" w:type="dxa"/>
          </w:tcPr>
          <w:p w14:paraId="40BD813F" w14:textId="77777777" w:rsidR="007019C8" w:rsidRPr="00885493" w:rsidRDefault="007019C8" w:rsidP="00E729F8">
            <w:pPr>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szCs w:val="20"/>
              </w:rPr>
            </w:pPr>
            <w:r w:rsidRPr="00885493">
              <w:rPr>
                <w:rFonts w:ascii="Palatino Linotype" w:hAnsi="Palatino Linotype" w:cs="Arial"/>
                <w:color w:val="000000"/>
                <w:sz w:val="20"/>
                <w:szCs w:val="20"/>
              </w:rPr>
              <w:t xml:space="preserve">Como se ha señalado antes, al hacer el juicio de subsunción o encaje entre el supuesto de hecho y la hipótesis jurídica, se debe acreditar la estricta correspondencia entre un elemento y otro. Ahora, en esta parte del procedimiento, que se desahoga en sede del Comité de Transparencia, la ley señala que la carga de la prueba, para justificar las restricciones, corresponde a los </w:t>
            </w:r>
            <w:r w:rsidRPr="00885493">
              <w:rPr>
                <w:rFonts w:ascii="Palatino Linotype" w:hAnsi="Palatino Linotype" w:cs="Arial"/>
                <w:b/>
                <w:color w:val="000000"/>
                <w:sz w:val="20"/>
                <w:szCs w:val="20"/>
              </w:rPr>
              <w:t>Sujetos Obligados</w:t>
            </w:r>
            <w:r w:rsidRPr="00885493">
              <w:rPr>
                <w:rFonts w:ascii="Palatino Linotype" w:hAnsi="Palatino Linotype" w:cs="Arial"/>
                <w:color w:val="000000"/>
                <w:sz w:val="20"/>
                <w:szCs w:val="20"/>
              </w:rPr>
              <w:t xml:space="preserve">, por lo que deberán fundar y motivar debidamente la clasificación. </w:t>
            </w:r>
          </w:p>
          <w:p w14:paraId="41142448" w14:textId="77777777" w:rsidR="007019C8" w:rsidRPr="00885493" w:rsidRDefault="007019C8" w:rsidP="00E729F8">
            <w:pPr>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szCs w:val="20"/>
              </w:rPr>
            </w:pPr>
            <w:r w:rsidRPr="00885493">
              <w:rPr>
                <w:rFonts w:ascii="Palatino Linotype" w:hAnsi="Palatino Linotype" w:cs="Arial"/>
                <w:color w:val="000000"/>
                <w:sz w:val="20"/>
                <w:szCs w:val="20"/>
              </w:rPr>
              <w:t xml:space="preserve">De lo anterior, se desprende que para una correcta </w:t>
            </w:r>
            <w:r w:rsidRPr="00885493">
              <w:rPr>
                <w:rFonts w:ascii="Palatino Linotype" w:hAnsi="Palatino Linotype" w:cs="Arial"/>
                <w:b/>
                <w:color w:val="000000"/>
                <w:sz w:val="20"/>
                <w:szCs w:val="20"/>
              </w:rPr>
              <w:t>clasificación total o parcial</w:t>
            </w:r>
            <w:r w:rsidRPr="00885493">
              <w:rPr>
                <w:rFonts w:ascii="Palatino Linotype" w:hAnsi="Palatino Linotype" w:cs="Arial"/>
                <w:color w:val="000000"/>
                <w:sz w:val="20"/>
                <w:szCs w:val="20"/>
              </w:rPr>
              <w:t>, esto es determinar los datos que se suprimen en las versiones públicas, es necesario fundar y motivar, de manera correcta, la clasificación; considerando que todo acto que la autoridad pronuncie en el ejercicio de sus atribuciones, debe expresar los fundamentos legales que le dieron origen y las razones por las que se deben aplicar al caso concreto.</w:t>
            </w:r>
          </w:p>
          <w:p w14:paraId="3CC0A231" w14:textId="77777777" w:rsidR="007019C8" w:rsidRPr="00885493" w:rsidRDefault="007019C8" w:rsidP="00E729F8">
            <w:pPr>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szCs w:val="20"/>
              </w:rPr>
            </w:pPr>
            <w:r w:rsidRPr="00885493">
              <w:rPr>
                <w:rFonts w:ascii="Palatino Linotype" w:hAnsi="Palatino Linotype" w:cs="Arial"/>
                <w:color w:val="000000"/>
                <w:sz w:val="20"/>
                <w:szCs w:val="20"/>
              </w:rPr>
              <w:t xml:space="preserve">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w:t>
            </w:r>
            <w:r w:rsidRPr="00885493">
              <w:rPr>
                <w:rFonts w:ascii="Palatino Linotype" w:hAnsi="Palatino Linotype" w:cs="Arial"/>
                <w:color w:val="000000"/>
                <w:sz w:val="20"/>
                <w:szCs w:val="20"/>
              </w:rPr>
              <w:lastRenderedPageBreak/>
              <w:t>derecho. De este modo, la persona que se sienta afectada pueda impugnar la decisión, permitiéndole una real y auténtica defensa.</w:t>
            </w:r>
          </w:p>
          <w:p w14:paraId="451B08F1" w14:textId="77777777" w:rsidR="007019C8" w:rsidRPr="00885493" w:rsidRDefault="007019C8" w:rsidP="00E729F8">
            <w:pPr>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szCs w:val="20"/>
              </w:rPr>
            </w:pPr>
            <w:r w:rsidRPr="00885493">
              <w:rPr>
                <w:rFonts w:ascii="Palatino Linotype" w:hAnsi="Palatino Linotype" w:cs="Arial"/>
                <w:color w:val="000000"/>
                <w:sz w:val="20"/>
                <w:szCs w:val="20"/>
              </w:rPr>
              <w:t>En ese mismo sentido, el numeral trigésimo tercero fracción V de los Lineamientos Generales, precisa que para motivar la clasificación se deben acreditar las circunstancias de tiempo, modo y lugar.</w:t>
            </w:r>
          </w:p>
          <w:p w14:paraId="3932E8E8" w14:textId="77777777" w:rsidR="007019C8" w:rsidRPr="00885493" w:rsidRDefault="007019C8" w:rsidP="00E729F8">
            <w:pPr>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szCs w:val="20"/>
              </w:rPr>
            </w:pPr>
            <w:r w:rsidRPr="00885493">
              <w:rPr>
                <w:rFonts w:ascii="Palatino Linotype" w:hAnsi="Palatino Linotype" w:cs="Arial"/>
                <w:color w:val="000000"/>
                <w:sz w:val="20"/>
                <w:szCs w:val="20"/>
              </w:rPr>
              <w:t xml:space="preserve">Ahora bien, </w:t>
            </w:r>
            <w:r w:rsidRPr="00885493">
              <w:rPr>
                <w:rFonts w:ascii="Palatino Linotype" w:hAnsi="Palatino Linotype" w:cs="Arial"/>
                <w:b/>
                <w:color w:val="000000"/>
                <w:sz w:val="20"/>
                <w:szCs w:val="20"/>
                <w:u w:val="single"/>
              </w:rPr>
              <w:t>para cada caso además de fundar y motivar</w:t>
            </w:r>
            <w:r w:rsidRPr="00885493">
              <w:rPr>
                <w:rFonts w:ascii="Palatino Linotype" w:hAnsi="Palatino Linotype" w:cs="Arial"/>
                <w:color w:val="000000"/>
                <w:sz w:val="20"/>
                <w:szCs w:val="20"/>
              </w:rPr>
              <w:t xml:space="preserve">, se debe identificar con claridad que datos contenidos en las documentales que son susceptibles de suprimirse, por ejemplo; </w:t>
            </w:r>
            <w:r w:rsidRPr="00885493">
              <w:rPr>
                <w:rFonts w:ascii="Palatino Linotype" w:hAnsi="Palatino Linotype" w:cs="Arial"/>
                <w:color w:val="000000"/>
                <w:sz w:val="20"/>
                <w:szCs w:val="20"/>
                <w:lang w:val="es-ES"/>
              </w:rPr>
              <w:t>Clave Única de Registro de Población (CURP), Registro Federal de Contribuyentes (R.F.C.), claves de seguros, préstamos o descuentos personales, secretos bancario, fiduciario, industrial, comercial, fiscal, bursátil y postal, cuya titularidad corresponda a particulares, entre otros.</w:t>
            </w:r>
          </w:p>
        </w:tc>
      </w:tr>
      <w:tr w:rsidR="007019C8" w:rsidRPr="00885493" w14:paraId="30D325D8" w14:textId="77777777" w:rsidTr="00E729F8">
        <w:tc>
          <w:tcPr>
            <w:cnfStyle w:val="001000000000" w:firstRow="0" w:lastRow="0" w:firstColumn="1" w:lastColumn="0" w:oddVBand="0" w:evenVBand="0" w:oddHBand="0" w:evenHBand="0" w:firstRowFirstColumn="0" w:firstRowLastColumn="0" w:lastRowFirstColumn="0" w:lastRowLastColumn="0"/>
            <w:tcW w:w="1838" w:type="dxa"/>
          </w:tcPr>
          <w:p w14:paraId="223D4E81" w14:textId="77777777" w:rsidR="007019C8" w:rsidRPr="00885493" w:rsidRDefault="007019C8" w:rsidP="00E729F8">
            <w:pPr>
              <w:spacing w:line="360" w:lineRule="auto"/>
              <w:ind w:right="49"/>
              <w:jc w:val="both"/>
              <w:rPr>
                <w:rFonts w:ascii="Palatino Linotype" w:hAnsi="Palatino Linotype" w:cs="Arial"/>
                <w:color w:val="000000"/>
                <w:sz w:val="20"/>
                <w:szCs w:val="20"/>
              </w:rPr>
            </w:pPr>
            <w:r w:rsidRPr="00885493">
              <w:rPr>
                <w:rFonts w:ascii="Palatino Linotype" w:eastAsia="MS Gothic" w:hAnsi="Palatino Linotype"/>
                <w:b w:val="0"/>
                <w:sz w:val="20"/>
                <w:szCs w:val="20"/>
              </w:rPr>
              <w:lastRenderedPageBreak/>
              <w:t xml:space="preserve">e) Condiciones especiales de la clasificación de la información como confidencial. </w:t>
            </w:r>
          </w:p>
          <w:p w14:paraId="24F9824E" w14:textId="77777777" w:rsidR="007019C8" w:rsidRPr="00885493" w:rsidRDefault="007019C8" w:rsidP="00E729F8">
            <w:pPr>
              <w:spacing w:line="360" w:lineRule="auto"/>
              <w:rPr>
                <w:rFonts w:ascii="Palatino Linotype" w:hAnsi="Palatino Linotype"/>
                <w:sz w:val="20"/>
                <w:szCs w:val="20"/>
              </w:rPr>
            </w:pPr>
          </w:p>
        </w:tc>
        <w:tc>
          <w:tcPr>
            <w:tcW w:w="6990" w:type="dxa"/>
          </w:tcPr>
          <w:p w14:paraId="1308C334" w14:textId="77777777" w:rsidR="007019C8" w:rsidRPr="00885493" w:rsidRDefault="007019C8" w:rsidP="00E729F8">
            <w:pPr>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sz w:val="20"/>
                <w:szCs w:val="20"/>
              </w:rPr>
            </w:pPr>
            <w:r w:rsidRPr="00885493">
              <w:rPr>
                <w:rFonts w:ascii="Palatino Linotype" w:hAnsi="Palatino Linotype" w:cs="Arial"/>
                <w:color w:val="000000"/>
                <w:sz w:val="20"/>
                <w:szCs w:val="20"/>
              </w:rPr>
              <w:t xml:space="preserve">Los artículos 148 y 120 de la Ley Estatal y de la Ley General, respectivamente, establecen que aun tratándose de datos personales, se podrán proporcionar, incluso sin solicitar el consentimiento de su titular. </w:t>
            </w:r>
          </w:p>
          <w:p w14:paraId="523565B3" w14:textId="77777777" w:rsidR="007019C8" w:rsidRPr="00885493" w:rsidRDefault="007019C8" w:rsidP="00E729F8">
            <w:pPr>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sz w:val="20"/>
                <w:szCs w:val="20"/>
              </w:rPr>
            </w:pPr>
            <w:r w:rsidRPr="00885493">
              <w:rPr>
                <w:rFonts w:ascii="Palatino Linotype" w:hAnsi="Palatino Linotype" w:cs="Arial"/>
                <w:color w:val="000000"/>
                <w:sz w:val="20"/>
                <w:szCs w:val="20"/>
              </w:rPr>
              <w:t xml:space="preserve">En el caso de lo señalado en la fracción IV, será el Instituto quien deba aplicar la prueba de interés público, considerando también que como recientemente ha discutido la Suprema Corte de Justicia de la Nación, los servidores públicos nos encontramos sujetos a un régimen menor de protección. </w:t>
            </w:r>
          </w:p>
          <w:p w14:paraId="658B6CA0" w14:textId="77777777" w:rsidR="007019C8" w:rsidRPr="00885493" w:rsidRDefault="007019C8" w:rsidP="00E729F8">
            <w:pPr>
              <w:spacing w:line="360"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0"/>
                <w:szCs w:val="20"/>
              </w:rPr>
            </w:pPr>
            <w:r w:rsidRPr="00885493">
              <w:rPr>
                <w:rFonts w:ascii="Palatino Linotype" w:hAnsi="Palatino Linotype" w:cs="Arial"/>
                <w:color w:val="000000"/>
                <w:sz w:val="20"/>
                <w:szCs w:val="20"/>
              </w:rPr>
              <w:t>Pero si la información que se pretende clasificar como confidencial no se encuentra en los supuestos de los artículos señalados y es posible, se deberá consultar al titular de los datos si permite o no el acceso. De no ser posible, la realización de la consulta, procede, fundando y motivando, la clasificación.</w:t>
            </w:r>
          </w:p>
        </w:tc>
      </w:tr>
    </w:tbl>
    <w:p w14:paraId="2F5FA2A4" w14:textId="77777777" w:rsidR="007019C8" w:rsidRPr="00885493" w:rsidRDefault="007019C8" w:rsidP="007019C8">
      <w:pPr>
        <w:pStyle w:val="Prrafodelista"/>
        <w:rPr>
          <w:color w:val="000000"/>
        </w:rPr>
      </w:pPr>
    </w:p>
    <w:p w14:paraId="02EF38E3" w14:textId="77777777" w:rsidR="007019C8" w:rsidRPr="00885493" w:rsidRDefault="007019C8" w:rsidP="007019C8">
      <w:pPr>
        <w:pBdr>
          <w:top w:val="nil"/>
          <w:left w:val="nil"/>
          <w:bottom w:val="nil"/>
          <w:right w:val="nil"/>
          <w:between w:val="nil"/>
        </w:pBdr>
        <w:spacing w:line="360" w:lineRule="auto"/>
        <w:ind w:right="-734"/>
        <w:jc w:val="both"/>
        <w:rPr>
          <w:color w:val="000000"/>
        </w:rPr>
      </w:pPr>
    </w:p>
    <w:p w14:paraId="2E65FEA2" w14:textId="77777777" w:rsidR="00051F53" w:rsidRPr="00885493" w:rsidRDefault="00D8235A" w:rsidP="00051F53">
      <w:pPr>
        <w:numPr>
          <w:ilvl w:val="0"/>
          <w:numId w:val="7"/>
        </w:numPr>
        <w:pBdr>
          <w:top w:val="nil"/>
          <w:left w:val="nil"/>
          <w:bottom w:val="nil"/>
          <w:right w:val="nil"/>
          <w:between w:val="nil"/>
        </w:pBdr>
        <w:spacing w:line="360" w:lineRule="auto"/>
        <w:ind w:left="0" w:right="-734" w:firstLine="0"/>
        <w:jc w:val="both"/>
        <w:rPr>
          <w:color w:val="000000"/>
        </w:rPr>
      </w:pPr>
      <w:r w:rsidRPr="00885493">
        <w:rPr>
          <w:rFonts w:ascii="Palatino Linotype" w:eastAsia="Palatino Linotype" w:hAnsi="Palatino Linotype" w:cs="Palatino Linotype"/>
          <w:color w:val="000000"/>
        </w:rPr>
        <w:t xml:space="preserve">Por lo anteriormente expuesto y fundado, este </w:t>
      </w:r>
      <w:r w:rsidRPr="00885493">
        <w:rPr>
          <w:rFonts w:ascii="Palatino Linotype" w:eastAsia="Palatino Linotype" w:hAnsi="Palatino Linotype" w:cs="Palatino Linotype"/>
          <w:b/>
          <w:color w:val="000000"/>
        </w:rPr>
        <w:t>ÓRGANO GARANTE</w:t>
      </w:r>
      <w:r w:rsidRPr="00885493">
        <w:rPr>
          <w:rFonts w:ascii="Palatino Linotype" w:eastAsia="Palatino Linotype" w:hAnsi="Palatino Linotype" w:cs="Palatino Linotype"/>
          <w:color w:val="000000"/>
        </w:rPr>
        <w:t xml:space="preserve"> emite los siguientes:</w:t>
      </w:r>
      <w:bookmarkStart w:id="10" w:name="_heading=h.2s8eyo1" w:colFirst="0" w:colLast="0"/>
      <w:bookmarkEnd w:id="10"/>
    </w:p>
    <w:p w14:paraId="19E6601A" w14:textId="77777777" w:rsidR="00C25DAB" w:rsidRPr="00885493" w:rsidRDefault="00D8235A" w:rsidP="00051F53">
      <w:pPr>
        <w:pBdr>
          <w:top w:val="nil"/>
          <w:left w:val="nil"/>
          <w:bottom w:val="nil"/>
          <w:right w:val="nil"/>
          <w:between w:val="nil"/>
        </w:pBdr>
        <w:spacing w:line="360" w:lineRule="auto"/>
        <w:ind w:right="-734"/>
        <w:jc w:val="center"/>
        <w:rPr>
          <w:color w:val="000000"/>
        </w:rPr>
      </w:pPr>
      <w:r w:rsidRPr="00885493">
        <w:rPr>
          <w:rFonts w:ascii="Palatino Linotype" w:eastAsia="Palatino Linotype" w:hAnsi="Palatino Linotype" w:cs="Palatino Linotype"/>
          <w:b/>
          <w:color w:val="000000"/>
        </w:rPr>
        <w:lastRenderedPageBreak/>
        <w:t>R E S O L U T I V O S</w:t>
      </w:r>
    </w:p>
    <w:p w14:paraId="3601885B" w14:textId="77777777" w:rsidR="00C25DAB" w:rsidRPr="00885493" w:rsidRDefault="00C25DAB">
      <w:pPr>
        <w:keepNext/>
        <w:keepLines/>
        <w:spacing w:line="360" w:lineRule="auto"/>
        <w:ind w:right="-734"/>
        <w:jc w:val="center"/>
        <w:rPr>
          <w:rFonts w:ascii="Palatino Linotype" w:eastAsia="Palatino Linotype" w:hAnsi="Palatino Linotype" w:cs="Palatino Linotype"/>
          <w:b/>
          <w:color w:val="000000"/>
        </w:rPr>
      </w:pPr>
    </w:p>
    <w:p w14:paraId="73D8ECC3" w14:textId="77777777" w:rsidR="00487559" w:rsidRPr="00885493" w:rsidRDefault="00487559" w:rsidP="00487559">
      <w:pPr>
        <w:spacing w:line="360" w:lineRule="auto"/>
        <w:ind w:right="48"/>
        <w:jc w:val="both"/>
        <w:rPr>
          <w:rFonts w:ascii="Palatino Linotype" w:hAnsi="Palatino Linotype" w:cs="Arial"/>
          <w:bCs/>
          <w:szCs w:val="20"/>
          <w:lang w:eastAsia="es-ES"/>
        </w:rPr>
      </w:pPr>
      <w:r w:rsidRPr="00885493">
        <w:rPr>
          <w:rFonts w:ascii="Palatino Linotype" w:hAnsi="Palatino Linotype" w:cs="Arial"/>
          <w:b/>
          <w:szCs w:val="20"/>
          <w:lang w:eastAsia="es-ES"/>
        </w:rPr>
        <w:t xml:space="preserve">PRIMERO. </w:t>
      </w:r>
      <w:r w:rsidRPr="00885493">
        <w:rPr>
          <w:rFonts w:ascii="Palatino Linotype" w:hAnsi="Palatino Linotype" w:cs="Arial"/>
          <w:szCs w:val="20"/>
          <w:lang w:eastAsia="es-ES"/>
        </w:rPr>
        <w:t>Resultan fundadas las</w:t>
      </w:r>
      <w:r w:rsidRPr="00885493">
        <w:rPr>
          <w:rFonts w:ascii="Palatino Linotype" w:hAnsi="Palatino Linotype" w:cs="Arial"/>
          <w:b/>
          <w:szCs w:val="20"/>
          <w:lang w:eastAsia="es-ES"/>
        </w:rPr>
        <w:t xml:space="preserve"> </w:t>
      </w:r>
      <w:r w:rsidRPr="00885493">
        <w:rPr>
          <w:rFonts w:ascii="Palatino Linotype" w:hAnsi="Palatino Linotype" w:cs="Arial"/>
          <w:szCs w:val="20"/>
          <w:lang w:val="es-ES" w:eastAsia="es-ES"/>
        </w:rPr>
        <w:t xml:space="preserve">razones o motivos de inconformidad hechos valer </w:t>
      </w:r>
      <w:r w:rsidRPr="00885493">
        <w:rPr>
          <w:rFonts w:ascii="Palatino Linotype" w:eastAsia="Calibri" w:hAnsi="Palatino Linotype" w:cs="Arial"/>
          <w:szCs w:val="20"/>
          <w:lang w:val="es-ES" w:eastAsia="es-ES"/>
        </w:rPr>
        <w:t xml:space="preserve">en el recurso de revisión </w:t>
      </w:r>
      <w:r w:rsidR="007019C8" w:rsidRPr="00885493">
        <w:rPr>
          <w:rFonts w:ascii="Palatino Linotype" w:hAnsi="Palatino Linotype" w:cs="Arial"/>
          <w:b/>
          <w:bCs/>
          <w:szCs w:val="20"/>
          <w:lang w:eastAsia="es-ES"/>
        </w:rPr>
        <w:t>00063</w:t>
      </w:r>
      <w:r w:rsidRPr="00885493">
        <w:rPr>
          <w:rFonts w:ascii="Palatino Linotype" w:hAnsi="Palatino Linotype" w:cs="Arial"/>
          <w:b/>
          <w:bCs/>
          <w:szCs w:val="20"/>
          <w:lang w:eastAsia="es-ES"/>
        </w:rPr>
        <w:t xml:space="preserve">/INFOEM/IP/RR/2024, </w:t>
      </w:r>
      <w:r w:rsidRPr="00885493">
        <w:rPr>
          <w:rFonts w:ascii="Palatino Linotype" w:hAnsi="Palatino Linotype" w:cs="Arial"/>
          <w:bCs/>
          <w:szCs w:val="20"/>
          <w:lang w:eastAsia="es-ES"/>
        </w:rPr>
        <w:t xml:space="preserve">en términos del </w:t>
      </w:r>
      <w:r w:rsidRPr="00885493">
        <w:rPr>
          <w:rFonts w:ascii="Palatino Linotype" w:hAnsi="Palatino Linotype" w:cs="Arial"/>
          <w:b/>
          <w:bCs/>
          <w:szCs w:val="20"/>
          <w:lang w:eastAsia="es-ES"/>
        </w:rPr>
        <w:t>Considerando</w:t>
      </w:r>
      <w:r w:rsidRPr="00885493">
        <w:rPr>
          <w:rFonts w:ascii="Palatino Linotype" w:hAnsi="Palatino Linotype" w:cs="Arial"/>
          <w:bCs/>
          <w:szCs w:val="20"/>
          <w:lang w:eastAsia="es-ES"/>
        </w:rPr>
        <w:t xml:space="preserve"> </w:t>
      </w:r>
      <w:r w:rsidRPr="00885493">
        <w:rPr>
          <w:rFonts w:ascii="Palatino Linotype" w:hAnsi="Palatino Linotype" w:cs="Arial"/>
          <w:b/>
          <w:bCs/>
          <w:szCs w:val="20"/>
          <w:lang w:eastAsia="es-ES"/>
        </w:rPr>
        <w:t xml:space="preserve">CUARTO y QUINTO  </w:t>
      </w:r>
      <w:r w:rsidRPr="00885493">
        <w:rPr>
          <w:rFonts w:ascii="Palatino Linotype" w:hAnsi="Palatino Linotype" w:cs="Arial"/>
          <w:bCs/>
          <w:szCs w:val="20"/>
          <w:lang w:eastAsia="es-ES"/>
        </w:rPr>
        <w:t>de la presente resolución.</w:t>
      </w:r>
    </w:p>
    <w:p w14:paraId="63FFEFA5" w14:textId="77777777" w:rsidR="00487559" w:rsidRPr="00885493" w:rsidRDefault="00487559" w:rsidP="00487559">
      <w:pPr>
        <w:spacing w:line="360" w:lineRule="auto"/>
        <w:ind w:right="48"/>
        <w:jc w:val="both"/>
        <w:rPr>
          <w:rFonts w:ascii="Palatino Linotype" w:hAnsi="Palatino Linotype" w:cs="Arial"/>
          <w:bCs/>
          <w:szCs w:val="20"/>
          <w:lang w:eastAsia="es-ES"/>
        </w:rPr>
      </w:pPr>
    </w:p>
    <w:p w14:paraId="6C99820D" w14:textId="77777777" w:rsidR="00487559" w:rsidRPr="00885493" w:rsidRDefault="00487559" w:rsidP="00487559">
      <w:pPr>
        <w:spacing w:line="360" w:lineRule="auto"/>
        <w:ind w:right="48"/>
        <w:jc w:val="both"/>
        <w:rPr>
          <w:rFonts w:ascii="Palatino Linotype" w:hAnsi="Palatino Linotype" w:cs="Arial"/>
          <w:bCs/>
          <w:szCs w:val="20"/>
          <w:lang w:eastAsia="es-ES"/>
        </w:rPr>
      </w:pPr>
      <w:bookmarkStart w:id="11" w:name="_Toc477891768"/>
      <w:bookmarkStart w:id="12" w:name="_Toc477891858"/>
      <w:bookmarkStart w:id="13" w:name="_Toc481576259"/>
      <w:bookmarkStart w:id="14" w:name="_Toc492590391"/>
      <w:bookmarkStart w:id="15" w:name="_Toc462653937"/>
      <w:bookmarkStart w:id="16" w:name="_Toc453696502"/>
      <w:bookmarkStart w:id="17" w:name="_Toc454301155"/>
      <w:r w:rsidRPr="00885493">
        <w:rPr>
          <w:rFonts w:ascii="Palatino Linotype" w:hAnsi="Palatino Linotype"/>
          <w:b/>
          <w:szCs w:val="20"/>
          <w:lang w:eastAsia="es-ES"/>
        </w:rPr>
        <w:t>SEGUNDO.</w:t>
      </w:r>
      <w:r w:rsidRPr="00885493">
        <w:rPr>
          <w:rFonts w:ascii="Palatino Linotype" w:eastAsia="DengXian Light" w:hAnsi="Palatino Linotype"/>
          <w:color w:val="2F5496"/>
          <w:sz w:val="36"/>
          <w:szCs w:val="26"/>
          <w:lang w:eastAsia="es-ES"/>
        </w:rPr>
        <w:t xml:space="preserve"> </w:t>
      </w:r>
      <w:bookmarkEnd w:id="11"/>
      <w:bookmarkEnd w:id="12"/>
      <w:bookmarkEnd w:id="13"/>
      <w:bookmarkEnd w:id="14"/>
      <w:bookmarkEnd w:id="15"/>
      <w:bookmarkEnd w:id="16"/>
      <w:bookmarkEnd w:id="17"/>
      <w:r w:rsidRPr="00885493">
        <w:rPr>
          <w:rFonts w:ascii="Palatino Linotype" w:eastAsia="Calibri" w:hAnsi="Palatino Linotype" w:cs="Arial"/>
          <w:szCs w:val="20"/>
          <w:lang w:val="es-ES" w:eastAsia="es-ES"/>
        </w:rPr>
        <w:t>Se</w:t>
      </w:r>
      <w:r w:rsidRPr="00885493">
        <w:rPr>
          <w:rFonts w:ascii="Palatino Linotype" w:eastAsia="Calibri" w:hAnsi="Palatino Linotype" w:cs="Arial"/>
          <w:b/>
          <w:szCs w:val="20"/>
          <w:lang w:val="es-ES" w:eastAsia="es-ES"/>
        </w:rPr>
        <w:t xml:space="preserve"> MODIFICA </w:t>
      </w:r>
      <w:r w:rsidR="007019C8" w:rsidRPr="00885493">
        <w:rPr>
          <w:rFonts w:ascii="Palatino Linotype" w:eastAsia="Calibri" w:hAnsi="Palatino Linotype" w:cs="Arial"/>
          <w:szCs w:val="20"/>
          <w:lang w:val="es-ES" w:eastAsia="es-ES"/>
        </w:rPr>
        <w:t>la respuesta emitida por el</w:t>
      </w:r>
      <w:r w:rsidRPr="00885493">
        <w:rPr>
          <w:rFonts w:ascii="Palatino Linotype" w:eastAsia="Calibri" w:hAnsi="Palatino Linotype" w:cs="Arial"/>
          <w:szCs w:val="20"/>
          <w:lang w:val="es-ES" w:eastAsia="es-ES"/>
        </w:rPr>
        <w:t xml:space="preserve"> </w:t>
      </w:r>
      <w:r w:rsidR="007019C8" w:rsidRPr="00885493">
        <w:rPr>
          <w:rFonts w:ascii="Palatino Linotype" w:eastAsia="Calibri" w:hAnsi="Palatino Linotype" w:cs="Tahoma"/>
          <w:b/>
          <w:bCs/>
          <w:szCs w:val="22"/>
          <w:lang w:eastAsia="en-US"/>
        </w:rPr>
        <w:t>Ayuntamiento de Atizapán de Zaragoza</w:t>
      </w:r>
      <w:r w:rsidRPr="00885493">
        <w:rPr>
          <w:rFonts w:ascii="Palatino Linotype" w:eastAsia="Calibri" w:hAnsi="Palatino Linotype" w:cs="Tahoma"/>
          <w:b/>
          <w:szCs w:val="22"/>
          <w:lang w:val="es-ES" w:eastAsia="en-US"/>
        </w:rPr>
        <w:t xml:space="preserve"> </w:t>
      </w:r>
      <w:r w:rsidRPr="00885493">
        <w:rPr>
          <w:rFonts w:ascii="Palatino Linotype" w:eastAsia="Calibri" w:hAnsi="Palatino Linotype" w:cs="Arial"/>
          <w:szCs w:val="20"/>
          <w:lang w:val="es-ES" w:eastAsia="es-ES"/>
        </w:rPr>
        <w:t>y se</w:t>
      </w:r>
      <w:r w:rsidRPr="00885493">
        <w:rPr>
          <w:rFonts w:ascii="Palatino Linotype" w:eastAsia="Calibri" w:hAnsi="Palatino Linotype" w:cs="Arial"/>
          <w:b/>
          <w:szCs w:val="20"/>
          <w:lang w:val="es-ES" w:eastAsia="es-ES"/>
        </w:rPr>
        <w:t xml:space="preserve"> ORDENA </w:t>
      </w:r>
      <w:r w:rsidRPr="00885493">
        <w:rPr>
          <w:rFonts w:ascii="Palatino Linotype" w:hAnsi="Palatino Linotype" w:cs="Arial"/>
          <w:szCs w:val="20"/>
          <w:lang w:val="es-ES" w:eastAsia="es-ES"/>
        </w:rPr>
        <w:t>entregar vía Sistema de Accesos a la Información Mexiquense (SAIMEX), la siguiente información</w:t>
      </w:r>
      <w:r w:rsidRPr="00885493">
        <w:rPr>
          <w:rFonts w:ascii="Palatino Linotype" w:hAnsi="Palatino Linotype" w:cs="Arial"/>
          <w:bCs/>
          <w:szCs w:val="20"/>
          <w:lang w:eastAsia="es-ES"/>
        </w:rPr>
        <w:t>:</w:t>
      </w:r>
    </w:p>
    <w:p w14:paraId="581F2941" w14:textId="77777777" w:rsidR="00487559" w:rsidRPr="00885493" w:rsidRDefault="00487559" w:rsidP="00487559">
      <w:pPr>
        <w:spacing w:line="360" w:lineRule="auto"/>
        <w:ind w:right="48"/>
        <w:jc w:val="both"/>
        <w:rPr>
          <w:rFonts w:ascii="Palatino Linotype" w:hAnsi="Palatino Linotype" w:cs="Arial"/>
          <w:bCs/>
          <w:szCs w:val="20"/>
          <w:lang w:eastAsia="es-ES"/>
        </w:rPr>
      </w:pPr>
    </w:p>
    <w:p w14:paraId="3E7E7842" w14:textId="77777777" w:rsidR="00487559" w:rsidRPr="00885493" w:rsidRDefault="007019C8" w:rsidP="00487559">
      <w:pPr>
        <w:pStyle w:val="Prrafodelista"/>
        <w:numPr>
          <w:ilvl w:val="2"/>
          <w:numId w:val="12"/>
        </w:numPr>
        <w:spacing w:line="360" w:lineRule="auto"/>
        <w:ind w:left="851" w:right="822" w:firstLine="0"/>
        <w:jc w:val="both"/>
        <w:rPr>
          <w:rFonts w:ascii="Palatino Linotype" w:hAnsi="Palatino Linotype" w:cs="Arial"/>
          <w:b/>
          <w:color w:val="000000" w:themeColor="text1"/>
          <w:sz w:val="24"/>
        </w:rPr>
      </w:pPr>
      <w:r w:rsidRPr="00885493">
        <w:rPr>
          <w:rFonts w:ascii="Palatino Linotype" w:hAnsi="Palatino Linotype" w:cs="Arial"/>
          <w:b/>
          <w:sz w:val="24"/>
        </w:rPr>
        <w:t xml:space="preserve">Licencias de uso de suelo entregadas en respuesta, en versión pública correcta. </w:t>
      </w:r>
    </w:p>
    <w:p w14:paraId="14D8470F" w14:textId="77777777" w:rsidR="00487559" w:rsidRPr="00885493" w:rsidRDefault="00487559" w:rsidP="00487559">
      <w:pPr>
        <w:spacing w:line="360" w:lineRule="auto"/>
        <w:ind w:right="567"/>
        <w:jc w:val="both"/>
        <w:rPr>
          <w:rFonts w:ascii="Palatino Linotype" w:hAnsi="Palatino Linotype"/>
          <w:b/>
          <w:bCs/>
          <w:color w:val="000000"/>
        </w:rPr>
      </w:pPr>
    </w:p>
    <w:p w14:paraId="482ABE13" w14:textId="77777777" w:rsidR="00487559" w:rsidRPr="00885493" w:rsidRDefault="00487559" w:rsidP="00487559">
      <w:pPr>
        <w:tabs>
          <w:tab w:val="left" w:pos="8080"/>
        </w:tabs>
        <w:spacing w:line="360" w:lineRule="auto"/>
        <w:ind w:right="48"/>
        <w:contextualSpacing/>
        <w:jc w:val="both"/>
        <w:rPr>
          <w:rFonts w:ascii="Palatino Linotype" w:hAnsi="Palatino Linotype"/>
          <w:b/>
        </w:rPr>
      </w:pPr>
      <w:r w:rsidRPr="00885493">
        <w:rPr>
          <w:rFonts w:ascii="Palatino Linotype" w:hAnsi="Palatino Linotype"/>
        </w:rPr>
        <w:t xml:space="preserve">Para efectos de lo anterior, se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dentro del soporte documental respectivo objeto de las versiones públicas que se formulen y se pongan a disposición de </w:t>
      </w:r>
      <w:r w:rsidRPr="00885493">
        <w:rPr>
          <w:rFonts w:ascii="Palatino Linotype" w:hAnsi="Palatino Linotype"/>
          <w:b/>
        </w:rPr>
        <w:t>EL RECURRENTE.</w:t>
      </w:r>
    </w:p>
    <w:p w14:paraId="2ACABE83" w14:textId="77777777" w:rsidR="00487559" w:rsidRPr="00885493" w:rsidRDefault="00487559" w:rsidP="00487559">
      <w:pPr>
        <w:tabs>
          <w:tab w:val="left" w:pos="8080"/>
        </w:tabs>
        <w:spacing w:line="360" w:lineRule="auto"/>
        <w:ind w:right="48"/>
        <w:contextualSpacing/>
        <w:jc w:val="both"/>
        <w:rPr>
          <w:rFonts w:ascii="Palatino Linotype" w:eastAsia="Palatino Linotype" w:hAnsi="Palatino Linotype" w:cs="Palatino Linotype"/>
          <w:b/>
        </w:rPr>
      </w:pPr>
    </w:p>
    <w:p w14:paraId="3EFB78BD" w14:textId="77777777" w:rsidR="00487559" w:rsidRPr="00885493" w:rsidRDefault="00487559" w:rsidP="00487559">
      <w:pPr>
        <w:tabs>
          <w:tab w:val="left" w:pos="8080"/>
        </w:tabs>
        <w:spacing w:line="360" w:lineRule="auto"/>
        <w:ind w:right="48"/>
        <w:contextualSpacing/>
        <w:jc w:val="both"/>
        <w:rPr>
          <w:rFonts w:ascii="Palatino Linotype" w:hAnsi="Palatino Linotype"/>
          <w:color w:val="222222"/>
          <w:shd w:val="clear" w:color="auto" w:fill="FFFFFF"/>
        </w:rPr>
      </w:pPr>
      <w:r w:rsidRPr="00885493">
        <w:rPr>
          <w:rFonts w:ascii="Palatino Linotype" w:eastAsia="Palatino Linotype" w:hAnsi="Palatino Linotype" w:cs="Palatino Linotype"/>
          <w:b/>
        </w:rPr>
        <w:t xml:space="preserve">TERCERO. Notifíquese </w:t>
      </w:r>
      <w:r w:rsidRPr="00885493">
        <w:rPr>
          <w:rFonts w:ascii="Palatino Linotype" w:eastAsia="Palatino Linotype" w:hAnsi="Palatino Linotype" w:cs="Palatino Linotype"/>
        </w:rPr>
        <w:t xml:space="preserve">vía SAIMEX 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w:t>
      </w:r>
      <w:r w:rsidRPr="00885493">
        <w:rPr>
          <w:rFonts w:ascii="Palatino Linotype" w:eastAsia="Palatino Linotype" w:hAnsi="Palatino Linotype" w:cs="Palatino Linotype"/>
        </w:rPr>
        <w:lastRenderedPageBreak/>
        <w:t>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5053B9A2" w14:textId="77777777" w:rsidR="00487559" w:rsidRPr="00885493" w:rsidRDefault="00487559" w:rsidP="00487559">
      <w:pPr>
        <w:tabs>
          <w:tab w:val="left" w:pos="8080"/>
        </w:tabs>
        <w:spacing w:line="360" w:lineRule="auto"/>
        <w:ind w:right="48"/>
        <w:contextualSpacing/>
        <w:jc w:val="both"/>
        <w:rPr>
          <w:rFonts w:ascii="Palatino Linotype" w:hAnsi="Palatino Linotype"/>
          <w:color w:val="222222"/>
          <w:shd w:val="clear" w:color="auto" w:fill="FFFFFF"/>
        </w:rPr>
      </w:pPr>
    </w:p>
    <w:p w14:paraId="370566ED" w14:textId="77777777" w:rsidR="00487559" w:rsidRPr="00885493" w:rsidRDefault="00487559" w:rsidP="00487559">
      <w:pPr>
        <w:shd w:val="clear" w:color="auto" w:fill="FFFFFF"/>
        <w:spacing w:line="360" w:lineRule="auto"/>
        <w:ind w:right="48"/>
        <w:jc w:val="both"/>
        <w:rPr>
          <w:rFonts w:ascii="Palatino Linotype" w:hAnsi="Palatino Linotype"/>
        </w:rPr>
      </w:pPr>
      <w:r w:rsidRPr="00885493">
        <w:rPr>
          <w:rFonts w:ascii="Palatino Linotype" w:hAnsi="Palatino Linotype" w:cs="Arial"/>
          <w:b/>
        </w:rPr>
        <w:t xml:space="preserve">CUARTO. </w:t>
      </w:r>
      <w:r w:rsidRPr="00885493">
        <w:rPr>
          <w:rFonts w:ascii="Palatino Linotype" w:hAnsi="Palatino Linotype"/>
          <w:b/>
          <w:bCs/>
          <w:lang w:val="es-ES"/>
        </w:rPr>
        <w:t>Notifíquese al RECURRENTE</w:t>
      </w:r>
      <w:r w:rsidRPr="00885493">
        <w:rPr>
          <w:rFonts w:ascii="Palatino Linotype" w:hAnsi="Palatino Linotype"/>
        </w:rPr>
        <w:t xml:space="preserve"> la presente resolución vía SAIMEX.</w:t>
      </w:r>
    </w:p>
    <w:p w14:paraId="654A5B3A" w14:textId="77777777" w:rsidR="00487559" w:rsidRPr="00885493" w:rsidRDefault="00487559" w:rsidP="00487559">
      <w:pPr>
        <w:shd w:val="clear" w:color="auto" w:fill="FFFFFF"/>
        <w:spacing w:line="360" w:lineRule="auto"/>
        <w:ind w:right="48"/>
        <w:jc w:val="both"/>
        <w:rPr>
          <w:rFonts w:ascii="Palatino Linotype" w:hAnsi="Palatino Linotype"/>
          <w:b/>
          <w:color w:val="FF0000"/>
        </w:rPr>
      </w:pPr>
    </w:p>
    <w:p w14:paraId="709AA4B2" w14:textId="77777777" w:rsidR="00487559" w:rsidRPr="00885493" w:rsidRDefault="00487559" w:rsidP="00487559">
      <w:pPr>
        <w:spacing w:line="360" w:lineRule="auto"/>
        <w:ind w:right="48"/>
        <w:jc w:val="both"/>
        <w:rPr>
          <w:rFonts w:ascii="Palatino Linotype" w:eastAsia="MS Mincho" w:hAnsi="Palatino Linotype"/>
          <w:lang w:val="es-ES"/>
        </w:rPr>
      </w:pPr>
      <w:r w:rsidRPr="00885493">
        <w:rPr>
          <w:rFonts w:ascii="Palatino Linotype" w:eastAsia="MS Mincho" w:hAnsi="Palatino Linotype"/>
          <w:b/>
        </w:rPr>
        <w:t>QUINTO.</w:t>
      </w:r>
      <w:r w:rsidRPr="00885493">
        <w:rPr>
          <w:rFonts w:ascii="Palatino Linotype" w:eastAsia="MS Mincho" w:hAnsi="Palatino Linotype"/>
        </w:rPr>
        <w:t xml:space="preserve"> </w:t>
      </w:r>
      <w:r w:rsidRPr="00885493">
        <w:rPr>
          <w:rFonts w:ascii="Palatino Linotype" w:eastAsia="MS Mincho" w:hAnsi="Palatino Linotype"/>
          <w:lang w:val="es-ES"/>
        </w:rPr>
        <w:t xml:space="preserve">Se hace del conocimiento del </w:t>
      </w:r>
      <w:r w:rsidRPr="00885493">
        <w:rPr>
          <w:rFonts w:ascii="Palatino Linotype" w:hAnsi="Palatino Linotype"/>
          <w:b/>
        </w:rPr>
        <w:t>RECURRENTE</w:t>
      </w:r>
      <w:r w:rsidRPr="00885493">
        <w:rPr>
          <w:rFonts w:ascii="Palatino Linotype" w:hAnsi="Palatino Linotype"/>
        </w:rPr>
        <w:t xml:space="preserve"> </w:t>
      </w:r>
      <w:r w:rsidRPr="00885493">
        <w:rPr>
          <w:rFonts w:ascii="Palatino Linotype" w:eastAsia="MS Mincho" w:hAnsi="Palatino Linotype"/>
          <w:lang w:val="es-ES"/>
        </w:rPr>
        <w:t>que de conformidad con lo establecido en el artículo 196 de la Ley de Transparencia y Acceso a la Información Pública del Estado de México y Municipios, en caso de que considere que la resolución le cause algún perjuicio podrá impugnarla </w:t>
      </w:r>
      <w:r w:rsidRPr="00885493">
        <w:rPr>
          <w:rFonts w:ascii="Palatino Linotype" w:eastAsia="MS Mincho" w:hAnsi="Palatino Linotype"/>
          <w:bCs/>
          <w:lang w:val="es-ES"/>
        </w:rPr>
        <w:t>vía juicio de amparo</w:t>
      </w:r>
      <w:r w:rsidRPr="00885493">
        <w:rPr>
          <w:rFonts w:ascii="Palatino Linotype" w:eastAsia="MS Mincho" w:hAnsi="Palatino Linotype"/>
          <w:lang w:val="es-ES"/>
        </w:rPr>
        <w:t> en los términos de las leyes aplicables.</w:t>
      </w:r>
    </w:p>
    <w:p w14:paraId="77AD3EB1" w14:textId="77777777" w:rsidR="00487559" w:rsidRPr="00885493" w:rsidRDefault="00487559" w:rsidP="00487559">
      <w:pPr>
        <w:spacing w:line="360" w:lineRule="auto"/>
        <w:ind w:right="48"/>
        <w:jc w:val="both"/>
        <w:rPr>
          <w:rFonts w:ascii="Palatino Linotype" w:hAnsi="Palatino Linotype"/>
          <w:color w:val="000000"/>
          <w:shd w:val="clear" w:color="auto" w:fill="FFFFFF"/>
        </w:rPr>
      </w:pPr>
    </w:p>
    <w:p w14:paraId="4C4AFA38" w14:textId="77777777" w:rsidR="00487559" w:rsidRPr="006376EE" w:rsidRDefault="00487559" w:rsidP="00487559">
      <w:pPr>
        <w:spacing w:line="360" w:lineRule="auto"/>
        <w:ind w:right="48"/>
        <w:jc w:val="both"/>
        <w:rPr>
          <w:rFonts w:ascii="Palatino Linotype" w:eastAsia="Calibri" w:hAnsi="Palatino Linotype" w:cs="Arial"/>
          <w:bCs/>
        </w:rPr>
      </w:pPr>
      <w:r w:rsidRPr="00885493">
        <w:rPr>
          <w:rFonts w:ascii="Palatino Linotype" w:hAnsi="Palatino Linotype"/>
          <w:b/>
          <w:color w:val="000000"/>
          <w:shd w:val="clear" w:color="auto" w:fill="FFFFFF"/>
        </w:rPr>
        <w:t xml:space="preserve">SEXTO. </w:t>
      </w:r>
      <w:r w:rsidRPr="00885493">
        <w:rPr>
          <w:rFonts w:ascii="Palatino Linotype" w:eastAsia="Calibri" w:hAnsi="Palatino Linotype" w:cs="Arial"/>
          <w:bCs/>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736E222A" w14:textId="77777777" w:rsidR="00C25DAB" w:rsidRDefault="00C25DAB">
      <w:pPr>
        <w:shd w:val="clear" w:color="auto" w:fill="FFFFFF"/>
        <w:spacing w:line="360" w:lineRule="auto"/>
        <w:ind w:right="-734"/>
        <w:jc w:val="both"/>
        <w:rPr>
          <w:rFonts w:ascii="Palatino Linotype" w:eastAsia="Palatino Linotype" w:hAnsi="Palatino Linotype" w:cs="Palatino Linotype"/>
        </w:rPr>
      </w:pPr>
    </w:p>
    <w:p w14:paraId="63218DB5" w14:textId="77777777" w:rsidR="00885493" w:rsidRDefault="00051F53" w:rsidP="00051F53">
      <w:pPr>
        <w:spacing w:line="360" w:lineRule="auto"/>
        <w:ind w:left="-142" w:right="-234" w:firstLine="1"/>
        <w:jc w:val="both"/>
        <w:rPr>
          <w:rFonts w:ascii="Palatino Linotype" w:hAnsi="Palatino Linotype"/>
        </w:rPr>
      </w:pPr>
      <w:r w:rsidRPr="003C7186">
        <w:rPr>
          <w:rFonts w:ascii="Palatino Linotype" w:hAnsi="Palatino Linotype"/>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w:t>
      </w:r>
      <w:r w:rsidRPr="003C7186">
        <w:rPr>
          <w:rFonts w:ascii="Palatino Linotype" w:hAnsi="Palatino Linotype"/>
        </w:rPr>
        <w:lastRenderedPageBreak/>
        <w:t>AYALA; SHARON CRISTINA MORALES MARTÍNEZ; LUIS GUSTAVO PARRA NORIEGA</w:t>
      </w:r>
      <w:r>
        <w:rPr>
          <w:rFonts w:ascii="Palatino Linotype" w:hAnsi="Palatino Linotype"/>
        </w:rPr>
        <w:t xml:space="preserve"> Y GUADALUPE RAMÍREZ PEÑA; </w:t>
      </w:r>
      <w:r w:rsidRPr="003C7186">
        <w:rPr>
          <w:rFonts w:ascii="Palatino Linotype" w:hAnsi="Palatino Linotype"/>
        </w:rPr>
        <w:t xml:space="preserve">EN LA </w:t>
      </w:r>
      <w:r>
        <w:rPr>
          <w:rFonts w:ascii="Palatino Linotype" w:hAnsi="Palatino Linotype"/>
        </w:rPr>
        <w:t>TRIGÉSIMA</w:t>
      </w:r>
      <w:r w:rsidRPr="003C7186">
        <w:rPr>
          <w:rFonts w:ascii="Palatino Linotype" w:hAnsi="Palatino Linotype"/>
        </w:rPr>
        <w:t xml:space="preserve"> </w:t>
      </w:r>
      <w:r>
        <w:rPr>
          <w:rFonts w:ascii="Palatino Linotype" w:hAnsi="Palatino Linotype"/>
        </w:rPr>
        <w:t xml:space="preserve">SEXTA </w:t>
      </w:r>
      <w:r w:rsidRPr="003C7186">
        <w:rPr>
          <w:rFonts w:ascii="Palatino Linotype" w:hAnsi="Palatino Linotype"/>
        </w:rPr>
        <w:t xml:space="preserve">SESIÓN ORDINARIA CELEBRADA EL </w:t>
      </w:r>
      <w:r>
        <w:rPr>
          <w:rFonts w:ascii="Palatino Linotype" w:hAnsi="Palatino Linotype"/>
        </w:rPr>
        <w:t>NUEVE</w:t>
      </w:r>
      <w:r w:rsidRPr="003C7186">
        <w:rPr>
          <w:rFonts w:ascii="Palatino Linotype" w:hAnsi="Palatino Linotype"/>
        </w:rPr>
        <w:t xml:space="preserve"> </w:t>
      </w:r>
      <w:r>
        <w:rPr>
          <w:rFonts w:ascii="Palatino Linotype" w:hAnsi="Palatino Linotype"/>
        </w:rPr>
        <w:t>(09) DE OCTUBRE</w:t>
      </w:r>
      <w:r w:rsidRPr="003C7186">
        <w:rPr>
          <w:rFonts w:ascii="Palatino Linotype" w:hAnsi="Palatino Linotype"/>
        </w:rPr>
        <w:t xml:space="preserve"> DE DOS MIL VEINTICUATRO, ANTE EL SECRETARIO TÉCNICO DEL PLENO ALEXIS TAPIA RAMÍREZ. </w:t>
      </w:r>
    </w:p>
    <w:p w14:paraId="19463AB0" w14:textId="77777777" w:rsidR="00885493" w:rsidRDefault="00885493">
      <w:pPr>
        <w:rPr>
          <w:rFonts w:ascii="Palatino Linotype" w:hAnsi="Palatino Linotype"/>
        </w:rPr>
      </w:pPr>
      <w:r>
        <w:rPr>
          <w:rFonts w:ascii="Palatino Linotype" w:hAnsi="Palatino Linotype"/>
        </w:rPr>
        <w:br w:type="page"/>
      </w:r>
    </w:p>
    <w:p w14:paraId="364634ED" w14:textId="77777777" w:rsidR="00051F53" w:rsidRPr="003C7186" w:rsidRDefault="00051F53" w:rsidP="00051F53">
      <w:pPr>
        <w:spacing w:line="360" w:lineRule="auto"/>
        <w:ind w:left="-142" w:right="-234" w:firstLine="1"/>
        <w:jc w:val="both"/>
        <w:rPr>
          <w:rFonts w:ascii="Palatino Linotype" w:hAnsi="Palatino Linotype"/>
        </w:rPr>
      </w:pPr>
    </w:p>
    <w:p w14:paraId="3E692A69" w14:textId="77777777" w:rsidR="00051F53" w:rsidRPr="00902BA4" w:rsidRDefault="00051F53" w:rsidP="00051F53">
      <w:pPr>
        <w:widowControl w:val="0"/>
        <w:autoSpaceDE w:val="0"/>
        <w:autoSpaceDN w:val="0"/>
        <w:adjustRightInd w:val="0"/>
        <w:spacing w:after="200" w:line="276" w:lineRule="auto"/>
        <w:ind w:left="-142" w:right="-234"/>
        <w:rPr>
          <w:rFonts w:ascii="Calibri" w:hAnsi="Calibri" w:cs="Calibri"/>
        </w:rPr>
      </w:pPr>
    </w:p>
    <w:p w14:paraId="638CCE77" w14:textId="77777777" w:rsidR="00C25DAB" w:rsidRDefault="00C25DAB">
      <w:pPr>
        <w:spacing w:line="360" w:lineRule="auto"/>
        <w:ind w:right="-734"/>
        <w:rPr>
          <w:rFonts w:ascii="Palatino Linotype" w:eastAsia="Palatino Linotype" w:hAnsi="Palatino Linotype" w:cs="Palatino Linotype"/>
        </w:rPr>
      </w:pPr>
    </w:p>
    <w:p w14:paraId="2BD9A0A5" w14:textId="77777777" w:rsidR="00C25DAB" w:rsidRDefault="00C25DAB">
      <w:pPr>
        <w:spacing w:line="360" w:lineRule="auto"/>
        <w:ind w:right="-734"/>
        <w:rPr>
          <w:rFonts w:ascii="Palatino Linotype" w:eastAsia="Palatino Linotype" w:hAnsi="Palatino Linotype" w:cs="Palatino Linotype"/>
        </w:rPr>
      </w:pPr>
    </w:p>
    <w:p w14:paraId="56F4A59E" w14:textId="77777777" w:rsidR="00C25DAB" w:rsidRDefault="00C25DAB">
      <w:pPr>
        <w:ind w:right="-734"/>
      </w:pPr>
    </w:p>
    <w:p w14:paraId="028289C6" w14:textId="77777777" w:rsidR="00C25DAB" w:rsidRDefault="00C25DAB">
      <w:pPr>
        <w:ind w:right="-734"/>
      </w:pPr>
    </w:p>
    <w:p w14:paraId="64EC2F91" w14:textId="77777777" w:rsidR="00C25DAB" w:rsidRDefault="00C25DAB">
      <w:pPr>
        <w:ind w:right="-734"/>
      </w:pPr>
    </w:p>
    <w:p w14:paraId="53E9C82F" w14:textId="77777777" w:rsidR="00C25DAB" w:rsidRDefault="00C25DAB">
      <w:pPr>
        <w:ind w:right="-734"/>
      </w:pPr>
    </w:p>
    <w:p w14:paraId="4AB1A33E" w14:textId="77777777" w:rsidR="00C25DAB" w:rsidRDefault="00C25DAB">
      <w:pPr>
        <w:ind w:right="-734"/>
      </w:pPr>
    </w:p>
    <w:p w14:paraId="1BD05825" w14:textId="77777777" w:rsidR="00C25DAB" w:rsidRDefault="00C25DAB">
      <w:pPr>
        <w:ind w:right="-734"/>
      </w:pPr>
    </w:p>
    <w:p w14:paraId="22D23605" w14:textId="77777777" w:rsidR="00C25DAB" w:rsidRDefault="00C25DAB">
      <w:pPr>
        <w:ind w:right="-734"/>
      </w:pPr>
    </w:p>
    <w:sectPr w:rsidR="00C25DAB">
      <w:headerReference w:type="even" r:id="rId19"/>
      <w:headerReference w:type="default" r:id="rId20"/>
      <w:footerReference w:type="default" r:id="rId21"/>
      <w:headerReference w:type="first" r:id="rId22"/>
      <w:footerReference w:type="first" r:id="rId23"/>
      <w:pgSz w:w="12240" w:h="15840"/>
      <w:pgMar w:top="80" w:right="1608" w:bottom="1418" w:left="1588" w:header="709" w:footer="91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284E6E" w14:textId="77777777" w:rsidR="006465FE" w:rsidRDefault="006465FE">
      <w:r>
        <w:separator/>
      </w:r>
    </w:p>
  </w:endnote>
  <w:endnote w:type="continuationSeparator" w:id="0">
    <w:p w14:paraId="7ED3638A" w14:textId="77777777" w:rsidR="006465FE" w:rsidRDefault="006465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79746" w14:textId="77777777" w:rsidR="00487559" w:rsidRDefault="00487559">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rPr>
      <w:fldChar w:fldCharType="begin"/>
    </w:r>
    <w:r>
      <w:rPr>
        <w:b/>
        <w:color w:val="000000"/>
      </w:rPr>
      <w:instrText>PAGE</w:instrText>
    </w:r>
    <w:r>
      <w:rPr>
        <w:b/>
        <w:color w:val="000000"/>
      </w:rPr>
      <w:fldChar w:fldCharType="separate"/>
    </w:r>
    <w:r w:rsidR="00E410D3">
      <w:rPr>
        <w:b/>
        <w:noProof/>
        <w:color w:val="000000"/>
      </w:rPr>
      <w:t>21</w:t>
    </w:r>
    <w:r>
      <w:rPr>
        <w:b/>
        <w:color w:val="000000"/>
      </w:rPr>
      <w:fldChar w:fldCharType="end"/>
    </w:r>
    <w:r>
      <w:rPr>
        <w:color w:val="000000"/>
      </w:rPr>
      <w:t xml:space="preserve"> de </w:t>
    </w:r>
    <w:r>
      <w:rPr>
        <w:b/>
        <w:color w:val="000000"/>
      </w:rPr>
      <w:fldChar w:fldCharType="begin"/>
    </w:r>
    <w:r>
      <w:rPr>
        <w:b/>
        <w:color w:val="000000"/>
      </w:rPr>
      <w:instrText>NUMPAGES</w:instrText>
    </w:r>
    <w:r>
      <w:rPr>
        <w:b/>
        <w:color w:val="000000"/>
      </w:rPr>
      <w:fldChar w:fldCharType="separate"/>
    </w:r>
    <w:r w:rsidR="00E410D3">
      <w:rPr>
        <w:b/>
        <w:noProof/>
        <w:color w:val="000000"/>
      </w:rPr>
      <w:t>36</w:t>
    </w:r>
    <w:r>
      <w:rPr>
        <w:b/>
        <w:color w:val="000000"/>
      </w:rPr>
      <w:fldChar w:fldCharType="end"/>
    </w:r>
  </w:p>
  <w:p w14:paraId="63533856" w14:textId="77777777" w:rsidR="00487559" w:rsidRDefault="00487559">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E56C8" w14:textId="77777777" w:rsidR="00487559" w:rsidRDefault="00487559">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rPr>
      <w:fldChar w:fldCharType="begin"/>
    </w:r>
    <w:r>
      <w:rPr>
        <w:b/>
        <w:color w:val="000000"/>
      </w:rPr>
      <w:instrText>PAGE</w:instrText>
    </w:r>
    <w:r>
      <w:rPr>
        <w:b/>
        <w:color w:val="000000"/>
      </w:rPr>
      <w:fldChar w:fldCharType="separate"/>
    </w:r>
    <w:r w:rsidR="00E410D3">
      <w:rPr>
        <w:b/>
        <w:noProof/>
        <w:color w:val="000000"/>
      </w:rPr>
      <w:t>1</w:t>
    </w:r>
    <w:r>
      <w:rPr>
        <w:b/>
        <w:color w:val="000000"/>
      </w:rPr>
      <w:fldChar w:fldCharType="end"/>
    </w:r>
    <w:r>
      <w:rPr>
        <w:color w:val="000000"/>
      </w:rPr>
      <w:t xml:space="preserve"> de </w:t>
    </w:r>
    <w:r>
      <w:rPr>
        <w:b/>
        <w:color w:val="000000"/>
      </w:rPr>
      <w:fldChar w:fldCharType="begin"/>
    </w:r>
    <w:r>
      <w:rPr>
        <w:b/>
        <w:color w:val="000000"/>
      </w:rPr>
      <w:instrText>NUMPAGES</w:instrText>
    </w:r>
    <w:r>
      <w:rPr>
        <w:b/>
        <w:color w:val="000000"/>
      </w:rPr>
      <w:fldChar w:fldCharType="separate"/>
    </w:r>
    <w:r w:rsidR="00E410D3">
      <w:rPr>
        <w:b/>
        <w:noProof/>
        <w:color w:val="000000"/>
      </w:rPr>
      <w:t>36</w:t>
    </w:r>
    <w:r>
      <w:rPr>
        <w:b/>
        <w:color w:val="000000"/>
      </w:rPr>
      <w:fldChar w:fldCharType="end"/>
    </w:r>
  </w:p>
  <w:p w14:paraId="1BD3FB25" w14:textId="77777777" w:rsidR="00487559" w:rsidRDefault="00487559">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AAC949" w14:textId="77777777" w:rsidR="006465FE" w:rsidRDefault="006465FE">
      <w:r>
        <w:separator/>
      </w:r>
    </w:p>
  </w:footnote>
  <w:footnote w:type="continuationSeparator" w:id="0">
    <w:p w14:paraId="52E4C8DD" w14:textId="77777777" w:rsidR="006465FE" w:rsidRDefault="006465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353CD" w14:textId="77777777" w:rsidR="00487559" w:rsidRDefault="006465FE">
    <w:pPr>
      <w:pBdr>
        <w:top w:val="nil"/>
        <w:left w:val="nil"/>
        <w:bottom w:val="nil"/>
        <w:right w:val="nil"/>
        <w:between w:val="nil"/>
      </w:pBdr>
      <w:tabs>
        <w:tab w:val="center" w:pos="4419"/>
        <w:tab w:val="right" w:pos="8838"/>
      </w:tabs>
      <w:rPr>
        <w:color w:val="000000"/>
      </w:rPr>
    </w:pPr>
    <w:r>
      <w:rPr>
        <w:color w:val="000000"/>
      </w:rPr>
      <w:pict w14:anchorId="6EEC7C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alt="" style="position:absolute;margin-left:0;margin-top:0;width:589.8pt;height:768pt;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E3BB7" w14:textId="77777777" w:rsidR="00487559" w:rsidRDefault="00487559">
    <w:pPr>
      <w:widowControl w:val="0"/>
      <w:pBdr>
        <w:top w:val="nil"/>
        <w:left w:val="nil"/>
        <w:bottom w:val="nil"/>
        <w:right w:val="nil"/>
        <w:between w:val="nil"/>
      </w:pBdr>
      <w:spacing w:line="276" w:lineRule="auto"/>
      <w:rPr>
        <w:color w:val="000000"/>
      </w:rPr>
    </w:pPr>
  </w:p>
  <w:tbl>
    <w:tblPr>
      <w:tblStyle w:val="a1"/>
      <w:tblW w:w="9214" w:type="dxa"/>
      <w:tblInd w:w="0" w:type="dxa"/>
      <w:tblLayout w:type="fixed"/>
      <w:tblLook w:val="0400" w:firstRow="0" w:lastRow="0" w:firstColumn="0" w:lastColumn="0" w:noHBand="0" w:noVBand="1"/>
    </w:tblPr>
    <w:tblGrid>
      <w:gridCol w:w="2268"/>
      <w:gridCol w:w="6946"/>
    </w:tblGrid>
    <w:tr w:rsidR="00487559" w14:paraId="791A5542" w14:textId="77777777">
      <w:trPr>
        <w:trHeight w:val="1435"/>
      </w:trPr>
      <w:tc>
        <w:tcPr>
          <w:tcW w:w="2268" w:type="dxa"/>
          <w:shd w:val="clear" w:color="auto" w:fill="auto"/>
        </w:tcPr>
        <w:p w14:paraId="2915C1E9" w14:textId="77777777" w:rsidR="00487559" w:rsidRDefault="00487559">
          <w:pPr>
            <w:tabs>
              <w:tab w:val="right" w:pos="4273"/>
            </w:tabs>
            <w:rPr>
              <w:rFonts w:ascii="Garamond" w:eastAsia="Garamond" w:hAnsi="Garamond" w:cs="Garamond"/>
              <w:sz w:val="16"/>
              <w:szCs w:val="16"/>
            </w:rPr>
          </w:pPr>
        </w:p>
      </w:tc>
      <w:tc>
        <w:tcPr>
          <w:tcW w:w="6946" w:type="dxa"/>
          <w:shd w:val="clear" w:color="auto" w:fill="auto"/>
        </w:tcPr>
        <w:p w14:paraId="42BCC6BC" w14:textId="77777777" w:rsidR="00487559" w:rsidRDefault="00487559"/>
        <w:tbl>
          <w:tblPr>
            <w:tblStyle w:val="a2"/>
            <w:tblW w:w="6662" w:type="dxa"/>
            <w:tblInd w:w="40" w:type="dxa"/>
            <w:tblLayout w:type="fixed"/>
            <w:tblLook w:val="0400" w:firstRow="0" w:lastRow="0" w:firstColumn="0" w:lastColumn="0" w:noHBand="0" w:noVBand="1"/>
          </w:tblPr>
          <w:tblGrid>
            <w:gridCol w:w="2551"/>
            <w:gridCol w:w="4111"/>
          </w:tblGrid>
          <w:tr w:rsidR="00487559" w14:paraId="43CEAAA2" w14:textId="77777777">
            <w:trPr>
              <w:trHeight w:val="150"/>
            </w:trPr>
            <w:tc>
              <w:tcPr>
                <w:tcW w:w="2551" w:type="dxa"/>
                <w:shd w:val="clear" w:color="auto" w:fill="auto"/>
              </w:tcPr>
              <w:p w14:paraId="5F20F1E3" w14:textId="77777777" w:rsidR="00487559" w:rsidRDefault="00487559">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111" w:type="dxa"/>
                <w:shd w:val="clear" w:color="auto" w:fill="auto"/>
              </w:tcPr>
              <w:p w14:paraId="0DEC7845" w14:textId="77777777" w:rsidR="00487559" w:rsidRDefault="00487559">
                <w:pPr>
                  <w:tabs>
                    <w:tab w:val="right" w:pos="8838"/>
                  </w:tabs>
                  <w:ind w:left="-108" w:right="-102"/>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00063/INFOEM/IP/RR/2024</w:t>
                </w:r>
              </w:p>
            </w:tc>
          </w:tr>
          <w:tr w:rsidR="00487559" w14:paraId="78F5D636" w14:textId="77777777">
            <w:trPr>
              <w:trHeight w:val="295"/>
            </w:trPr>
            <w:tc>
              <w:tcPr>
                <w:tcW w:w="2551" w:type="dxa"/>
                <w:shd w:val="clear" w:color="auto" w:fill="auto"/>
              </w:tcPr>
              <w:p w14:paraId="6A74F233" w14:textId="77777777" w:rsidR="00487559" w:rsidRDefault="00487559">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111" w:type="dxa"/>
                <w:shd w:val="clear" w:color="auto" w:fill="auto"/>
              </w:tcPr>
              <w:p w14:paraId="237C7734" w14:textId="77777777" w:rsidR="00487559" w:rsidRDefault="00487559">
                <w:pPr>
                  <w:tabs>
                    <w:tab w:val="left" w:pos="2834"/>
                    <w:tab w:val="right" w:pos="8838"/>
                  </w:tabs>
                  <w:ind w:left="-108" w:right="-102"/>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Ayuntamiento de Atizapán de Zaragoza</w:t>
                </w:r>
              </w:p>
            </w:tc>
          </w:tr>
          <w:tr w:rsidR="00487559" w14:paraId="4F6FC565" w14:textId="77777777">
            <w:trPr>
              <w:trHeight w:val="295"/>
            </w:trPr>
            <w:tc>
              <w:tcPr>
                <w:tcW w:w="2551" w:type="dxa"/>
                <w:shd w:val="clear" w:color="auto" w:fill="auto"/>
              </w:tcPr>
              <w:p w14:paraId="0A27CB09" w14:textId="77777777" w:rsidR="00487559" w:rsidRDefault="00487559">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111" w:type="dxa"/>
                <w:shd w:val="clear" w:color="auto" w:fill="auto"/>
              </w:tcPr>
              <w:p w14:paraId="33A4BDA9" w14:textId="77777777" w:rsidR="00487559" w:rsidRDefault="00487559">
                <w:pPr>
                  <w:tabs>
                    <w:tab w:val="right" w:pos="8838"/>
                  </w:tabs>
                  <w:ind w:left="-108" w:right="171"/>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María del Rosario Mejía Ayala</w:t>
                </w:r>
              </w:p>
              <w:p w14:paraId="520CC85F" w14:textId="77777777" w:rsidR="00487559" w:rsidRDefault="00487559">
                <w:pPr>
                  <w:tabs>
                    <w:tab w:val="right" w:pos="8838"/>
                  </w:tabs>
                  <w:ind w:left="-108" w:right="171"/>
                  <w:jc w:val="both"/>
                  <w:rPr>
                    <w:rFonts w:ascii="Palatino Linotype" w:eastAsia="Palatino Linotype" w:hAnsi="Palatino Linotype" w:cs="Palatino Linotype"/>
                    <w:b/>
                    <w:sz w:val="22"/>
                    <w:szCs w:val="22"/>
                  </w:rPr>
                </w:pPr>
              </w:p>
            </w:tc>
          </w:tr>
        </w:tbl>
        <w:p w14:paraId="0DF48837" w14:textId="77777777" w:rsidR="00487559" w:rsidRDefault="00487559">
          <w:pPr>
            <w:tabs>
              <w:tab w:val="right" w:pos="8838"/>
            </w:tabs>
            <w:ind w:left="-28"/>
            <w:jc w:val="both"/>
            <w:rPr>
              <w:rFonts w:ascii="Arial" w:eastAsia="Arial" w:hAnsi="Arial" w:cs="Arial"/>
              <w:b/>
              <w:sz w:val="22"/>
              <w:szCs w:val="22"/>
            </w:rPr>
          </w:pPr>
        </w:p>
      </w:tc>
    </w:tr>
  </w:tbl>
  <w:p w14:paraId="0245B66C" w14:textId="77777777" w:rsidR="00487559" w:rsidRDefault="006465FE">
    <w:pPr>
      <w:pBdr>
        <w:top w:val="nil"/>
        <w:left w:val="nil"/>
        <w:bottom w:val="nil"/>
        <w:right w:val="nil"/>
        <w:between w:val="nil"/>
      </w:pBdr>
      <w:tabs>
        <w:tab w:val="center" w:pos="4419"/>
        <w:tab w:val="right" w:pos="8838"/>
      </w:tabs>
      <w:rPr>
        <w:color w:val="000000"/>
        <w:sz w:val="14"/>
        <w:szCs w:val="14"/>
      </w:rPr>
    </w:pPr>
    <w:r>
      <w:rPr>
        <w:color w:val="000000"/>
        <w:sz w:val="14"/>
        <w:szCs w:val="14"/>
      </w:rPr>
      <w:pict w14:anchorId="01691B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7" type="#_x0000_t75" alt="" style="position:absolute;margin-left:-68.8pt;margin-top:-120.5pt;width:589.8pt;height:768pt;z-index:-251659776;mso-position-horizontal:absolute;mso-position-horizontal-relative:margin;mso-position-vertical:absolute;mso-position-vertical-relative:margin">
          <v:imagedata r:id="rId1" o:title="image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67731" w14:textId="77777777" w:rsidR="00487559" w:rsidRDefault="00487559">
    <w:pPr>
      <w:widowControl w:val="0"/>
      <w:pBdr>
        <w:top w:val="nil"/>
        <w:left w:val="nil"/>
        <w:bottom w:val="nil"/>
        <w:right w:val="nil"/>
        <w:between w:val="nil"/>
      </w:pBdr>
      <w:spacing w:line="276" w:lineRule="auto"/>
      <w:rPr>
        <w:color w:val="000000"/>
        <w:sz w:val="14"/>
        <w:szCs w:val="14"/>
      </w:rPr>
    </w:pPr>
  </w:p>
  <w:tbl>
    <w:tblPr>
      <w:tblStyle w:val="a3"/>
      <w:tblW w:w="9360" w:type="dxa"/>
      <w:tblInd w:w="0" w:type="dxa"/>
      <w:tblLayout w:type="fixed"/>
      <w:tblLook w:val="0400" w:firstRow="0" w:lastRow="0" w:firstColumn="0" w:lastColumn="0" w:noHBand="0" w:noVBand="1"/>
    </w:tblPr>
    <w:tblGrid>
      <w:gridCol w:w="2265"/>
      <w:gridCol w:w="7095"/>
    </w:tblGrid>
    <w:tr w:rsidR="00487559" w14:paraId="2535860D" w14:textId="77777777">
      <w:trPr>
        <w:trHeight w:val="1435"/>
      </w:trPr>
      <w:tc>
        <w:tcPr>
          <w:tcW w:w="2265" w:type="dxa"/>
          <w:shd w:val="clear" w:color="auto" w:fill="auto"/>
        </w:tcPr>
        <w:p w14:paraId="7C177F5E" w14:textId="77777777" w:rsidR="00487559" w:rsidRDefault="00487559">
          <w:pPr>
            <w:tabs>
              <w:tab w:val="right" w:pos="4273"/>
            </w:tabs>
            <w:rPr>
              <w:rFonts w:ascii="Garamond" w:eastAsia="Garamond" w:hAnsi="Garamond" w:cs="Garamond"/>
              <w:sz w:val="22"/>
              <w:szCs w:val="22"/>
            </w:rPr>
          </w:pPr>
        </w:p>
      </w:tc>
      <w:tc>
        <w:tcPr>
          <w:tcW w:w="7095" w:type="dxa"/>
          <w:shd w:val="clear" w:color="auto" w:fill="auto"/>
        </w:tcPr>
        <w:p w14:paraId="2C7E40FF" w14:textId="77777777" w:rsidR="00487559" w:rsidRDefault="00487559">
          <w:pPr>
            <w:widowControl w:val="0"/>
            <w:pBdr>
              <w:top w:val="nil"/>
              <w:left w:val="nil"/>
              <w:bottom w:val="nil"/>
              <w:right w:val="nil"/>
              <w:between w:val="nil"/>
            </w:pBdr>
            <w:spacing w:line="276" w:lineRule="auto"/>
            <w:rPr>
              <w:rFonts w:ascii="Garamond" w:eastAsia="Garamond" w:hAnsi="Garamond" w:cs="Garamond"/>
              <w:sz w:val="22"/>
              <w:szCs w:val="22"/>
            </w:rPr>
          </w:pPr>
        </w:p>
        <w:tbl>
          <w:tblPr>
            <w:tblStyle w:val="a4"/>
            <w:tblW w:w="6795" w:type="dxa"/>
            <w:tblInd w:w="40" w:type="dxa"/>
            <w:tblLayout w:type="fixed"/>
            <w:tblLook w:val="0400" w:firstRow="0" w:lastRow="0" w:firstColumn="0" w:lastColumn="0" w:noHBand="0" w:noVBand="1"/>
          </w:tblPr>
          <w:tblGrid>
            <w:gridCol w:w="3197"/>
            <w:gridCol w:w="3598"/>
          </w:tblGrid>
          <w:tr w:rsidR="00487559" w14:paraId="0D4F08F0" w14:textId="77777777">
            <w:trPr>
              <w:trHeight w:val="144"/>
            </w:trPr>
            <w:tc>
              <w:tcPr>
                <w:tcW w:w="3197" w:type="dxa"/>
                <w:shd w:val="clear" w:color="auto" w:fill="auto"/>
              </w:tcPr>
              <w:p w14:paraId="02903641" w14:textId="77777777" w:rsidR="00487559" w:rsidRDefault="00487559">
                <w:pPr>
                  <w:ind w:left="566" w:right="-204"/>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598" w:type="dxa"/>
                <w:shd w:val="clear" w:color="auto" w:fill="auto"/>
              </w:tcPr>
              <w:p w14:paraId="717E1741" w14:textId="77777777" w:rsidR="00487559" w:rsidRDefault="00487559">
                <w:pPr>
                  <w:ind w:left="-105" w:right="-815"/>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00063/INFOEM/IP/RR/2024</w:t>
                </w:r>
              </w:p>
            </w:tc>
          </w:tr>
          <w:tr w:rsidR="00487559" w14:paraId="279D9122" w14:textId="77777777">
            <w:trPr>
              <w:trHeight w:val="144"/>
            </w:trPr>
            <w:tc>
              <w:tcPr>
                <w:tcW w:w="3197" w:type="dxa"/>
                <w:shd w:val="clear" w:color="auto" w:fill="auto"/>
              </w:tcPr>
              <w:p w14:paraId="2C168E05" w14:textId="77777777" w:rsidR="00487559" w:rsidRDefault="00487559">
                <w:pPr>
                  <w:ind w:left="566" w:right="-204"/>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598" w:type="dxa"/>
                <w:shd w:val="clear" w:color="auto" w:fill="auto"/>
              </w:tcPr>
              <w:p w14:paraId="78531D72" w14:textId="1D18E2A1" w:rsidR="00487559" w:rsidRDefault="0058733C">
                <w:pPr>
                  <w:tabs>
                    <w:tab w:val="left" w:pos="3122"/>
                  </w:tabs>
                  <w:ind w:left="-105" w:right="-815"/>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XXX </w:t>
                </w:r>
                <w:proofErr w:type="spellStart"/>
                <w:r>
                  <w:rPr>
                    <w:rFonts w:ascii="Palatino Linotype" w:eastAsia="Palatino Linotype" w:hAnsi="Palatino Linotype" w:cs="Palatino Linotype"/>
                    <w:sz w:val="22"/>
                    <w:szCs w:val="22"/>
                  </w:rPr>
                  <w:t>XXX</w:t>
                </w:r>
                <w:proofErr w:type="spellEnd"/>
              </w:p>
            </w:tc>
          </w:tr>
          <w:tr w:rsidR="00487559" w14:paraId="2FC9417A" w14:textId="77777777">
            <w:trPr>
              <w:trHeight w:val="283"/>
            </w:trPr>
            <w:tc>
              <w:tcPr>
                <w:tcW w:w="3197" w:type="dxa"/>
                <w:shd w:val="clear" w:color="auto" w:fill="auto"/>
              </w:tcPr>
              <w:p w14:paraId="62D57C6C" w14:textId="77777777" w:rsidR="00487559" w:rsidRDefault="00487559">
                <w:pPr>
                  <w:ind w:left="566" w:right="-204"/>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598" w:type="dxa"/>
                <w:shd w:val="clear" w:color="auto" w:fill="auto"/>
              </w:tcPr>
              <w:p w14:paraId="3313287B" w14:textId="77777777" w:rsidR="00051F53" w:rsidRDefault="00487559">
                <w:pPr>
                  <w:tabs>
                    <w:tab w:val="left" w:pos="2834"/>
                  </w:tabs>
                  <w:ind w:left="-105" w:right="-815"/>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Ayuntamiento de Atizapán de </w:t>
                </w:r>
              </w:p>
              <w:p w14:paraId="0104CA15" w14:textId="77777777" w:rsidR="00487559" w:rsidRDefault="00487559">
                <w:pPr>
                  <w:tabs>
                    <w:tab w:val="left" w:pos="2834"/>
                  </w:tabs>
                  <w:ind w:left="-105" w:right="-815"/>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Zaragoza</w:t>
                </w:r>
              </w:p>
            </w:tc>
          </w:tr>
          <w:tr w:rsidR="00487559" w14:paraId="65E3FD63" w14:textId="77777777">
            <w:trPr>
              <w:trHeight w:val="283"/>
            </w:trPr>
            <w:tc>
              <w:tcPr>
                <w:tcW w:w="3197" w:type="dxa"/>
                <w:shd w:val="clear" w:color="auto" w:fill="auto"/>
              </w:tcPr>
              <w:p w14:paraId="56E1A17D" w14:textId="77777777" w:rsidR="00487559" w:rsidRDefault="00487559">
                <w:pPr>
                  <w:ind w:left="566" w:right="-204"/>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598" w:type="dxa"/>
                <w:shd w:val="clear" w:color="auto" w:fill="auto"/>
              </w:tcPr>
              <w:p w14:paraId="28FD1848" w14:textId="77777777" w:rsidR="00487559" w:rsidRDefault="00487559">
                <w:pPr>
                  <w:ind w:left="-105" w:right="-815"/>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María del Rosario Mejía Ayala</w:t>
                </w:r>
              </w:p>
              <w:p w14:paraId="1099587A" w14:textId="77777777" w:rsidR="00487559" w:rsidRDefault="00487559">
                <w:pPr>
                  <w:ind w:left="-105" w:right="-815"/>
                  <w:rPr>
                    <w:rFonts w:ascii="Palatino Linotype" w:eastAsia="Palatino Linotype" w:hAnsi="Palatino Linotype" w:cs="Palatino Linotype"/>
                    <w:b/>
                    <w:sz w:val="22"/>
                    <w:szCs w:val="22"/>
                  </w:rPr>
                </w:pPr>
              </w:p>
            </w:tc>
          </w:tr>
        </w:tbl>
        <w:p w14:paraId="767C9A39" w14:textId="77777777" w:rsidR="00487559" w:rsidRDefault="00487559">
          <w:pPr>
            <w:tabs>
              <w:tab w:val="right" w:pos="8838"/>
            </w:tabs>
            <w:ind w:left="-28"/>
            <w:jc w:val="both"/>
            <w:rPr>
              <w:rFonts w:ascii="Arial" w:eastAsia="Arial" w:hAnsi="Arial" w:cs="Arial"/>
              <w:b/>
              <w:sz w:val="22"/>
              <w:szCs w:val="22"/>
            </w:rPr>
          </w:pPr>
        </w:p>
      </w:tc>
    </w:tr>
  </w:tbl>
  <w:p w14:paraId="1164789E" w14:textId="77777777" w:rsidR="00487559" w:rsidRDefault="006465FE">
    <w:pPr>
      <w:pBdr>
        <w:top w:val="nil"/>
        <w:left w:val="nil"/>
        <w:bottom w:val="nil"/>
        <w:right w:val="nil"/>
        <w:between w:val="nil"/>
      </w:pBdr>
      <w:tabs>
        <w:tab w:val="center" w:pos="4419"/>
        <w:tab w:val="right" w:pos="8838"/>
      </w:tabs>
      <w:rPr>
        <w:color w:val="000000"/>
        <w:sz w:val="2"/>
        <w:szCs w:val="2"/>
      </w:rPr>
    </w:pPr>
    <w:r>
      <w:rPr>
        <w:color w:val="000000"/>
        <w:sz w:val="2"/>
        <w:szCs w:val="2"/>
      </w:rPr>
      <w:pict w14:anchorId="384602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6" type="#_x0000_t75" alt="" style="position:absolute;margin-left:-68.8pt;margin-top:-117.6pt;width:589.8pt;height:768pt;z-index:-251658752;mso-position-horizontal:absolute;mso-position-horizontal-relative:margin;mso-position-vertical:absolute;mso-position-vertical-relative:margin">
          <v:imagedata r:id="rId1" o:title="image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F7358"/>
    <w:multiLevelType w:val="hybridMultilevel"/>
    <w:tmpl w:val="73981E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3684F8F"/>
    <w:multiLevelType w:val="hybridMultilevel"/>
    <w:tmpl w:val="64462EF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A7B6BE5"/>
    <w:multiLevelType w:val="multilevel"/>
    <w:tmpl w:val="FAE604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B9F268D"/>
    <w:multiLevelType w:val="multilevel"/>
    <w:tmpl w:val="375E62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2B32D35"/>
    <w:multiLevelType w:val="multilevel"/>
    <w:tmpl w:val="1424F3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4317490"/>
    <w:multiLevelType w:val="hybridMultilevel"/>
    <w:tmpl w:val="9ABCAD30"/>
    <w:lvl w:ilvl="0" w:tplc="E6E6863C">
      <w:start w:val="1"/>
      <w:numFmt w:val="decimal"/>
      <w:lvlText w:val="%1."/>
      <w:lvlJc w:val="left"/>
      <w:pPr>
        <w:ind w:left="360" w:hanging="360"/>
      </w:pPr>
      <w:rPr>
        <w:rFonts w:ascii="Palatino Linotype" w:hAnsi="Palatino Linotype" w:hint="default"/>
        <w:b/>
        <w:i w:val="0"/>
        <w:sz w:val="24"/>
      </w:rPr>
    </w:lvl>
    <w:lvl w:ilvl="1" w:tplc="080A0019">
      <w:start w:val="1"/>
      <w:numFmt w:val="lowerLetter"/>
      <w:lvlText w:val="%2."/>
      <w:lvlJc w:val="left"/>
      <w:pPr>
        <w:ind w:left="1440" w:hanging="360"/>
      </w:pPr>
    </w:lvl>
    <w:lvl w:ilvl="2" w:tplc="9CEA342A">
      <w:start w:val="1"/>
      <w:numFmt w:val="upperLetter"/>
      <w:lvlText w:val="%3."/>
      <w:lvlJc w:val="left"/>
      <w:pPr>
        <w:ind w:left="2340" w:hanging="360"/>
      </w:pPr>
      <w:rPr>
        <w:rFonts w:cs="Arial" w:hint="default"/>
        <w:color w:val="000000" w:themeColor="text1"/>
        <w:sz w:val="24"/>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7777F6C"/>
    <w:multiLevelType w:val="multilevel"/>
    <w:tmpl w:val="5F3A889C"/>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9C63283"/>
    <w:multiLevelType w:val="multilevel"/>
    <w:tmpl w:val="ED9AE8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454E7230"/>
    <w:multiLevelType w:val="multilevel"/>
    <w:tmpl w:val="BA167B88"/>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9" w15:restartNumberingAfterBreak="0">
    <w:nsid w:val="55887C9D"/>
    <w:multiLevelType w:val="multilevel"/>
    <w:tmpl w:val="C78E47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602B190D"/>
    <w:multiLevelType w:val="hybridMultilevel"/>
    <w:tmpl w:val="5C50D392"/>
    <w:lvl w:ilvl="0" w:tplc="3EF48730">
      <w:start w:val="1"/>
      <w:numFmt w:val="decimal"/>
      <w:lvlText w:val="%1."/>
      <w:lvlJc w:val="left"/>
      <w:pPr>
        <w:ind w:left="360" w:hanging="360"/>
      </w:pPr>
      <w:rPr>
        <w:rFonts w:ascii="Palatino Linotype" w:hAnsi="Palatino Linotype" w:hint="default"/>
        <w:b/>
        <w:i w:val="0"/>
        <w:color w:val="auto"/>
        <w:sz w:val="24"/>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15:restartNumberingAfterBreak="0">
    <w:nsid w:val="7ABA0B70"/>
    <w:multiLevelType w:val="multilevel"/>
    <w:tmpl w:val="F1DAD87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16cid:durableId="45878133">
    <w:abstractNumId w:val="9"/>
  </w:num>
  <w:num w:numId="2" w16cid:durableId="102774707">
    <w:abstractNumId w:val="8"/>
  </w:num>
  <w:num w:numId="3" w16cid:durableId="1489247671">
    <w:abstractNumId w:val="7"/>
  </w:num>
  <w:num w:numId="4" w16cid:durableId="1621571381">
    <w:abstractNumId w:val="2"/>
  </w:num>
  <w:num w:numId="5" w16cid:durableId="1884904284">
    <w:abstractNumId w:val="4"/>
  </w:num>
  <w:num w:numId="6" w16cid:durableId="140854104">
    <w:abstractNumId w:val="11"/>
  </w:num>
  <w:num w:numId="7" w16cid:durableId="764157414">
    <w:abstractNumId w:val="6"/>
  </w:num>
  <w:num w:numId="8" w16cid:durableId="616134656">
    <w:abstractNumId w:val="3"/>
  </w:num>
  <w:num w:numId="9" w16cid:durableId="969172024">
    <w:abstractNumId w:val="1"/>
  </w:num>
  <w:num w:numId="10" w16cid:durableId="583563685">
    <w:abstractNumId w:val="0"/>
  </w:num>
  <w:num w:numId="11" w16cid:durableId="1706952812">
    <w:abstractNumId w:val="10"/>
  </w:num>
  <w:num w:numId="12" w16cid:durableId="145150997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5DAB"/>
    <w:rsid w:val="00051F53"/>
    <w:rsid w:val="00487559"/>
    <w:rsid w:val="0058733C"/>
    <w:rsid w:val="006465FE"/>
    <w:rsid w:val="007019C8"/>
    <w:rsid w:val="007F0D90"/>
    <w:rsid w:val="00885493"/>
    <w:rsid w:val="00922077"/>
    <w:rsid w:val="00C25DAB"/>
    <w:rsid w:val="00C91EF6"/>
    <w:rsid w:val="00CC5E7A"/>
    <w:rsid w:val="00D8235A"/>
    <w:rsid w:val="00E410D3"/>
    <w:rsid w:val="00EC227C"/>
    <w:rsid w:val="00EE252C"/>
    <w:rsid w:val="00F63CF7"/>
    <w:rsid w:val="00F940A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0614FB"/>
  <w15:docId w15:val="{CD5926FA-7AB9-492F-91E5-CBF1C5BC2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4461"/>
  </w:style>
  <w:style w:type="paragraph" w:styleId="Ttulo1">
    <w:name w:val="heading 1"/>
    <w:basedOn w:val="Normal"/>
    <w:next w:val="Normal"/>
    <w:link w:val="Ttulo1Car"/>
    <w:uiPriority w:val="9"/>
    <w:qFormat/>
    <w:rsid w:val="00B9446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customStyle="1" w:styleId="Ttulo1Car">
    <w:name w:val="Título 1 Car"/>
    <w:basedOn w:val="Fuentedeprrafopredeter"/>
    <w:link w:val="Ttulo1"/>
    <w:uiPriority w:val="9"/>
    <w:rsid w:val="00B94461"/>
    <w:rPr>
      <w:rFonts w:asciiTheme="majorHAnsi" w:eastAsiaTheme="majorEastAsia" w:hAnsiTheme="majorHAnsi" w:cstheme="majorBidi"/>
      <w:color w:val="2E74B5" w:themeColor="accent1" w:themeShade="BF"/>
      <w:sz w:val="32"/>
      <w:szCs w:val="32"/>
      <w:lang w:eastAsia="es-MX"/>
    </w:rPr>
  </w:style>
  <w:style w:type="paragraph" w:styleId="Encabezado">
    <w:name w:val="header"/>
    <w:basedOn w:val="Normal"/>
    <w:link w:val="EncabezadoCar"/>
    <w:uiPriority w:val="99"/>
    <w:unhideWhenUsed/>
    <w:rsid w:val="00B94461"/>
    <w:pPr>
      <w:tabs>
        <w:tab w:val="center" w:pos="4419"/>
        <w:tab w:val="right" w:pos="8838"/>
      </w:tabs>
    </w:pPr>
  </w:style>
  <w:style w:type="character" w:customStyle="1" w:styleId="EncabezadoCar">
    <w:name w:val="Encabezado Car"/>
    <w:basedOn w:val="Fuentedeprrafopredeter"/>
    <w:link w:val="Encabezado"/>
    <w:uiPriority w:val="99"/>
    <w:rsid w:val="00B94461"/>
    <w:rPr>
      <w:rFonts w:ascii="Times New Roman" w:eastAsia="Times New Roman" w:hAnsi="Times New Roman" w:cs="Times New Roman"/>
      <w:sz w:val="24"/>
      <w:szCs w:val="24"/>
      <w:lang w:eastAsia="es-MX"/>
    </w:rPr>
  </w:style>
  <w:style w:type="paragraph" w:styleId="Piedepgina">
    <w:name w:val="footer"/>
    <w:basedOn w:val="Normal"/>
    <w:link w:val="PiedepginaCar"/>
    <w:uiPriority w:val="99"/>
    <w:unhideWhenUsed/>
    <w:rsid w:val="00B94461"/>
    <w:pPr>
      <w:tabs>
        <w:tab w:val="center" w:pos="4419"/>
        <w:tab w:val="right" w:pos="8838"/>
      </w:tabs>
    </w:pPr>
  </w:style>
  <w:style w:type="character" w:customStyle="1" w:styleId="PiedepginaCar">
    <w:name w:val="Pie de página Car"/>
    <w:basedOn w:val="Fuentedeprrafopredeter"/>
    <w:link w:val="Piedepgina"/>
    <w:uiPriority w:val="99"/>
    <w:rsid w:val="00B94461"/>
    <w:rPr>
      <w:rFonts w:ascii="Times New Roman" w:eastAsia="Times New Roman" w:hAnsi="Times New Roman" w:cs="Times New Roman"/>
      <w:sz w:val="24"/>
      <w:szCs w:val="24"/>
      <w:lang w:eastAsia="es-MX"/>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B94461"/>
    <w:pPr>
      <w:ind w:left="720"/>
      <w:contextualSpacing/>
    </w:pPr>
    <w:rPr>
      <w:rFonts w:ascii="Century Gothic" w:hAnsi="Century Gothic"/>
      <w:sz w:val="22"/>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rsid w:val="00B94461"/>
    <w:rPr>
      <w:rFonts w:ascii="Century Gothic" w:eastAsia="Times New Roman" w:hAnsi="Century Gothic" w:cs="Times New Roman"/>
      <w:szCs w:val="24"/>
      <w:lang w:eastAsia="es-MX"/>
    </w:rPr>
  </w:style>
  <w:style w:type="character" w:styleId="Hipervnculo">
    <w:name w:val="Hyperlink"/>
    <w:aliases w:val="Hipervínculo1,Hipervínculo11,Hipervínculo12,Hipervínculo13,Hipervínculo14,Hipervínculo15"/>
    <w:uiPriority w:val="99"/>
    <w:unhideWhenUsed/>
    <w:rsid w:val="00B94461"/>
    <w:rPr>
      <w:color w:val="0563C1"/>
      <w:u w:val="singl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B94461"/>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B94461"/>
    <w:rPr>
      <w:sz w:val="20"/>
      <w:szCs w:val="20"/>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iPriority w:val="99"/>
    <w:unhideWhenUsed/>
    <w:qFormat/>
    <w:rsid w:val="00B94461"/>
    <w:rPr>
      <w:vertAlign w:val="superscript"/>
    </w:rPr>
  </w:style>
  <w:style w:type="table" w:styleId="Tablaconcuadrcula6concolores">
    <w:name w:val="Grid Table 6 Colorful"/>
    <w:basedOn w:val="Tablanormal"/>
    <w:uiPriority w:val="51"/>
    <w:rsid w:val="00803CD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saimex.org.mx/saimex/solicitud/downloadAttach/1984847.page" TargetMode="External"/><Relationship Id="rId13" Type="http://schemas.openxmlformats.org/officeDocument/2006/relationships/image" Target="media/image1.png"/><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saimex.org.mx/saimex/solicitud/downloadAttach/1999148.page" TargetMode="External"/><Relationship Id="rId17" Type="http://schemas.openxmlformats.org/officeDocument/2006/relationships/image" Target="media/image5.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aimex.org.mx/saimex/solicitud/downloadAttach/1999147.page"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footer" Target="footer2.xml"/><Relationship Id="rId10" Type="http://schemas.openxmlformats.org/officeDocument/2006/relationships/hyperlink" Target="https://saimex.org.mx/saimex/solicitud/downloadAttach/1984849.page"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aimex.org.mx/saimex/solicitud/downloadAttach/1984848.page" TargetMode="External"/><Relationship Id="rId14" Type="http://schemas.openxmlformats.org/officeDocument/2006/relationships/image" Target="media/image2.png"/><Relationship Id="rId22"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_rels/header2.xml.rels><?xml version="1.0" encoding="UTF-8" standalone="yes"?>
<Relationships xmlns="http://schemas.openxmlformats.org/package/2006/relationships"><Relationship Id="rId1" Type="http://schemas.openxmlformats.org/officeDocument/2006/relationships/image" Target="media/image7.jpeg"/></Relationships>
</file>

<file path=word/_rels/header3.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OUoP7jKjlKDduuotKC/VoP6rAcg==">CgMxLjAyCGguZ2pkZ3hzMgloLjMwajB6bGwyCWguMWZvYjl0ZTIJaC4zem55c2g3MgloLjJldDkycDAyCGgudHlqY3d0MgloLjNkeTZ2a20yCWguNGQzNG9nODIJaC4yczhleW8xMgloLjE3ZHA4dnU4AHIhMXgtS0ktVExPZXZrTzFIMDVuTjlySlpicjNWUW9DV1Mt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36</Pages>
  <Words>7885</Words>
  <Characters>43369</Characters>
  <Application>Microsoft Office Word</Application>
  <DocSecurity>0</DocSecurity>
  <Lines>361</Lines>
  <Paragraphs>102</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51152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INFOEM549</dc:creator>
  <cp:lastModifiedBy>inf03m612@outlook.com</cp:lastModifiedBy>
  <cp:revision>8</cp:revision>
  <cp:lastPrinted>2024-10-10T21:12:00Z</cp:lastPrinted>
  <dcterms:created xsi:type="dcterms:W3CDTF">2024-09-30T15:27:00Z</dcterms:created>
  <dcterms:modified xsi:type="dcterms:W3CDTF">2024-10-25T16:44:00Z</dcterms:modified>
</cp:coreProperties>
</file>