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50886" w14:textId="77777777" w:rsidR="00174CEF" w:rsidRPr="009D0264" w:rsidRDefault="0001360E">
      <w:pPr>
        <w:spacing w:before="240" w:after="240" w:line="360" w:lineRule="auto"/>
        <w:jc w:val="both"/>
        <w:rPr>
          <w:rFonts w:ascii="Palatino Linotype" w:eastAsia="Palatino Linotype" w:hAnsi="Palatino Linotype" w:cs="Palatino Linotype"/>
          <w:sz w:val="22"/>
          <w:szCs w:val="22"/>
        </w:rPr>
      </w:pPr>
      <w:bookmarkStart w:id="0" w:name="_heading=h.1fob9te" w:colFirst="0" w:colLast="0"/>
      <w:bookmarkEnd w:id="0"/>
      <w:r w:rsidRPr="009D0264">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9D0264">
        <w:rPr>
          <w:rFonts w:ascii="Palatino Linotype" w:eastAsia="Palatino Linotype" w:hAnsi="Palatino Linotype" w:cs="Palatino Linotype"/>
          <w:b/>
          <w:sz w:val="22"/>
          <w:szCs w:val="22"/>
        </w:rPr>
        <w:t>veinticinco de septiembre de dos mil veinticuatro</w:t>
      </w:r>
      <w:r w:rsidRPr="009D0264">
        <w:rPr>
          <w:rFonts w:ascii="Palatino Linotype" w:eastAsia="Palatino Linotype" w:hAnsi="Palatino Linotype" w:cs="Palatino Linotype"/>
          <w:sz w:val="22"/>
          <w:szCs w:val="22"/>
        </w:rPr>
        <w:t xml:space="preserve">. </w:t>
      </w:r>
    </w:p>
    <w:p w14:paraId="4544D625" w14:textId="286D5C5F" w:rsidR="00174CEF" w:rsidRPr="009D0264" w:rsidRDefault="0001360E">
      <w:pPr>
        <w:spacing w:before="240" w:after="240"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b/>
          <w:sz w:val="22"/>
          <w:szCs w:val="22"/>
        </w:rPr>
        <w:t>Visto</w:t>
      </w:r>
      <w:r w:rsidRPr="009D0264">
        <w:rPr>
          <w:rFonts w:ascii="Palatino Linotype" w:eastAsia="Palatino Linotype" w:hAnsi="Palatino Linotype" w:cs="Palatino Linotype"/>
          <w:sz w:val="22"/>
          <w:szCs w:val="22"/>
        </w:rPr>
        <w:t xml:space="preserve"> el expediente formado con motivo del recurso de revisión </w:t>
      </w:r>
      <w:r w:rsidRPr="009D0264">
        <w:rPr>
          <w:rFonts w:ascii="Palatino Linotype" w:eastAsia="Palatino Linotype" w:hAnsi="Palatino Linotype" w:cs="Palatino Linotype"/>
          <w:b/>
          <w:sz w:val="22"/>
          <w:szCs w:val="22"/>
        </w:rPr>
        <w:t>01924/INFOEM/IP/RR/2024</w:t>
      </w:r>
      <w:r w:rsidRPr="009D0264">
        <w:rPr>
          <w:rFonts w:ascii="Palatino Linotype" w:eastAsia="Palatino Linotype" w:hAnsi="Palatino Linotype" w:cs="Palatino Linotype"/>
          <w:sz w:val="22"/>
          <w:szCs w:val="22"/>
        </w:rPr>
        <w:t>, interpuesto por</w:t>
      </w:r>
      <w:r w:rsidRPr="009D0264">
        <w:rPr>
          <w:rFonts w:ascii="Palatino Linotype" w:eastAsia="Palatino Linotype" w:hAnsi="Palatino Linotype" w:cs="Palatino Linotype"/>
          <w:b/>
          <w:sz w:val="22"/>
          <w:szCs w:val="22"/>
        </w:rPr>
        <w:t xml:space="preserve"> </w:t>
      </w:r>
      <w:r w:rsidR="00662A7A" w:rsidRPr="00662A7A">
        <w:rPr>
          <w:rFonts w:ascii="Palatino Linotype" w:eastAsia="Palatino Linotype" w:hAnsi="Palatino Linotype" w:cs="Palatino Linotype"/>
          <w:b/>
          <w:sz w:val="22"/>
          <w:szCs w:val="22"/>
        </w:rPr>
        <w:t>XXXXXX XXX XXXXXXXXXX</w:t>
      </w:r>
      <w:r w:rsidRPr="009D0264">
        <w:rPr>
          <w:rFonts w:ascii="Palatino Linotype" w:eastAsia="Palatino Linotype" w:hAnsi="Palatino Linotype" w:cs="Palatino Linotype"/>
          <w:b/>
          <w:sz w:val="22"/>
          <w:szCs w:val="22"/>
        </w:rPr>
        <w:t>,</w:t>
      </w:r>
      <w:r w:rsidRPr="009D0264">
        <w:rPr>
          <w:rFonts w:ascii="Palatino Linotype" w:eastAsia="Palatino Linotype" w:hAnsi="Palatino Linotype" w:cs="Palatino Linotype"/>
          <w:sz w:val="22"/>
          <w:szCs w:val="22"/>
        </w:rPr>
        <w:t xml:space="preserve"> en lo sucesivo</w:t>
      </w:r>
      <w:r w:rsidRPr="009D0264">
        <w:rPr>
          <w:rFonts w:ascii="Palatino Linotype" w:eastAsia="Palatino Linotype" w:hAnsi="Palatino Linotype" w:cs="Palatino Linotype"/>
          <w:b/>
          <w:sz w:val="22"/>
          <w:szCs w:val="22"/>
        </w:rPr>
        <w:t xml:space="preserve"> la parte</w:t>
      </w:r>
      <w:r w:rsidRPr="009D0264">
        <w:rPr>
          <w:rFonts w:ascii="Palatino Linotype" w:eastAsia="Palatino Linotype" w:hAnsi="Palatino Linotype" w:cs="Palatino Linotype"/>
          <w:sz w:val="22"/>
          <w:szCs w:val="22"/>
        </w:rPr>
        <w:t xml:space="preserve"> </w:t>
      </w:r>
      <w:r w:rsidRPr="009D0264">
        <w:rPr>
          <w:rFonts w:ascii="Palatino Linotype" w:eastAsia="Palatino Linotype" w:hAnsi="Palatino Linotype" w:cs="Palatino Linotype"/>
          <w:b/>
          <w:sz w:val="22"/>
          <w:szCs w:val="22"/>
        </w:rPr>
        <w:t>Recurrente,</w:t>
      </w:r>
      <w:r w:rsidRPr="009D0264">
        <w:rPr>
          <w:rFonts w:ascii="Palatino Linotype" w:eastAsia="Palatino Linotype" w:hAnsi="Palatino Linotype" w:cs="Palatino Linotype"/>
          <w:sz w:val="22"/>
          <w:szCs w:val="22"/>
        </w:rPr>
        <w:t xml:space="preserve"> en contra de la respuesta a su solicitud por parte del</w:t>
      </w:r>
      <w:r w:rsidRPr="009D0264">
        <w:rPr>
          <w:rFonts w:ascii="Palatino Linotype" w:eastAsia="Palatino Linotype" w:hAnsi="Palatino Linotype" w:cs="Palatino Linotype"/>
          <w:b/>
          <w:sz w:val="22"/>
          <w:szCs w:val="22"/>
        </w:rPr>
        <w:t xml:space="preserve"> Ayuntamiento de Atizapán de Zaragoza, </w:t>
      </w:r>
      <w:r w:rsidRPr="009D0264">
        <w:rPr>
          <w:rFonts w:ascii="Palatino Linotype" w:eastAsia="Palatino Linotype" w:hAnsi="Palatino Linotype" w:cs="Palatino Linotype"/>
          <w:sz w:val="22"/>
          <w:szCs w:val="22"/>
        </w:rPr>
        <w:t xml:space="preserve">en lo sucesivo el </w:t>
      </w:r>
      <w:r w:rsidRPr="009D0264">
        <w:rPr>
          <w:rFonts w:ascii="Palatino Linotype" w:eastAsia="Palatino Linotype" w:hAnsi="Palatino Linotype" w:cs="Palatino Linotype"/>
          <w:b/>
          <w:sz w:val="22"/>
          <w:szCs w:val="22"/>
        </w:rPr>
        <w:t xml:space="preserve">Sujeto Obligado, </w:t>
      </w:r>
      <w:r w:rsidRPr="009D0264">
        <w:rPr>
          <w:rFonts w:ascii="Palatino Linotype" w:eastAsia="Palatino Linotype" w:hAnsi="Palatino Linotype" w:cs="Palatino Linotype"/>
          <w:sz w:val="22"/>
          <w:szCs w:val="22"/>
        </w:rPr>
        <w:t xml:space="preserve">se procede a dictar la presente resolución con base en los siguientes: </w:t>
      </w:r>
    </w:p>
    <w:p w14:paraId="7CD81EA2" w14:textId="77777777" w:rsidR="00174CEF" w:rsidRPr="009D0264" w:rsidRDefault="0001360E">
      <w:pPr>
        <w:spacing w:before="240" w:after="240" w:line="360" w:lineRule="auto"/>
        <w:jc w:val="center"/>
        <w:rPr>
          <w:rFonts w:ascii="Palatino Linotype" w:eastAsia="Palatino Linotype" w:hAnsi="Palatino Linotype" w:cs="Palatino Linotype"/>
          <w:b/>
          <w:sz w:val="22"/>
          <w:szCs w:val="22"/>
        </w:rPr>
      </w:pPr>
      <w:r w:rsidRPr="009D0264">
        <w:rPr>
          <w:rFonts w:ascii="Palatino Linotype" w:eastAsia="Palatino Linotype" w:hAnsi="Palatino Linotype" w:cs="Palatino Linotype"/>
          <w:b/>
          <w:sz w:val="22"/>
          <w:szCs w:val="22"/>
        </w:rPr>
        <w:t>I. A N T E C E D E N T E S</w:t>
      </w:r>
    </w:p>
    <w:p w14:paraId="0A1C1ADA" w14:textId="77777777" w:rsidR="00174CEF" w:rsidRPr="009D0264" w:rsidRDefault="0001360E">
      <w:pPr>
        <w:spacing w:before="240" w:after="240"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b/>
          <w:sz w:val="22"/>
          <w:szCs w:val="22"/>
        </w:rPr>
        <w:t>1. Solicitud de acceso a la información.</w:t>
      </w:r>
      <w:r w:rsidRPr="009D0264">
        <w:rPr>
          <w:rFonts w:ascii="Palatino Linotype" w:eastAsia="Palatino Linotype" w:hAnsi="Palatino Linotype" w:cs="Palatino Linotype"/>
          <w:sz w:val="22"/>
          <w:szCs w:val="22"/>
        </w:rPr>
        <w:t xml:space="preserve"> El </w:t>
      </w:r>
      <w:r w:rsidRPr="009D0264">
        <w:rPr>
          <w:rFonts w:ascii="Palatino Linotype" w:eastAsia="Palatino Linotype" w:hAnsi="Palatino Linotype" w:cs="Palatino Linotype"/>
          <w:b/>
          <w:sz w:val="22"/>
          <w:szCs w:val="22"/>
        </w:rPr>
        <w:t>cuatro de marzo de</w:t>
      </w:r>
      <w:r w:rsidRPr="009D0264">
        <w:rPr>
          <w:rFonts w:ascii="Palatino Linotype" w:eastAsia="Palatino Linotype" w:hAnsi="Palatino Linotype" w:cs="Palatino Linotype"/>
          <w:sz w:val="22"/>
          <w:szCs w:val="22"/>
        </w:rPr>
        <w:t xml:space="preserve"> </w:t>
      </w:r>
      <w:r w:rsidRPr="009D0264">
        <w:rPr>
          <w:rFonts w:ascii="Palatino Linotype" w:eastAsia="Palatino Linotype" w:hAnsi="Palatino Linotype" w:cs="Palatino Linotype"/>
          <w:b/>
          <w:sz w:val="22"/>
          <w:szCs w:val="22"/>
        </w:rPr>
        <w:t>dos mil veinticuatro,</w:t>
      </w:r>
      <w:r w:rsidRPr="009D0264">
        <w:rPr>
          <w:rFonts w:ascii="Palatino Linotype" w:eastAsia="Palatino Linotype" w:hAnsi="Palatino Linotype" w:cs="Palatino Linotype"/>
          <w:sz w:val="22"/>
          <w:szCs w:val="22"/>
        </w:rPr>
        <w:t xml:space="preserve"> </w:t>
      </w:r>
      <w:r w:rsidRPr="009D0264">
        <w:rPr>
          <w:rFonts w:ascii="Palatino Linotype" w:eastAsia="Palatino Linotype" w:hAnsi="Palatino Linotype" w:cs="Palatino Linotype"/>
          <w:b/>
          <w:sz w:val="22"/>
          <w:szCs w:val="22"/>
        </w:rPr>
        <w:t>la parte</w:t>
      </w:r>
      <w:r w:rsidRPr="009D0264">
        <w:rPr>
          <w:rFonts w:ascii="Palatino Linotype" w:eastAsia="Palatino Linotype" w:hAnsi="Palatino Linotype" w:cs="Palatino Linotype"/>
          <w:sz w:val="22"/>
          <w:szCs w:val="22"/>
        </w:rPr>
        <w:t xml:space="preserve"> </w:t>
      </w:r>
      <w:r w:rsidRPr="009D0264">
        <w:rPr>
          <w:rFonts w:ascii="Palatino Linotype" w:eastAsia="Palatino Linotype" w:hAnsi="Palatino Linotype" w:cs="Palatino Linotype"/>
          <w:b/>
          <w:sz w:val="22"/>
          <w:szCs w:val="22"/>
        </w:rPr>
        <w:t xml:space="preserve">Recurrente </w:t>
      </w:r>
      <w:r w:rsidRPr="009D0264">
        <w:rPr>
          <w:rFonts w:ascii="Palatino Linotype" w:eastAsia="Palatino Linotype" w:hAnsi="Palatino Linotype" w:cs="Palatino Linotype"/>
          <w:sz w:val="22"/>
          <w:szCs w:val="22"/>
        </w:rPr>
        <w:t xml:space="preserve">presentó, a través del Sistema de Acceso a la Información Mexiquense, en lo subsecuente el </w:t>
      </w:r>
      <w:r w:rsidRPr="009D0264">
        <w:rPr>
          <w:rFonts w:ascii="Palatino Linotype" w:eastAsia="Palatino Linotype" w:hAnsi="Palatino Linotype" w:cs="Palatino Linotype"/>
          <w:b/>
          <w:sz w:val="22"/>
          <w:szCs w:val="22"/>
        </w:rPr>
        <w:t>SAIMEX,</w:t>
      </w:r>
      <w:r w:rsidRPr="009D0264">
        <w:rPr>
          <w:rFonts w:ascii="Palatino Linotype" w:eastAsia="Palatino Linotype" w:hAnsi="Palatino Linotype" w:cs="Palatino Linotype"/>
          <w:sz w:val="22"/>
          <w:szCs w:val="22"/>
        </w:rPr>
        <w:t xml:space="preserve"> ante el </w:t>
      </w:r>
      <w:r w:rsidRPr="009D0264">
        <w:rPr>
          <w:rFonts w:ascii="Palatino Linotype" w:eastAsia="Palatino Linotype" w:hAnsi="Palatino Linotype" w:cs="Palatino Linotype"/>
          <w:b/>
          <w:sz w:val="22"/>
          <w:szCs w:val="22"/>
        </w:rPr>
        <w:t>Sujeto Obligado</w:t>
      </w:r>
      <w:r w:rsidRPr="009D0264">
        <w:rPr>
          <w:rFonts w:ascii="Palatino Linotype" w:eastAsia="Palatino Linotype" w:hAnsi="Palatino Linotype" w:cs="Palatino Linotype"/>
          <w:sz w:val="22"/>
          <w:szCs w:val="22"/>
        </w:rPr>
        <w:t>, la solicitud de acceso a la información pública, a la que se le asignó el número</w:t>
      </w:r>
      <w:r w:rsidRPr="009D0264">
        <w:t xml:space="preserve"> </w:t>
      </w:r>
      <w:r w:rsidRPr="009D0264">
        <w:rPr>
          <w:rFonts w:ascii="Palatino Linotype" w:eastAsia="Palatino Linotype" w:hAnsi="Palatino Linotype" w:cs="Palatino Linotype"/>
          <w:b/>
          <w:sz w:val="22"/>
          <w:szCs w:val="22"/>
        </w:rPr>
        <w:t xml:space="preserve">00088/ATIZARA/IP/2024, </w:t>
      </w:r>
      <w:r w:rsidRPr="009D0264">
        <w:rPr>
          <w:rFonts w:ascii="Palatino Linotype" w:eastAsia="Palatino Linotype" w:hAnsi="Palatino Linotype" w:cs="Palatino Linotype"/>
          <w:sz w:val="22"/>
          <w:szCs w:val="22"/>
        </w:rPr>
        <w:t xml:space="preserve">mediante la cual requirió la información siguiente: </w:t>
      </w:r>
    </w:p>
    <w:p w14:paraId="733EC32E" w14:textId="77777777" w:rsidR="00174CEF" w:rsidRPr="009D0264" w:rsidRDefault="0001360E">
      <w:pPr>
        <w:spacing w:before="240" w:after="240"/>
        <w:ind w:left="567" w:right="902"/>
        <w:jc w:val="both"/>
        <w:rPr>
          <w:rFonts w:ascii="Palatino Linotype" w:eastAsia="Palatino Linotype" w:hAnsi="Palatino Linotype" w:cs="Palatino Linotype"/>
          <w:i/>
          <w:sz w:val="22"/>
          <w:szCs w:val="22"/>
        </w:rPr>
      </w:pPr>
      <w:bookmarkStart w:id="1" w:name="_heading=h.gjdgxs" w:colFirst="0" w:colLast="0"/>
      <w:bookmarkEnd w:id="1"/>
      <w:r w:rsidRPr="009D0264">
        <w:rPr>
          <w:rFonts w:ascii="Palatino Linotype" w:eastAsia="Palatino Linotype" w:hAnsi="Palatino Linotype" w:cs="Palatino Linotype"/>
          <w:i/>
          <w:sz w:val="22"/>
          <w:szCs w:val="22"/>
        </w:rPr>
        <w:t xml:space="preserve">“solicito evidencia documental de las amortizaciones realizadas en la cuenta 6000 “Inversión Pública del ejercicio 2022, por concepto del pago de anticipos de 18 obras públicas” (Sic) </w:t>
      </w:r>
    </w:p>
    <w:p w14:paraId="49D2BF6F" w14:textId="77777777" w:rsidR="00174CEF" w:rsidRPr="009D0264" w:rsidRDefault="0001360E">
      <w:pPr>
        <w:spacing w:line="360" w:lineRule="auto"/>
        <w:ind w:right="902"/>
        <w:rPr>
          <w:rFonts w:ascii="Palatino Linotype" w:eastAsia="Palatino Linotype" w:hAnsi="Palatino Linotype" w:cs="Palatino Linotype"/>
          <w:b/>
          <w:sz w:val="22"/>
          <w:szCs w:val="22"/>
        </w:rPr>
      </w:pPr>
      <w:r w:rsidRPr="009D0264">
        <w:rPr>
          <w:rFonts w:ascii="Palatino Linotype" w:eastAsia="Palatino Linotype" w:hAnsi="Palatino Linotype" w:cs="Palatino Linotype"/>
          <w:b/>
          <w:sz w:val="22"/>
          <w:szCs w:val="22"/>
        </w:rPr>
        <w:t>Modalidad de Entrega:</w:t>
      </w:r>
      <w:r w:rsidRPr="009D0264">
        <w:rPr>
          <w:rFonts w:ascii="Palatino Linotype" w:eastAsia="Palatino Linotype" w:hAnsi="Palatino Linotype" w:cs="Palatino Linotype"/>
          <w:sz w:val="22"/>
          <w:szCs w:val="22"/>
        </w:rPr>
        <w:t xml:space="preserve"> a través </w:t>
      </w:r>
      <w:r w:rsidRPr="009D0264">
        <w:rPr>
          <w:rFonts w:ascii="Palatino Linotype" w:eastAsia="Palatino Linotype" w:hAnsi="Palatino Linotype" w:cs="Palatino Linotype"/>
          <w:b/>
          <w:sz w:val="22"/>
          <w:szCs w:val="22"/>
        </w:rPr>
        <w:t xml:space="preserve">de SAIMEX </w:t>
      </w:r>
    </w:p>
    <w:p w14:paraId="3506EBC1" w14:textId="77777777" w:rsidR="00174CEF" w:rsidRPr="009D0264" w:rsidRDefault="0001360E">
      <w:pPr>
        <w:numPr>
          <w:ilvl w:val="0"/>
          <w:numId w:val="6"/>
        </w:numPr>
        <w:pBdr>
          <w:top w:val="nil"/>
          <w:left w:val="nil"/>
          <w:bottom w:val="nil"/>
          <w:right w:val="nil"/>
          <w:between w:val="nil"/>
        </w:pBdr>
        <w:tabs>
          <w:tab w:val="left" w:pos="142"/>
          <w:tab w:val="left" w:pos="284"/>
        </w:tabs>
        <w:spacing w:before="240" w:after="240" w:line="360" w:lineRule="auto"/>
        <w:ind w:left="0" w:right="49" w:firstLine="0"/>
        <w:jc w:val="both"/>
        <w:rPr>
          <w:rFonts w:ascii="Palatino Linotype" w:eastAsia="Palatino Linotype" w:hAnsi="Palatino Linotype" w:cs="Palatino Linotype"/>
          <w:b/>
          <w:sz w:val="22"/>
          <w:szCs w:val="22"/>
        </w:rPr>
      </w:pPr>
      <w:r w:rsidRPr="009D0264">
        <w:rPr>
          <w:rFonts w:ascii="Palatino Linotype" w:eastAsia="Palatino Linotype" w:hAnsi="Palatino Linotype" w:cs="Palatino Linotype"/>
          <w:b/>
          <w:sz w:val="22"/>
          <w:szCs w:val="22"/>
        </w:rPr>
        <w:t xml:space="preserve">Prórroga. </w:t>
      </w:r>
      <w:r w:rsidRPr="009D0264">
        <w:rPr>
          <w:rFonts w:ascii="Palatino Linotype" w:eastAsia="Palatino Linotype" w:hAnsi="Palatino Linotype" w:cs="Palatino Linotype"/>
          <w:sz w:val="22"/>
          <w:szCs w:val="22"/>
        </w:rPr>
        <w:t xml:space="preserve">El </w:t>
      </w:r>
      <w:r w:rsidRPr="009D0264">
        <w:rPr>
          <w:rFonts w:ascii="Palatino Linotype" w:eastAsia="Palatino Linotype" w:hAnsi="Palatino Linotype" w:cs="Palatino Linotype"/>
          <w:b/>
          <w:sz w:val="22"/>
          <w:szCs w:val="22"/>
        </w:rPr>
        <w:t xml:space="preserve">veintidós de marzo de dos mil veinticuatro, </w:t>
      </w:r>
      <w:r w:rsidRPr="009D0264">
        <w:rPr>
          <w:rFonts w:ascii="Palatino Linotype" w:eastAsia="Palatino Linotype" w:hAnsi="Palatino Linotype" w:cs="Palatino Linotype"/>
          <w:sz w:val="22"/>
          <w:szCs w:val="22"/>
        </w:rPr>
        <w:t xml:space="preserve">el </w:t>
      </w:r>
      <w:r w:rsidRPr="009D0264">
        <w:rPr>
          <w:rFonts w:ascii="Palatino Linotype" w:eastAsia="Palatino Linotype" w:hAnsi="Palatino Linotype" w:cs="Palatino Linotype"/>
          <w:b/>
          <w:sz w:val="22"/>
          <w:szCs w:val="22"/>
        </w:rPr>
        <w:t xml:space="preserve">Sujeto Obligado </w:t>
      </w:r>
      <w:r w:rsidRPr="009D0264">
        <w:rPr>
          <w:rFonts w:ascii="Palatino Linotype" w:eastAsia="Palatino Linotype" w:hAnsi="Palatino Linotype" w:cs="Palatino Linotype"/>
          <w:sz w:val="22"/>
          <w:szCs w:val="22"/>
        </w:rPr>
        <w:t xml:space="preserve">informó que el plazo de quince días hábiles para atender la solicitud de mérito fue prorrogado por siete días más en virtud de las siguientes razones: </w:t>
      </w:r>
    </w:p>
    <w:p w14:paraId="658F0A33" w14:textId="77777777" w:rsidR="00174CEF" w:rsidRPr="009D0264" w:rsidRDefault="0001360E">
      <w:pPr>
        <w:spacing w:before="240" w:after="240" w:line="276" w:lineRule="auto"/>
        <w:ind w:left="567" w:right="701"/>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i/>
          <w:sz w:val="22"/>
          <w:szCs w:val="22"/>
        </w:rPr>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B87447B" w14:textId="77777777" w:rsidR="00174CEF" w:rsidRPr="009D0264" w:rsidRDefault="0001360E">
      <w:pPr>
        <w:spacing w:before="240" w:after="240" w:line="276" w:lineRule="auto"/>
        <w:ind w:left="567" w:right="701"/>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solicita la prórroga para la entrega de la información, de la solicitud con número de folio 00088/ATIZARA/IP/2024, ingresada a través del Sistema de Acceso a la Información Mexiquense SAIMEX, por lo que resulta necesaria la ampliación de plazo legal para la correcta atención de dicha solicitud. Sin otro particular por el momento, le reitero mi consideración. ATENTAMENTE ING. ARQ. EDGAR DAVID VÁZQUEZ MOLINA DIRECTOR GENERAL DE OBRAS PÚBLICAS.” (Sic)</w:t>
      </w:r>
    </w:p>
    <w:p w14:paraId="4F5B097C"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De esta manera, como refiere el </w:t>
      </w:r>
      <w:r w:rsidRPr="009D0264">
        <w:rPr>
          <w:rFonts w:ascii="Palatino Linotype" w:eastAsia="Palatino Linotype" w:hAnsi="Palatino Linotype" w:cs="Palatino Linotype"/>
          <w:b/>
          <w:sz w:val="22"/>
          <w:szCs w:val="22"/>
        </w:rPr>
        <w:t>Sujeto Obligado</w:t>
      </w:r>
      <w:r w:rsidRPr="009D0264">
        <w:rPr>
          <w:rFonts w:ascii="Palatino Linotype" w:eastAsia="Palatino Linotype" w:hAnsi="Palatino Linotype" w:cs="Palatino Linotype"/>
          <w:sz w:val="22"/>
          <w:szCs w:val="22"/>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w:t>
      </w:r>
      <w:r w:rsidRPr="009D0264">
        <w:rPr>
          <w:rFonts w:ascii="Palatino Linotype" w:eastAsia="Palatino Linotype" w:hAnsi="Palatino Linotype" w:cs="Palatino Linotype"/>
          <w:b/>
          <w:sz w:val="22"/>
          <w:szCs w:val="22"/>
        </w:rPr>
        <w:t>NO se observaron las formalidades que establece la Ley de la materia</w:t>
      </w:r>
      <w:r w:rsidRPr="009D0264">
        <w:rPr>
          <w:rFonts w:ascii="Palatino Linotype" w:eastAsia="Palatino Linotype" w:hAnsi="Palatino Linotype" w:cs="Palatino Linotype"/>
          <w:sz w:val="22"/>
          <w:szCs w:val="22"/>
        </w:rPr>
        <w:t>, pues no se anexó el Acuerdo del Comité de Transparencia de dicho ente público, mediante el cual se aprobara la ampliación del plazo para dar atención a la solicitud de información.</w:t>
      </w:r>
    </w:p>
    <w:p w14:paraId="7287BBFA" w14:textId="77777777" w:rsidR="00174CEF" w:rsidRPr="009D0264" w:rsidRDefault="00174CEF">
      <w:pPr>
        <w:spacing w:line="360" w:lineRule="auto"/>
        <w:ind w:right="902"/>
        <w:rPr>
          <w:rFonts w:ascii="Palatino Linotype" w:eastAsia="Palatino Linotype" w:hAnsi="Palatino Linotype" w:cs="Palatino Linotype"/>
          <w:sz w:val="22"/>
          <w:szCs w:val="22"/>
        </w:rPr>
      </w:pPr>
    </w:p>
    <w:p w14:paraId="5C434F2B" w14:textId="77777777" w:rsidR="00174CEF" w:rsidRPr="009D0264" w:rsidRDefault="0001360E">
      <w:pPr>
        <w:spacing w:line="360" w:lineRule="auto"/>
        <w:jc w:val="both"/>
        <w:rPr>
          <w:rFonts w:ascii="Palatino Linotype" w:eastAsia="Palatino Linotype" w:hAnsi="Palatino Linotype" w:cs="Palatino Linotype"/>
          <w:b/>
          <w:sz w:val="22"/>
          <w:szCs w:val="22"/>
        </w:rPr>
      </w:pPr>
      <w:bookmarkStart w:id="2" w:name="_heading=h.3dy6vkm" w:colFirst="0" w:colLast="0"/>
      <w:bookmarkEnd w:id="2"/>
      <w:r w:rsidRPr="009D0264">
        <w:rPr>
          <w:rFonts w:ascii="Palatino Linotype" w:eastAsia="Palatino Linotype" w:hAnsi="Palatino Linotype" w:cs="Palatino Linotype"/>
          <w:b/>
          <w:sz w:val="22"/>
          <w:szCs w:val="22"/>
        </w:rPr>
        <w:t xml:space="preserve">3. Respuesta. </w:t>
      </w:r>
      <w:r w:rsidRPr="009D0264">
        <w:rPr>
          <w:rFonts w:ascii="Palatino Linotype" w:eastAsia="Palatino Linotype" w:hAnsi="Palatino Linotype" w:cs="Palatino Linotype"/>
          <w:sz w:val="22"/>
          <w:szCs w:val="22"/>
        </w:rPr>
        <w:t xml:space="preserve">El </w:t>
      </w:r>
      <w:r w:rsidRPr="009D0264">
        <w:rPr>
          <w:rFonts w:ascii="Palatino Linotype" w:eastAsia="Palatino Linotype" w:hAnsi="Palatino Linotype" w:cs="Palatino Linotype"/>
          <w:b/>
          <w:sz w:val="22"/>
          <w:szCs w:val="22"/>
        </w:rPr>
        <w:t>once de abril de dos mil veinticuatro</w:t>
      </w:r>
      <w:r w:rsidRPr="009D0264">
        <w:rPr>
          <w:rFonts w:ascii="Palatino Linotype" w:eastAsia="Palatino Linotype" w:hAnsi="Palatino Linotype" w:cs="Palatino Linotype"/>
          <w:sz w:val="22"/>
          <w:szCs w:val="22"/>
        </w:rPr>
        <w:t xml:space="preserve">, el </w:t>
      </w:r>
      <w:r w:rsidRPr="009D0264">
        <w:rPr>
          <w:rFonts w:ascii="Palatino Linotype" w:eastAsia="Palatino Linotype" w:hAnsi="Palatino Linotype" w:cs="Palatino Linotype"/>
          <w:b/>
          <w:sz w:val="22"/>
          <w:szCs w:val="22"/>
        </w:rPr>
        <w:t xml:space="preserve">Sujeto Obligado </w:t>
      </w:r>
      <w:r w:rsidRPr="009D0264">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1D410D73" w14:textId="77777777" w:rsidR="00174CEF" w:rsidRPr="009D0264" w:rsidRDefault="0001360E">
      <w:pPr>
        <w:spacing w:before="240" w:after="240"/>
        <w:ind w:left="567" w:right="902"/>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i/>
          <w:sz w:val="22"/>
          <w:szCs w:val="22"/>
        </w:rPr>
        <w:t xml:space="preserve">“En atención a la solicitud de información que nos ocupa, se informa lo siguiente: (se anexa respuesta), así como el Acuerdo-15 CT/IV-E/08-04-24. SIN MÁS POR EL </w:t>
      </w:r>
      <w:r w:rsidRPr="009D0264">
        <w:rPr>
          <w:rFonts w:ascii="Palatino Linotype" w:eastAsia="Palatino Linotype" w:hAnsi="Palatino Linotype" w:cs="Palatino Linotype"/>
          <w:i/>
          <w:sz w:val="22"/>
          <w:szCs w:val="22"/>
        </w:rPr>
        <w:lastRenderedPageBreak/>
        <w:t>MOMENTO NOS LA UNIDA DE TRANSPARENCIA SE PONE A SUS ORDENES PARA CUALQUIER DUDA O ACLARACIÓN AL 55-3622-2740.” (Sic)</w:t>
      </w:r>
    </w:p>
    <w:p w14:paraId="63ADACAC" w14:textId="77777777" w:rsidR="00174CEF" w:rsidRPr="009D0264" w:rsidRDefault="0001360E">
      <w:pPr>
        <w:spacing w:before="240" w:after="240"/>
        <w:ind w:left="567" w:right="902"/>
        <w:jc w:val="both"/>
        <w:rPr>
          <w:rFonts w:ascii="Palatino Linotype" w:eastAsia="Palatino Linotype" w:hAnsi="Palatino Linotype" w:cs="Palatino Linotype"/>
          <w:b/>
          <w:sz w:val="22"/>
          <w:szCs w:val="22"/>
        </w:rPr>
      </w:pPr>
      <w:r w:rsidRPr="009D0264">
        <w:rPr>
          <w:rFonts w:ascii="Palatino Linotype" w:eastAsia="Palatino Linotype" w:hAnsi="Palatino Linotype" w:cs="Palatino Linotype"/>
          <w:b/>
          <w:sz w:val="22"/>
          <w:szCs w:val="22"/>
        </w:rPr>
        <w:t>Archivos adjuntos:</w:t>
      </w:r>
    </w:p>
    <w:p w14:paraId="18C62FA8" w14:textId="77777777" w:rsidR="00174CEF" w:rsidRPr="009D0264" w:rsidRDefault="0001360E">
      <w:pPr>
        <w:numPr>
          <w:ilvl w:val="0"/>
          <w:numId w:val="7"/>
        </w:numPr>
        <w:pBdr>
          <w:top w:val="nil"/>
          <w:left w:val="nil"/>
          <w:bottom w:val="nil"/>
          <w:right w:val="nil"/>
          <w:between w:val="nil"/>
        </w:pBdr>
        <w:spacing w:before="240"/>
        <w:ind w:right="902"/>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b/>
          <w:i/>
          <w:sz w:val="22"/>
          <w:szCs w:val="22"/>
        </w:rPr>
        <w:t>Solic. 88.pdf</w:t>
      </w:r>
      <w:r w:rsidRPr="009D0264">
        <w:rPr>
          <w:rFonts w:ascii="Palatino Linotype" w:eastAsia="Palatino Linotype" w:hAnsi="Palatino Linotype" w:cs="Palatino Linotype"/>
          <w:sz w:val="22"/>
          <w:szCs w:val="22"/>
        </w:rPr>
        <w:t>: Oficio del nueve de abril de dos mil veinticuatro, a través del cual el Director General de Obras Públicas indicó que la información requerida no se podía proporcionar, en virtud de que la misma se encontraba clasificada como reservada, ya que los expedientes únicos de obra pública del ejercicio fiscal 2022 se encuentran sujetos a Auditoría por el Órgano Fiscalizador del OSFEM; y, que ello se sustenta en el punto 18 del orden del día, en el acuerdo 15 CT/VI-E/08-04-2024, emitido en la Cuarta Sesión Ordinaria celebrada el 08 de abril de 2024 en apego al principio de legalidad y bajo la aplicación de prueba de daño.</w:t>
      </w:r>
    </w:p>
    <w:p w14:paraId="061F0C76" w14:textId="77777777" w:rsidR="00174CEF" w:rsidRPr="009D0264" w:rsidRDefault="00174CEF">
      <w:pPr>
        <w:pBdr>
          <w:top w:val="nil"/>
          <w:left w:val="nil"/>
          <w:bottom w:val="nil"/>
          <w:right w:val="nil"/>
          <w:between w:val="nil"/>
        </w:pBdr>
        <w:ind w:left="927" w:right="902"/>
        <w:jc w:val="both"/>
        <w:rPr>
          <w:rFonts w:ascii="Palatino Linotype" w:eastAsia="Palatino Linotype" w:hAnsi="Palatino Linotype" w:cs="Palatino Linotype"/>
          <w:sz w:val="22"/>
          <w:szCs w:val="22"/>
        </w:rPr>
      </w:pPr>
    </w:p>
    <w:p w14:paraId="702DC8D5" w14:textId="77777777" w:rsidR="00174CEF" w:rsidRPr="009D0264" w:rsidRDefault="0001360E">
      <w:pPr>
        <w:numPr>
          <w:ilvl w:val="0"/>
          <w:numId w:val="7"/>
        </w:numPr>
        <w:pBdr>
          <w:top w:val="nil"/>
          <w:left w:val="nil"/>
          <w:bottom w:val="nil"/>
          <w:right w:val="nil"/>
          <w:between w:val="nil"/>
        </w:pBdr>
        <w:spacing w:after="240"/>
        <w:ind w:right="902"/>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b/>
          <w:i/>
          <w:sz w:val="22"/>
          <w:szCs w:val="22"/>
        </w:rPr>
        <w:t>Acuerdo Solic. 88.pdf</w:t>
      </w:r>
      <w:r w:rsidRPr="009D0264">
        <w:rPr>
          <w:rFonts w:ascii="Palatino Linotype" w:eastAsia="Palatino Linotype" w:hAnsi="Palatino Linotype" w:cs="Palatino Linotype"/>
          <w:sz w:val="22"/>
          <w:szCs w:val="22"/>
        </w:rPr>
        <w:t>: Acuerdo-15 CT/VI-E/08-04-2024, referido al punto 18 del orden del día, de la Cuarta Sesión Ordinaria celebrada el 08 de abril de 2024, donde se confirma el acuerdo de clasificación de información en su modalidad de reservada por un periodo de dos años, o hasta que concluya y se resuelva sobre las actividades de auditoría que instrumenta el OSFEM de las documentales contenidas en los expedientes de las obras públicas del ejercicio fiscal 2022, correspondientes a los recursos autorizados en el programa anual de obra pública, por actualizarse el supuesto previsto en el artículo 140, fracción V, apartado 1 de la Ley de Transparencia Local.</w:t>
      </w:r>
    </w:p>
    <w:p w14:paraId="277E7589" w14:textId="77777777" w:rsidR="00174CEF" w:rsidRPr="009D0264" w:rsidRDefault="0001360E">
      <w:pPr>
        <w:spacing w:line="360" w:lineRule="auto"/>
        <w:ind w:right="49"/>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b/>
          <w:sz w:val="22"/>
          <w:szCs w:val="22"/>
        </w:rPr>
        <w:t xml:space="preserve">4. Interposición del recurso de revisión. </w:t>
      </w:r>
      <w:r w:rsidRPr="009D0264">
        <w:rPr>
          <w:rFonts w:ascii="Palatino Linotype" w:eastAsia="Palatino Linotype" w:hAnsi="Palatino Linotype" w:cs="Palatino Linotype"/>
          <w:sz w:val="22"/>
          <w:szCs w:val="22"/>
        </w:rPr>
        <w:t xml:space="preserve">Inconforme con los términos de la respuesta emitida por parte del </w:t>
      </w:r>
      <w:r w:rsidRPr="009D0264">
        <w:rPr>
          <w:rFonts w:ascii="Palatino Linotype" w:eastAsia="Palatino Linotype" w:hAnsi="Palatino Linotype" w:cs="Palatino Linotype"/>
          <w:b/>
          <w:sz w:val="22"/>
          <w:szCs w:val="22"/>
        </w:rPr>
        <w:t>Sujeto Obligado</w:t>
      </w:r>
      <w:r w:rsidRPr="009D0264">
        <w:rPr>
          <w:rFonts w:ascii="Palatino Linotype" w:eastAsia="Palatino Linotype" w:hAnsi="Palatino Linotype" w:cs="Palatino Linotype"/>
          <w:sz w:val="22"/>
          <w:szCs w:val="22"/>
        </w:rPr>
        <w:t>, el</w:t>
      </w:r>
      <w:r w:rsidRPr="009D0264">
        <w:rPr>
          <w:rFonts w:ascii="Palatino Linotype" w:eastAsia="Palatino Linotype" w:hAnsi="Palatino Linotype" w:cs="Palatino Linotype"/>
          <w:b/>
          <w:sz w:val="22"/>
          <w:szCs w:val="22"/>
        </w:rPr>
        <w:t xml:space="preserve"> quince de abril de dos mil veinticuatro,</w:t>
      </w:r>
      <w:r w:rsidRPr="009D0264">
        <w:rPr>
          <w:rFonts w:ascii="Palatino Linotype" w:eastAsia="Palatino Linotype" w:hAnsi="Palatino Linotype" w:cs="Palatino Linotype"/>
          <w:sz w:val="22"/>
          <w:szCs w:val="22"/>
        </w:rPr>
        <w:t xml:space="preserve"> </w:t>
      </w:r>
      <w:r w:rsidRPr="009D0264">
        <w:rPr>
          <w:rFonts w:ascii="Palatino Linotype" w:eastAsia="Palatino Linotype" w:hAnsi="Palatino Linotype" w:cs="Palatino Linotype"/>
          <w:b/>
          <w:sz w:val="22"/>
          <w:szCs w:val="22"/>
        </w:rPr>
        <w:t>la parte</w:t>
      </w:r>
      <w:r w:rsidRPr="009D0264">
        <w:rPr>
          <w:rFonts w:ascii="Palatino Linotype" w:eastAsia="Palatino Linotype" w:hAnsi="Palatino Linotype" w:cs="Palatino Linotype"/>
          <w:sz w:val="22"/>
          <w:szCs w:val="22"/>
        </w:rPr>
        <w:t xml:space="preserve"> </w:t>
      </w:r>
      <w:r w:rsidRPr="009D0264">
        <w:rPr>
          <w:rFonts w:ascii="Palatino Linotype" w:eastAsia="Palatino Linotype" w:hAnsi="Palatino Linotype" w:cs="Palatino Linotype"/>
          <w:b/>
          <w:sz w:val="22"/>
          <w:szCs w:val="22"/>
        </w:rPr>
        <w:t>Recurrente</w:t>
      </w:r>
      <w:r w:rsidRPr="009D0264">
        <w:rPr>
          <w:rFonts w:ascii="Palatino Linotype" w:eastAsia="Palatino Linotype" w:hAnsi="Palatino Linotype" w:cs="Palatino Linotype"/>
          <w:sz w:val="22"/>
          <w:szCs w:val="22"/>
        </w:rPr>
        <w:t xml:space="preserve"> interpuso el recurso de revisión a través de </w:t>
      </w:r>
      <w:r w:rsidRPr="009D0264">
        <w:rPr>
          <w:rFonts w:ascii="Palatino Linotype" w:eastAsia="Palatino Linotype" w:hAnsi="Palatino Linotype" w:cs="Palatino Linotype"/>
          <w:b/>
          <w:sz w:val="22"/>
          <w:szCs w:val="22"/>
        </w:rPr>
        <w:t xml:space="preserve">SAIMEX, </w:t>
      </w:r>
      <w:r w:rsidRPr="009D0264">
        <w:rPr>
          <w:rFonts w:ascii="Palatino Linotype" w:eastAsia="Palatino Linotype" w:hAnsi="Palatino Linotype" w:cs="Palatino Linotype"/>
          <w:sz w:val="22"/>
          <w:szCs w:val="22"/>
        </w:rPr>
        <w:t>en donde se manifestó de la siguiente manera:</w:t>
      </w:r>
    </w:p>
    <w:p w14:paraId="396FE0D0" w14:textId="77777777" w:rsidR="00174CEF" w:rsidRPr="009D0264" w:rsidRDefault="00174CEF">
      <w:pPr>
        <w:spacing w:line="360" w:lineRule="auto"/>
        <w:ind w:right="49"/>
        <w:jc w:val="both"/>
        <w:rPr>
          <w:rFonts w:ascii="Palatino Linotype" w:eastAsia="Palatino Linotype" w:hAnsi="Palatino Linotype" w:cs="Palatino Linotype"/>
          <w:b/>
          <w:sz w:val="22"/>
          <w:szCs w:val="22"/>
        </w:rPr>
      </w:pPr>
    </w:p>
    <w:p w14:paraId="14104F73" w14:textId="77777777" w:rsidR="00174CEF" w:rsidRPr="009D0264" w:rsidRDefault="0001360E">
      <w:pPr>
        <w:numPr>
          <w:ilvl w:val="0"/>
          <w:numId w:val="8"/>
        </w:numPr>
        <w:pBdr>
          <w:top w:val="nil"/>
          <w:left w:val="nil"/>
          <w:bottom w:val="nil"/>
          <w:right w:val="nil"/>
          <w:between w:val="nil"/>
        </w:pBdr>
        <w:tabs>
          <w:tab w:val="left" w:pos="2745"/>
        </w:tabs>
        <w:ind w:right="900"/>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sz w:val="22"/>
          <w:szCs w:val="22"/>
        </w:rPr>
        <w:t xml:space="preserve">Acto impugnado: </w:t>
      </w:r>
      <w:r w:rsidRPr="009D0264">
        <w:rPr>
          <w:rFonts w:ascii="Palatino Linotype" w:eastAsia="Palatino Linotype" w:hAnsi="Palatino Linotype" w:cs="Palatino Linotype"/>
          <w:i/>
          <w:sz w:val="22"/>
          <w:szCs w:val="22"/>
        </w:rPr>
        <w:t>“Respuesta” (Sic)</w:t>
      </w:r>
    </w:p>
    <w:p w14:paraId="50C4B7FB" w14:textId="77777777" w:rsidR="00174CEF" w:rsidRPr="009D0264" w:rsidRDefault="00174CEF">
      <w:pPr>
        <w:pBdr>
          <w:top w:val="nil"/>
          <w:left w:val="nil"/>
          <w:bottom w:val="nil"/>
          <w:right w:val="nil"/>
          <w:between w:val="nil"/>
        </w:pBdr>
        <w:tabs>
          <w:tab w:val="left" w:pos="2745"/>
        </w:tabs>
        <w:ind w:left="927" w:right="900"/>
        <w:jc w:val="both"/>
        <w:rPr>
          <w:rFonts w:ascii="Palatino Linotype" w:eastAsia="Palatino Linotype" w:hAnsi="Palatino Linotype" w:cs="Palatino Linotype"/>
          <w:b/>
          <w:sz w:val="22"/>
          <w:szCs w:val="22"/>
        </w:rPr>
      </w:pPr>
    </w:p>
    <w:p w14:paraId="25D303C8" w14:textId="77777777" w:rsidR="00174CEF" w:rsidRPr="009D0264" w:rsidRDefault="0001360E">
      <w:pPr>
        <w:ind w:left="567" w:right="900"/>
        <w:jc w:val="both"/>
        <w:rPr>
          <w:rFonts w:ascii="Palatino Linotype" w:eastAsia="Palatino Linotype" w:hAnsi="Palatino Linotype" w:cs="Palatino Linotype"/>
          <w:sz w:val="22"/>
          <w:szCs w:val="22"/>
        </w:rPr>
      </w:pPr>
      <w:bookmarkStart w:id="3" w:name="_heading=h.30j0zll" w:colFirst="0" w:colLast="0"/>
      <w:bookmarkEnd w:id="3"/>
      <w:r w:rsidRPr="009D0264">
        <w:rPr>
          <w:rFonts w:ascii="Palatino Linotype" w:eastAsia="Palatino Linotype" w:hAnsi="Palatino Linotype" w:cs="Palatino Linotype"/>
          <w:b/>
          <w:sz w:val="22"/>
          <w:szCs w:val="22"/>
        </w:rPr>
        <w:t>b) Razones o motivos de inconformidad</w:t>
      </w:r>
      <w:r w:rsidRPr="009D0264">
        <w:rPr>
          <w:rFonts w:ascii="Palatino Linotype" w:eastAsia="Palatino Linotype" w:hAnsi="Palatino Linotype" w:cs="Palatino Linotype"/>
          <w:sz w:val="22"/>
          <w:szCs w:val="22"/>
        </w:rPr>
        <w:t xml:space="preserve">: </w:t>
      </w:r>
      <w:r w:rsidRPr="009D0264">
        <w:rPr>
          <w:rFonts w:ascii="Palatino Linotype" w:eastAsia="Palatino Linotype" w:hAnsi="Palatino Linotype" w:cs="Palatino Linotype"/>
          <w:i/>
          <w:sz w:val="22"/>
          <w:szCs w:val="22"/>
        </w:rPr>
        <w:t>“No remiten lo solicitado, violan el derecho constitucional nuevamente, característica de la Administración de su presidente Pedro” (Sic)</w:t>
      </w:r>
    </w:p>
    <w:p w14:paraId="2B44E334" w14:textId="77777777" w:rsidR="00174CEF" w:rsidRPr="009D0264" w:rsidRDefault="0001360E">
      <w:pPr>
        <w:spacing w:line="360" w:lineRule="auto"/>
        <w:ind w:right="51"/>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b/>
          <w:sz w:val="22"/>
          <w:szCs w:val="22"/>
        </w:rPr>
        <w:lastRenderedPageBreak/>
        <w:t xml:space="preserve">5. Turno. </w:t>
      </w:r>
      <w:r w:rsidRPr="009D0264">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9D0264">
        <w:rPr>
          <w:rFonts w:ascii="Palatino Linotype" w:eastAsia="Palatino Linotype" w:hAnsi="Palatino Linotype" w:cs="Palatino Linotype"/>
          <w:b/>
          <w:sz w:val="22"/>
          <w:szCs w:val="22"/>
        </w:rPr>
        <w:t xml:space="preserve">Guadalupe Ramírez Peña, </w:t>
      </w:r>
      <w:r w:rsidRPr="009D0264">
        <w:rPr>
          <w:rFonts w:ascii="Palatino Linotype" w:eastAsia="Palatino Linotype" w:hAnsi="Palatino Linotype" w:cs="Palatino Linotype"/>
          <w:sz w:val="22"/>
          <w:szCs w:val="22"/>
        </w:rPr>
        <w:t>a efecto de que analizara sobre su admisión o su desechamiento.</w:t>
      </w:r>
    </w:p>
    <w:p w14:paraId="0CCD09AD" w14:textId="77777777" w:rsidR="00174CEF" w:rsidRPr="009D0264" w:rsidRDefault="00174CEF">
      <w:pPr>
        <w:spacing w:line="360" w:lineRule="auto"/>
        <w:ind w:right="51"/>
        <w:jc w:val="both"/>
        <w:rPr>
          <w:rFonts w:ascii="Palatino Linotype" w:eastAsia="Palatino Linotype" w:hAnsi="Palatino Linotype" w:cs="Palatino Linotype"/>
          <w:sz w:val="22"/>
          <w:szCs w:val="22"/>
        </w:rPr>
      </w:pPr>
    </w:p>
    <w:p w14:paraId="30F8E5C6"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b/>
          <w:sz w:val="22"/>
          <w:szCs w:val="22"/>
        </w:rPr>
        <w:t>6. Admisión del Recurso de revisión.</w:t>
      </w:r>
      <w:r w:rsidRPr="009D0264">
        <w:rPr>
          <w:rFonts w:ascii="Palatino Linotype" w:eastAsia="Palatino Linotype" w:hAnsi="Palatino Linotype" w:cs="Palatino Linotype"/>
          <w:sz w:val="22"/>
          <w:szCs w:val="22"/>
        </w:rPr>
        <w:t xml:space="preserve"> El </w:t>
      </w:r>
      <w:r w:rsidRPr="009D0264">
        <w:rPr>
          <w:rFonts w:ascii="Palatino Linotype" w:eastAsia="Palatino Linotype" w:hAnsi="Palatino Linotype" w:cs="Palatino Linotype"/>
          <w:b/>
          <w:sz w:val="22"/>
          <w:szCs w:val="22"/>
        </w:rPr>
        <w:t xml:space="preserve">dieciocho de abril de dos mil veinticuatro, </w:t>
      </w:r>
      <w:r w:rsidRPr="009D0264">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9D0264">
        <w:rPr>
          <w:rFonts w:ascii="Palatino Linotype" w:eastAsia="Palatino Linotype" w:hAnsi="Palatino Linotype" w:cs="Palatino Linotype"/>
          <w:b/>
          <w:sz w:val="22"/>
          <w:szCs w:val="22"/>
        </w:rPr>
        <w:t xml:space="preserve">Sujeto Obligado </w:t>
      </w:r>
      <w:r w:rsidRPr="009D0264">
        <w:rPr>
          <w:rFonts w:ascii="Palatino Linotype" w:eastAsia="Palatino Linotype" w:hAnsi="Palatino Linotype" w:cs="Palatino Linotype"/>
          <w:sz w:val="22"/>
          <w:szCs w:val="22"/>
        </w:rPr>
        <w:t>presentara su informe justificado.</w:t>
      </w:r>
    </w:p>
    <w:p w14:paraId="5793B20C"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58225D62" w14:textId="77777777" w:rsidR="00174CEF" w:rsidRPr="009D0264" w:rsidRDefault="0001360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4" w:name="_heading=h.2s8eyo1" w:colFirst="0" w:colLast="0"/>
      <w:bookmarkEnd w:id="4"/>
      <w:r w:rsidRPr="009D0264">
        <w:rPr>
          <w:rFonts w:ascii="Palatino Linotype" w:eastAsia="Palatino Linotype" w:hAnsi="Palatino Linotype" w:cs="Palatino Linotype"/>
          <w:b/>
          <w:sz w:val="22"/>
          <w:szCs w:val="22"/>
        </w:rPr>
        <w:t>7. Manifestaciones e Informe Justificado</w:t>
      </w:r>
      <w:r w:rsidRPr="009D0264">
        <w:rPr>
          <w:rFonts w:ascii="Palatino Linotype" w:eastAsia="Palatino Linotype" w:hAnsi="Palatino Linotype" w:cs="Palatino Linotype"/>
          <w:sz w:val="22"/>
          <w:szCs w:val="22"/>
        </w:rPr>
        <w:t xml:space="preserve">. De las constancias que integran el expediente en que se actúa se advierte que durante el periodo de manifestaciones, el </w:t>
      </w:r>
      <w:r w:rsidRPr="009D0264">
        <w:rPr>
          <w:rFonts w:ascii="Palatino Linotype" w:eastAsia="Palatino Linotype" w:hAnsi="Palatino Linotype" w:cs="Palatino Linotype"/>
          <w:b/>
          <w:sz w:val="22"/>
          <w:szCs w:val="22"/>
        </w:rPr>
        <w:t>Sujeto Obligado</w:t>
      </w:r>
      <w:r w:rsidRPr="009D0264">
        <w:rPr>
          <w:rFonts w:ascii="Palatino Linotype" w:eastAsia="Palatino Linotype" w:hAnsi="Palatino Linotype" w:cs="Palatino Linotype"/>
          <w:sz w:val="22"/>
          <w:szCs w:val="22"/>
        </w:rPr>
        <w:t xml:space="preserve"> rindió su informe justificado en fecha </w:t>
      </w:r>
      <w:r w:rsidRPr="009D0264">
        <w:rPr>
          <w:rFonts w:ascii="Palatino Linotype" w:eastAsia="Palatino Linotype" w:hAnsi="Palatino Linotype" w:cs="Palatino Linotype"/>
          <w:b/>
          <w:sz w:val="22"/>
          <w:szCs w:val="22"/>
        </w:rPr>
        <w:t xml:space="preserve">veintinueve de abril de dos mil veinticuatro, </w:t>
      </w:r>
      <w:r w:rsidRPr="009D0264">
        <w:rPr>
          <w:rFonts w:ascii="Palatino Linotype" w:eastAsia="Palatino Linotype" w:hAnsi="Palatino Linotype" w:cs="Palatino Linotype"/>
          <w:sz w:val="22"/>
          <w:szCs w:val="22"/>
        </w:rPr>
        <w:t>a través de los archivos electrónicos que contienen la información siguiente:</w:t>
      </w:r>
    </w:p>
    <w:p w14:paraId="39656F70" w14:textId="77777777" w:rsidR="00174CEF" w:rsidRPr="009D0264" w:rsidRDefault="00174CE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0370F8AD" w14:textId="77777777" w:rsidR="00174CEF" w:rsidRPr="009D0264" w:rsidRDefault="0001360E">
      <w:pPr>
        <w:numPr>
          <w:ilvl w:val="0"/>
          <w:numId w:val="7"/>
        </w:numPr>
        <w:pBdr>
          <w:top w:val="nil"/>
          <w:left w:val="nil"/>
          <w:bottom w:val="nil"/>
          <w:right w:val="nil"/>
          <w:between w:val="nil"/>
        </w:pBdr>
        <w:tabs>
          <w:tab w:val="left" w:pos="426"/>
        </w:tabs>
        <w:spacing w:line="276" w:lineRule="auto"/>
        <w:ind w:left="426" w:right="49"/>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b/>
          <w:i/>
          <w:sz w:val="22"/>
          <w:szCs w:val="22"/>
        </w:rPr>
        <w:t>20240429160817145. pdf</w:t>
      </w:r>
      <w:r w:rsidRPr="009D0264">
        <w:rPr>
          <w:rFonts w:ascii="Palatino Linotype" w:eastAsia="Palatino Linotype" w:hAnsi="Palatino Linotype" w:cs="Palatino Linotype"/>
          <w:sz w:val="22"/>
          <w:szCs w:val="22"/>
        </w:rPr>
        <w:t>: Oficio del veintitrés de abril de dos mil veinticuatro, a través del cual el Director General de Obras Públicas ratifica la respuesta inicial.</w:t>
      </w:r>
    </w:p>
    <w:p w14:paraId="2000C849" w14:textId="77777777" w:rsidR="00174CEF" w:rsidRPr="009D0264" w:rsidRDefault="00174CEF">
      <w:pPr>
        <w:pBdr>
          <w:top w:val="nil"/>
          <w:left w:val="nil"/>
          <w:bottom w:val="nil"/>
          <w:right w:val="nil"/>
          <w:between w:val="nil"/>
        </w:pBdr>
        <w:tabs>
          <w:tab w:val="left" w:pos="426"/>
        </w:tabs>
        <w:spacing w:line="276" w:lineRule="auto"/>
        <w:ind w:left="426" w:right="49"/>
        <w:jc w:val="both"/>
        <w:rPr>
          <w:rFonts w:ascii="Palatino Linotype" w:eastAsia="Palatino Linotype" w:hAnsi="Palatino Linotype" w:cs="Palatino Linotype"/>
          <w:sz w:val="22"/>
          <w:szCs w:val="22"/>
        </w:rPr>
      </w:pPr>
    </w:p>
    <w:p w14:paraId="59105E47" w14:textId="77777777" w:rsidR="00174CEF" w:rsidRPr="009D0264" w:rsidRDefault="0001360E">
      <w:pPr>
        <w:numPr>
          <w:ilvl w:val="0"/>
          <w:numId w:val="7"/>
        </w:numPr>
        <w:pBdr>
          <w:top w:val="nil"/>
          <w:left w:val="nil"/>
          <w:bottom w:val="nil"/>
          <w:right w:val="nil"/>
          <w:between w:val="nil"/>
        </w:pBdr>
        <w:tabs>
          <w:tab w:val="left" w:pos="426"/>
        </w:tabs>
        <w:spacing w:line="276" w:lineRule="auto"/>
        <w:ind w:left="426" w:right="49"/>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b/>
          <w:i/>
          <w:sz w:val="22"/>
          <w:szCs w:val="22"/>
        </w:rPr>
        <w:t>20240429160804345.pdf</w:t>
      </w:r>
      <w:r w:rsidRPr="009D0264">
        <w:rPr>
          <w:rFonts w:ascii="Palatino Linotype" w:eastAsia="Palatino Linotype" w:hAnsi="Palatino Linotype" w:cs="Palatino Linotype"/>
          <w:sz w:val="22"/>
          <w:szCs w:val="22"/>
        </w:rPr>
        <w:t>: Oficio del dieciséis de abril de dos mil veinticuatro, a través del cual el Titular de la Unidad de Transparencia requiere al Director General de Obras Públicas para que, en atención al recurso de revisión que nos ocupa, remitiera oficio con el fundamento y motivos por los que considera que fue atendida la solicitud de información.</w:t>
      </w:r>
    </w:p>
    <w:p w14:paraId="63FDA7C0" w14:textId="77777777" w:rsidR="00174CEF" w:rsidRPr="009D0264" w:rsidRDefault="00174CEF">
      <w:pPr>
        <w:pBdr>
          <w:top w:val="nil"/>
          <w:left w:val="nil"/>
          <w:bottom w:val="nil"/>
          <w:right w:val="nil"/>
          <w:between w:val="nil"/>
        </w:pBdr>
        <w:ind w:left="720"/>
        <w:rPr>
          <w:rFonts w:ascii="Palatino Linotype" w:eastAsia="Palatino Linotype" w:hAnsi="Palatino Linotype" w:cs="Palatino Linotype"/>
          <w:sz w:val="22"/>
          <w:szCs w:val="22"/>
        </w:rPr>
      </w:pPr>
    </w:p>
    <w:p w14:paraId="1519686A" w14:textId="77777777" w:rsidR="00174CEF" w:rsidRPr="009D0264" w:rsidRDefault="0001360E">
      <w:pPr>
        <w:numPr>
          <w:ilvl w:val="0"/>
          <w:numId w:val="7"/>
        </w:numPr>
        <w:pBdr>
          <w:top w:val="nil"/>
          <w:left w:val="nil"/>
          <w:bottom w:val="nil"/>
          <w:right w:val="nil"/>
          <w:between w:val="nil"/>
        </w:pBdr>
        <w:tabs>
          <w:tab w:val="left" w:pos="426"/>
        </w:tabs>
        <w:spacing w:line="276" w:lineRule="auto"/>
        <w:ind w:left="426" w:right="49"/>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b/>
          <w:i/>
          <w:sz w:val="22"/>
          <w:szCs w:val="22"/>
        </w:rPr>
        <w:lastRenderedPageBreak/>
        <w:t>20240429160757101.pdf</w:t>
      </w:r>
      <w:r w:rsidRPr="009D0264">
        <w:rPr>
          <w:rFonts w:ascii="Palatino Linotype" w:eastAsia="Palatino Linotype" w:hAnsi="Palatino Linotype" w:cs="Palatino Linotype"/>
          <w:sz w:val="22"/>
          <w:szCs w:val="22"/>
        </w:rPr>
        <w:t>: Oficio del dieciséis de abril de dos mil veinticuatro, a través del cual el Titular de la Unidad de Transparencia requiere a la Tesorería Municipal, para que, en atención al recurso de revisión que nos ocupa, remitiera oficio con el fundamento y motivos por los que considera que fue atendida la solicitud de información.</w:t>
      </w:r>
    </w:p>
    <w:p w14:paraId="0AC7610F" w14:textId="77777777" w:rsidR="00174CEF" w:rsidRPr="009D0264" w:rsidRDefault="00174CEF">
      <w:pPr>
        <w:pBdr>
          <w:top w:val="nil"/>
          <w:left w:val="nil"/>
          <w:bottom w:val="nil"/>
          <w:right w:val="nil"/>
          <w:between w:val="nil"/>
        </w:pBdr>
        <w:ind w:left="720"/>
        <w:rPr>
          <w:rFonts w:ascii="Palatino Linotype" w:eastAsia="Palatino Linotype" w:hAnsi="Palatino Linotype" w:cs="Palatino Linotype"/>
          <w:sz w:val="22"/>
          <w:szCs w:val="22"/>
        </w:rPr>
      </w:pPr>
    </w:p>
    <w:p w14:paraId="1DE338EB" w14:textId="77777777" w:rsidR="00174CEF" w:rsidRPr="009D0264" w:rsidRDefault="0001360E">
      <w:pPr>
        <w:numPr>
          <w:ilvl w:val="0"/>
          <w:numId w:val="7"/>
        </w:numPr>
        <w:pBdr>
          <w:top w:val="nil"/>
          <w:left w:val="nil"/>
          <w:bottom w:val="nil"/>
          <w:right w:val="nil"/>
          <w:between w:val="nil"/>
        </w:pBdr>
        <w:tabs>
          <w:tab w:val="left" w:pos="426"/>
        </w:tabs>
        <w:spacing w:line="276" w:lineRule="auto"/>
        <w:ind w:left="426" w:right="49"/>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b/>
          <w:i/>
          <w:sz w:val="22"/>
          <w:szCs w:val="22"/>
        </w:rPr>
        <w:t>20240429160827575.pdf</w:t>
      </w:r>
      <w:r w:rsidRPr="009D0264">
        <w:rPr>
          <w:rFonts w:ascii="Palatino Linotype" w:eastAsia="Palatino Linotype" w:hAnsi="Palatino Linotype" w:cs="Palatino Linotype"/>
          <w:sz w:val="22"/>
          <w:szCs w:val="22"/>
        </w:rPr>
        <w:t>: Oficio del veintidós de abril de dos mil veinticuatro, a través del cual el Tesorero Municipal informa al Titular de la Unidad de Transparencia que la información requerida se encuentra publicada en el siguiente enlace que fue entregado en formato cerrado:</w:t>
      </w:r>
    </w:p>
    <w:p w14:paraId="310B5940" w14:textId="77777777" w:rsidR="00174CEF" w:rsidRPr="009D0264" w:rsidRDefault="00174CEF">
      <w:pPr>
        <w:pBdr>
          <w:top w:val="nil"/>
          <w:left w:val="nil"/>
          <w:bottom w:val="nil"/>
          <w:right w:val="nil"/>
          <w:between w:val="nil"/>
        </w:pBdr>
        <w:ind w:left="720"/>
        <w:rPr>
          <w:rFonts w:ascii="Palatino Linotype" w:eastAsia="Palatino Linotype" w:hAnsi="Palatino Linotype" w:cs="Palatino Linotype"/>
          <w:sz w:val="22"/>
          <w:szCs w:val="22"/>
        </w:rPr>
      </w:pPr>
    </w:p>
    <w:p w14:paraId="1B6BC9D7" w14:textId="77777777" w:rsidR="00174CEF" w:rsidRPr="009D0264" w:rsidRDefault="0001360E">
      <w:pPr>
        <w:pBdr>
          <w:top w:val="nil"/>
          <w:left w:val="nil"/>
          <w:bottom w:val="nil"/>
          <w:right w:val="nil"/>
          <w:between w:val="nil"/>
        </w:pBdr>
        <w:tabs>
          <w:tab w:val="left" w:pos="426"/>
        </w:tabs>
        <w:spacing w:line="276" w:lineRule="auto"/>
        <w:ind w:left="426" w:right="49"/>
        <w:jc w:val="center"/>
        <w:rPr>
          <w:rFonts w:ascii="Palatino Linotype" w:eastAsia="Palatino Linotype" w:hAnsi="Palatino Linotype" w:cs="Palatino Linotype"/>
          <w:sz w:val="22"/>
          <w:szCs w:val="22"/>
        </w:rPr>
      </w:pPr>
      <w:r w:rsidRPr="009D0264">
        <w:rPr>
          <w:rFonts w:ascii="Palatino Linotype" w:eastAsia="Palatino Linotype" w:hAnsi="Palatino Linotype" w:cs="Palatino Linotype"/>
          <w:noProof/>
          <w:sz w:val="22"/>
          <w:szCs w:val="22"/>
        </w:rPr>
        <w:drawing>
          <wp:inline distT="0" distB="0" distL="0" distR="0" wp14:anchorId="69837B84" wp14:editId="74266552">
            <wp:extent cx="3620005" cy="466790"/>
            <wp:effectExtent l="3175" t="3175" r="3175" b="3175"/>
            <wp:docPr id="13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b="35526"/>
                    <a:stretch>
                      <a:fillRect/>
                    </a:stretch>
                  </pic:blipFill>
                  <pic:spPr>
                    <a:xfrm>
                      <a:off x="0" y="0"/>
                      <a:ext cx="3620005" cy="466790"/>
                    </a:xfrm>
                    <a:prstGeom prst="rect">
                      <a:avLst/>
                    </a:prstGeom>
                    <a:ln w="3175">
                      <a:solidFill>
                        <a:srgbClr val="000000"/>
                      </a:solidFill>
                      <a:prstDash val="solid"/>
                    </a:ln>
                  </pic:spPr>
                </pic:pic>
              </a:graphicData>
            </a:graphic>
          </wp:inline>
        </w:drawing>
      </w:r>
    </w:p>
    <w:p w14:paraId="112AEB90" w14:textId="77777777" w:rsidR="00174CEF" w:rsidRPr="009D0264" w:rsidRDefault="00174CEF">
      <w:pPr>
        <w:pBdr>
          <w:top w:val="nil"/>
          <w:left w:val="nil"/>
          <w:bottom w:val="nil"/>
          <w:right w:val="nil"/>
          <w:between w:val="nil"/>
        </w:pBdr>
        <w:tabs>
          <w:tab w:val="left" w:pos="426"/>
        </w:tabs>
        <w:spacing w:line="276" w:lineRule="auto"/>
        <w:ind w:left="426" w:right="49"/>
        <w:jc w:val="center"/>
        <w:rPr>
          <w:rFonts w:ascii="Palatino Linotype" w:eastAsia="Palatino Linotype" w:hAnsi="Palatino Linotype" w:cs="Palatino Linotype"/>
          <w:sz w:val="22"/>
          <w:szCs w:val="22"/>
        </w:rPr>
      </w:pPr>
    </w:p>
    <w:p w14:paraId="369BBE77" w14:textId="77777777" w:rsidR="00174CEF" w:rsidRPr="009D0264" w:rsidRDefault="0001360E">
      <w:pPr>
        <w:pBdr>
          <w:top w:val="nil"/>
          <w:left w:val="nil"/>
          <w:bottom w:val="nil"/>
          <w:right w:val="nil"/>
          <w:between w:val="nil"/>
        </w:pBdr>
        <w:tabs>
          <w:tab w:val="left" w:pos="426"/>
        </w:tabs>
        <w:spacing w:line="276" w:lineRule="auto"/>
        <w:ind w:left="426" w:right="49"/>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Asimismo, se adjuntó capturas de pantalla con los pasos y links para ingresar al Estado Comparativo Presupuestal de Egresos del 2023: </w:t>
      </w:r>
    </w:p>
    <w:p w14:paraId="0FE6BC31" w14:textId="77777777" w:rsidR="00174CEF" w:rsidRPr="009D0264" w:rsidRDefault="00174CEF">
      <w:pPr>
        <w:pBdr>
          <w:top w:val="nil"/>
          <w:left w:val="nil"/>
          <w:bottom w:val="nil"/>
          <w:right w:val="nil"/>
          <w:between w:val="nil"/>
        </w:pBdr>
        <w:tabs>
          <w:tab w:val="left" w:pos="426"/>
        </w:tabs>
        <w:spacing w:line="276" w:lineRule="auto"/>
        <w:ind w:left="426" w:right="49"/>
        <w:jc w:val="both"/>
        <w:rPr>
          <w:rFonts w:ascii="Palatino Linotype" w:eastAsia="Palatino Linotype" w:hAnsi="Palatino Linotype" w:cs="Palatino Linotype"/>
          <w:sz w:val="22"/>
          <w:szCs w:val="22"/>
        </w:rPr>
      </w:pPr>
    </w:p>
    <w:p w14:paraId="21CE58ED" w14:textId="77777777" w:rsidR="00174CEF" w:rsidRPr="009D0264" w:rsidRDefault="0001360E">
      <w:pPr>
        <w:pBdr>
          <w:top w:val="nil"/>
          <w:left w:val="nil"/>
          <w:bottom w:val="nil"/>
          <w:right w:val="nil"/>
          <w:between w:val="nil"/>
        </w:pBdr>
        <w:tabs>
          <w:tab w:val="left" w:pos="426"/>
        </w:tabs>
        <w:spacing w:line="276" w:lineRule="auto"/>
        <w:ind w:left="426" w:right="49"/>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noProof/>
          <w:sz w:val="22"/>
          <w:szCs w:val="22"/>
        </w:rPr>
        <w:drawing>
          <wp:inline distT="0" distB="0" distL="0" distR="0" wp14:anchorId="0009E9FD" wp14:editId="1762314E">
            <wp:extent cx="5257800" cy="2705100"/>
            <wp:effectExtent l="3175" t="3175" r="3175" b="3175"/>
            <wp:docPr id="13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b="71925"/>
                    <a:stretch>
                      <a:fillRect/>
                    </a:stretch>
                  </pic:blipFill>
                  <pic:spPr>
                    <a:xfrm>
                      <a:off x="0" y="0"/>
                      <a:ext cx="5257800" cy="2705100"/>
                    </a:xfrm>
                    <a:prstGeom prst="rect">
                      <a:avLst/>
                    </a:prstGeom>
                    <a:ln w="3175">
                      <a:solidFill>
                        <a:srgbClr val="000000"/>
                      </a:solidFill>
                      <a:prstDash val="solid"/>
                    </a:ln>
                  </pic:spPr>
                </pic:pic>
              </a:graphicData>
            </a:graphic>
          </wp:inline>
        </w:drawing>
      </w:r>
    </w:p>
    <w:p w14:paraId="04364DA0" w14:textId="77777777" w:rsidR="00174CEF" w:rsidRPr="009D0264" w:rsidRDefault="0001360E">
      <w:pPr>
        <w:pBdr>
          <w:top w:val="nil"/>
          <w:left w:val="nil"/>
          <w:bottom w:val="nil"/>
          <w:right w:val="nil"/>
          <w:between w:val="nil"/>
        </w:pBdr>
        <w:tabs>
          <w:tab w:val="left" w:pos="426"/>
        </w:tabs>
        <w:spacing w:line="276" w:lineRule="auto"/>
        <w:ind w:left="426" w:right="49"/>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noProof/>
          <w:sz w:val="22"/>
          <w:szCs w:val="22"/>
        </w:rPr>
        <w:lastRenderedPageBreak/>
        <w:drawing>
          <wp:inline distT="0" distB="0" distL="0" distR="0" wp14:anchorId="2D0A3F20" wp14:editId="7D24822F">
            <wp:extent cx="5257800" cy="4733925"/>
            <wp:effectExtent l="3175" t="3175" r="3175" b="3175"/>
            <wp:docPr id="1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t="27451"/>
                    <a:stretch>
                      <a:fillRect/>
                    </a:stretch>
                  </pic:blipFill>
                  <pic:spPr>
                    <a:xfrm>
                      <a:off x="0" y="0"/>
                      <a:ext cx="5257800" cy="4733925"/>
                    </a:xfrm>
                    <a:prstGeom prst="rect">
                      <a:avLst/>
                    </a:prstGeom>
                    <a:ln w="3175">
                      <a:solidFill>
                        <a:srgbClr val="000000"/>
                      </a:solidFill>
                      <a:prstDash val="solid"/>
                    </a:ln>
                  </pic:spPr>
                </pic:pic>
              </a:graphicData>
            </a:graphic>
          </wp:inline>
        </w:drawing>
      </w:r>
    </w:p>
    <w:p w14:paraId="324C9837" w14:textId="77777777" w:rsidR="00174CEF" w:rsidRPr="009D0264" w:rsidRDefault="0001360E">
      <w:pPr>
        <w:pBdr>
          <w:top w:val="nil"/>
          <w:left w:val="nil"/>
          <w:bottom w:val="nil"/>
          <w:right w:val="nil"/>
          <w:between w:val="nil"/>
        </w:pBdr>
        <w:tabs>
          <w:tab w:val="left" w:pos="426"/>
        </w:tabs>
        <w:spacing w:line="276" w:lineRule="auto"/>
        <w:ind w:left="426" w:right="49"/>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noProof/>
          <w:sz w:val="22"/>
          <w:szCs w:val="22"/>
        </w:rPr>
        <w:drawing>
          <wp:inline distT="0" distB="0" distL="0" distR="0" wp14:anchorId="7CA351B6" wp14:editId="2082B113">
            <wp:extent cx="5270017" cy="1880785"/>
            <wp:effectExtent l="3175" t="3175" r="3175" b="3175"/>
            <wp:docPr id="1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b="51358"/>
                    <a:stretch>
                      <a:fillRect/>
                    </a:stretch>
                  </pic:blipFill>
                  <pic:spPr>
                    <a:xfrm>
                      <a:off x="0" y="0"/>
                      <a:ext cx="5270017" cy="1880785"/>
                    </a:xfrm>
                    <a:prstGeom prst="rect">
                      <a:avLst/>
                    </a:prstGeom>
                    <a:ln w="3175">
                      <a:solidFill>
                        <a:srgbClr val="000000"/>
                      </a:solidFill>
                      <a:prstDash val="solid"/>
                    </a:ln>
                  </pic:spPr>
                </pic:pic>
              </a:graphicData>
            </a:graphic>
          </wp:inline>
        </w:drawing>
      </w:r>
    </w:p>
    <w:p w14:paraId="3F784C73" w14:textId="77777777" w:rsidR="00174CEF" w:rsidRPr="009D0264" w:rsidRDefault="0001360E">
      <w:pPr>
        <w:pBdr>
          <w:top w:val="nil"/>
          <w:left w:val="nil"/>
          <w:bottom w:val="nil"/>
          <w:right w:val="nil"/>
          <w:between w:val="nil"/>
        </w:pBdr>
        <w:tabs>
          <w:tab w:val="left" w:pos="426"/>
        </w:tabs>
        <w:spacing w:line="276" w:lineRule="auto"/>
        <w:ind w:left="426" w:right="49"/>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noProof/>
          <w:sz w:val="22"/>
          <w:szCs w:val="22"/>
        </w:rPr>
        <w:lastRenderedPageBreak/>
        <w:drawing>
          <wp:inline distT="0" distB="0" distL="0" distR="0" wp14:anchorId="50CFE66A" wp14:editId="52C75968">
            <wp:extent cx="5249679" cy="2229446"/>
            <wp:effectExtent l="3175" t="3175" r="3175" b="3175"/>
            <wp:docPr id="1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t="52433"/>
                    <a:stretch>
                      <a:fillRect/>
                    </a:stretch>
                  </pic:blipFill>
                  <pic:spPr>
                    <a:xfrm>
                      <a:off x="0" y="0"/>
                      <a:ext cx="5249679" cy="2229446"/>
                    </a:xfrm>
                    <a:prstGeom prst="rect">
                      <a:avLst/>
                    </a:prstGeom>
                    <a:ln w="3175">
                      <a:solidFill>
                        <a:srgbClr val="000000"/>
                      </a:solidFill>
                      <a:prstDash val="solid"/>
                    </a:ln>
                  </pic:spPr>
                </pic:pic>
              </a:graphicData>
            </a:graphic>
          </wp:inline>
        </w:drawing>
      </w:r>
    </w:p>
    <w:p w14:paraId="0519A2C9" w14:textId="77777777" w:rsidR="00174CEF" w:rsidRPr="009D0264" w:rsidRDefault="00174CE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386A5AD" w14:textId="77777777" w:rsidR="00174CEF" w:rsidRPr="009D0264" w:rsidRDefault="0001360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Documentos los anteriores, que se pusieron a la vista de la parte </w:t>
      </w:r>
      <w:r w:rsidRPr="009D0264">
        <w:rPr>
          <w:rFonts w:ascii="Palatino Linotype" w:eastAsia="Palatino Linotype" w:hAnsi="Palatino Linotype" w:cs="Palatino Linotype"/>
          <w:b/>
          <w:sz w:val="22"/>
          <w:szCs w:val="22"/>
        </w:rPr>
        <w:t xml:space="preserve">Recurrente </w:t>
      </w:r>
      <w:r w:rsidRPr="009D0264">
        <w:rPr>
          <w:rFonts w:ascii="Palatino Linotype" w:eastAsia="Palatino Linotype" w:hAnsi="Palatino Linotype" w:cs="Palatino Linotype"/>
          <w:sz w:val="22"/>
          <w:szCs w:val="22"/>
        </w:rPr>
        <w:t>a fin de que hiciera valer manifestaciones, o bien, rindiera alegatos que conforme a derecho resultaran procedentes; no obstante, fue omisa en ejercer dicha prerrogativa.</w:t>
      </w:r>
    </w:p>
    <w:p w14:paraId="1F8EC194" w14:textId="77777777" w:rsidR="00174CEF" w:rsidRPr="009D0264" w:rsidRDefault="00174CE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2A51B8A" w14:textId="77777777" w:rsidR="00174CEF" w:rsidRPr="009D0264" w:rsidRDefault="0001360E">
      <w:pPr>
        <w:spacing w:after="240" w:line="360" w:lineRule="auto"/>
        <w:jc w:val="both"/>
        <w:rPr>
          <w:rFonts w:ascii="Palatino Linotype" w:eastAsia="Palatino Linotype" w:hAnsi="Palatino Linotype" w:cs="Palatino Linotype"/>
          <w:b/>
          <w:sz w:val="22"/>
          <w:szCs w:val="22"/>
        </w:rPr>
      </w:pPr>
      <w:r w:rsidRPr="009D0264">
        <w:rPr>
          <w:rFonts w:ascii="Palatino Linotype" w:eastAsia="Palatino Linotype" w:hAnsi="Palatino Linotype" w:cs="Palatino Linotype"/>
          <w:b/>
          <w:sz w:val="22"/>
          <w:szCs w:val="22"/>
        </w:rPr>
        <w:t>8. Ampliación del término para resolver</w:t>
      </w:r>
      <w:r w:rsidRPr="009D0264">
        <w:rPr>
          <w:rFonts w:ascii="Palatino Linotype" w:eastAsia="Palatino Linotype" w:hAnsi="Palatino Linotype" w:cs="Palatino Linotype"/>
          <w:sz w:val="22"/>
          <w:szCs w:val="22"/>
        </w:rPr>
        <w:t xml:space="preserve">. El </w:t>
      </w:r>
      <w:r w:rsidRPr="009D0264">
        <w:rPr>
          <w:rFonts w:ascii="Palatino Linotype" w:eastAsia="Palatino Linotype" w:hAnsi="Palatino Linotype" w:cs="Palatino Linotype"/>
          <w:b/>
          <w:sz w:val="22"/>
          <w:szCs w:val="22"/>
        </w:rPr>
        <w:t>trece de septiembre de dos mil veinticuatro</w:t>
      </w:r>
      <w:r w:rsidRPr="009D0264">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531E4FA1" w14:textId="77777777" w:rsidR="00174CEF" w:rsidRPr="009D0264" w:rsidRDefault="0001360E">
      <w:pPr>
        <w:spacing w:before="240" w:after="240"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4CE1ACCD" w14:textId="77777777" w:rsidR="00174CEF" w:rsidRPr="009D0264" w:rsidRDefault="0001360E">
      <w:pPr>
        <w:spacing w:before="240" w:after="240"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Por ello, es menester precisar que si bien se ha excedido el plazo para resolver el presente medio de impugnación, de conformidad con la ley de la materia, el plazo para emitir la resolución se encuentra ju en los elementos para medir la razonabilidad de asuntos </w:t>
      </w:r>
      <w:r w:rsidRPr="009D0264">
        <w:rPr>
          <w:rFonts w:ascii="Palatino Linotype" w:eastAsia="Palatino Linotype" w:hAnsi="Palatino Linotype" w:cs="Palatino Linotype"/>
          <w:sz w:val="22"/>
          <w:szCs w:val="22"/>
        </w:rPr>
        <w:lastRenderedPageBreak/>
        <w:t>conforme a los parámetros establecidos por diversos órganos jurisdiccionales federales, aplicables también en procedimientos análogos, como el que nos ocupa.</w:t>
      </w:r>
    </w:p>
    <w:p w14:paraId="08AF2219" w14:textId="77777777" w:rsidR="00174CEF" w:rsidRPr="009D0264" w:rsidRDefault="0001360E">
      <w:pPr>
        <w:spacing w:before="240" w:after="240"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1BBC298" w14:textId="77777777" w:rsidR="00174CEF" w:rsidRPr="009D0264" w:rsidRDefault="0001360E">
      <w:pPr>
        <w:spacing w:before="240" w:after="240"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B250CD2" w14:textId="77777777" w:rsidR="00174CEF" w:rsidRPr="009D0264" w:rsidRDefault="0001360E">
      <w:pPr>
        <w:spacing w:before="240" w:after="240" w:line="360" w:lineRule="auto"/>
        <w:jc w:val="both"/>
        <w:rPr>
          <w:rFonts w:ascii="Palatino Linotype" w:eastAsia="Palatino Linotype" w:hAnsi="Palatino Linotype" w:cs="Palatino Linotype"/>
          <w:strike/>
          <w:sz w:val="22"/>
          <w:szCs w:val="22"/>
        </w:rPr>
      </w:pPr>
      <w:r w:rsidRPr="009D0264">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3769B8B2" w14:textId="77777777" w:rsidR="00174CEF" w:rsidRPr="009D0264" w:rsidRDefault="0001360E">
      <w:pPr>
        <w:numPr>
          <w:ilvl w:val="0"/>
          <w:numId w:val="5"/>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b/>
          <w:sz w:val="22"/>
          <w:szCs w:val="22"/>
        </w:rPr>
        <w:t>Complejidad del Asunto:</w:t>
      </w:r>
      <w:r w:rsidRPr="009D0264">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6DDF476C" w14:textId="77777777" w:rsidR="00174CEF" w:rsidRPr="009D0264" w:rsidRDefault="0001360E">
      <w:pPr>
        <w:numPr>
          <w:ilvl w:val="0"/>
          <w:numId w:val="5"/>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b/>
          <w:sz w:val="22"/>
          <w:szCs w:val="22"/>
        </w:rPr>
        <w:t>Actividad Procesal del interesado</w:t>
      </w:r>
      <w:r w:rsidRPr="009D0264">
        <w:rPr>
          <w:rFonts w:ascii="Palatino Linotype" w:eastAsia="Palatino Linotype" w:hAnsi="Palatino Linotype" w:cs="Palatino Linotype"/>
          <w:sz w:val="22"/>
          <w:szCs w:val="22"/>
        </w:rPr>
        <w:t>. Acciones u omisiones del interesado.</w:t>
      </w:r>
    </w:p>
    <w:p w14:paraId="29C3F45F" w14:textId="77777777" w:rsidR="00174CEF" w:rsidRPr="009D0264" w:rsidRDefault="0001360E">
      <w:pPr>
        <w:numPr>
          <w:ilvl w:val="0"/>
          <w:numId w:val="5"/>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b/>
          <w:sz w:val="22"/>
          <w:szCs w:val="22"/>
        </w:rPr>
        <w:t>Conducta de la Autoridad:</w:t>
      </w:r>
      <w:r w:rsidRPr="009D0264">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5D8296FC" w14:textId="77777777" w:rsidR="00174CEF" w:rsidRPr="009D0264" w:rsidRDefault="0001360E">
      <w:pPr>
        <w:numPr>
          <w:ilvl w:val="0"/>
          <w:numId w:val="5"/>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b/>
          <w:sz w:val="22"/>
          <w:szCs w:val="22"/>
        </w:rPr>
        <w:t>La afectación generada en la situación jurídica de la persona involucrada en el proceso:</w:t>
      </w:r>
      <w:r w:rsidRPr="009D0264">
        <w:rPr>
          <w:rFonts w:ascii="Palatino Linotype" w:eastAsia="Palatino Linotype" w:hAnsi="Palatino Linotype" w:cs="Palatino Linotype"/>
          <w:sz w:val="22"/>
          <w:szCs w:val="22"/>
        </w:rPr>
        <w:t xml:space="preserve"> Violación a sus derechos humanos.</w:t>
      </w:r>
    </w:p>
    <w:p w14:paraId="75E71D68" w14:textId="77777777" w:rsidR="00174CEF" w:rsidRPr="009D0264" w:rsidRDefault="0001360E">
      <w:pPr>
        <w:spacing w:before="240" w:after="240"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E601325" w14:textId="77777777" w:rsidR="00174CEF" w:rsidRPr="009D0264" w:rsidRDefault="0001360E">
      <w:pPr>
        <w:spacing w:before="240" w:after="240" w:line="360" w:lineRule="auto"/>
        <w:jc w:val="both"/>
        <w:rPr>
          <w:rFonts w:ascii="Palatino Linotype" w:eastAsia="Palatino Linotype" w:hAnsi="Palatino Linotype" w:cs="Palatino Linotype"/>
          <w:b/>
          <w:sz w:val="22"/>
          <w:szCs w:val="22"/>
        </w:rPr>
      </w:pPr>
      <w:r w:rsidRPr="009D0264">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9D0264">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9D0264">
        <w:rPr>
          <w:rFonts w:ascii="Palatino Linotype" w:eastAsia="Palatino Linotype" w:hAnsi="Palatino Linotype" w:cs="Palatino Linotype"/>
          <w:sz w:val="22"/>
          <w:szCs w:val="22"/>
        </w:rPr>
        <w:t>, visible en la Gaceta del Seminario Judicial de la Federación con el registro digital 205635.</w:t>
      </w:r>
    </w:p>
    <w:p w14:paraId="06CB4FBB" w14:textId="77777777" w:rsidR="00174CEF" w:rsidRPr="009D0264" w:rsidRDefault="0001360E">
      <w:pPr>
        <w:spacing w:before="240" w:after="240"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0BE71E1" w14:textId="77777777" w:rsidR="00174CEF" w:rsidRPr="009D0264" w:rsidRDefault="0001360E">
      <w:pPr>
        <w:spacing w:before="240" w:after="240"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6523A060" w14:textId="77777777" w:rsidR="00174CEF" w:rsidRPr="009D0264" w:rsidRDefault="0001360E">
      <w:pPr>
        <w:spacing w:before="240" w:after="240" w:line="360" w:lineRule="auto"/>
        <w:ind w:left="851" w:right="900"/>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lastRenderedPageBreak/>
        <w:t xml:space="preserve"> </w:t>
      </w:r>
      <w:r w:rsidRPr="009D0264">
        <w:rPr>
          <w:rFonts w:ascii="Palatino Linotype" w:eastAsia="Palatino Linotype" w:hAnsi="Palatino Linotype" w:cs="Palatino Linotype"/>
          <w:b/>
          <w:i/>
          <w:sz w:val="22"/>
          <w:szCs w:val="22"/>
        </w:rPr>
        <w:t>“PLAZO RAZONABLE PARA RESOLVER. DIMENSIÓN Y EFECTOS DE ESTE CONCEPTO CUANDO SE ADUCE EXCESIVA CARGA DE TRABAJO</w:t>
      </w:r>
      <w:r w:rsidRPr="009D0264">
        <w:rPr>
          <w:rFonts w:ascii="Palatino Linotype" w:eastAsia="Palatino Linotype" w:hAnsi="Palatino Linotype" w:cs="Palatino Linotype"/>
          <w:i/>
          <w:sz w:val="22"/>
          <w:szCs w:val="22"/>
        </w:rPr>
        <w:t>.”</w:t>
      </w:r>
      <w:r w:rsidRPr="009D0264">
        <w:rPr>
          <w:rFonts w:ascii="Palatino Linotype" w:eastAsia="Palatino Linotype" w:hAnsi="Palatino Linotype" w:cs="Palatino Linotype"/>
          <w:sz w:val="22"/>
          <w:szCs w:val="22"/>
        </w:rPr>
        <w:t xml:space="preserve"> consultable en el Seminario Judicial de la Federación y su gaceta, con el registro digital 2002351.</w:t>
      </w:r>
    </w:p>
    <w:p w14:paraId="22CC6256" w14:textId="77777777" w:rsidR="00174CEF" w:rsidRPr="009D0264" w:rsidRDefault="0001360E">
      <w:pPr>
        <w:spacing w:before="240" w:after="240" w:line="360" w:lineRule="auto"/>
        <w:ind w:left="851" w:right="900"/>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9D0264">
        <w:rPr>
          <w:rFonts w:ascii="Palatino Linotype" w:eastAsia="Palatino Linotype" w:hAnsi="Palatino Linotype" w:cs="Palatino Linotype"/>
          <w:sz w:val="22"/>
          <w:szCs w:val="22"/>
        </w:rPr>
        <w:t>, visible en el Seminario Judicial de la Federación y su gaceta, con el registro digital 2002350.</w:t>
      </w:r>
    </w:p>
    <w:p w14:paraId="15E54075" w14:textId="77777777" w:rsidR="00174CEF" w:rsidRPr="009D0264" w:rsidRDefault="0001360E">
      <w:pPr>
        <w:spacing w:before="240" w:after="240"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16E6795C" w14:textId="77777777" w:rsidR="00174CEF" w:rsidRPr="009D0264" w:rsidRDefault="0001360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b/>
          <w:sz w:val="22"/>
          <w:szCs w:val="22"/>
        </w:rPr>
        <w:t xml:space="preserve">9. Cierre de instrucción. </w:t>
      </w:r>
      <w:r w:rsidRPr="009D0264">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9D0264">
        <w:rPr>
          <w:rFonts w:ascii="Palatino Linotype" w:eastAsia="Palatino Linotype" w:hAnsi="Palatino Linotype" w:cs="Palatino Linotype"/>
          <w:b/>
          <w:sz w:val="22"/>
          <w:szCs w:val="22"/>
        </w:rPr>
        <w:t>trece de septiembre de dos mil veinticuatro,</w:t>
      </w:r>
      <w:r w:rsidRPr="009D0264">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22CA8262" w14:textId="77777777" w:rsidR="00174CEF" w:rsidRPr="009D0264" w:rsidRDefault="0001360E">
      <w:pPr>
        <w:spacing w:before="240" w:after="240"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DF8B9C6" w14:textId="77777777" w:rsidR="00174CEF" w:rsidRPr="009D0264" w:rsidRDefault="0001360E">
      <w:pPr>
        <w:widowControl w:val="0"/>
        <w:spacing w:before="240" w:after="240" w:line="360" w:lineRule="auto"/>
        <w:jc w:val="center"/>
        <w:rPr>
          <w:rFonts w:ascii="Palatino Linotype" w:eastAsia="Palatino Linotype" w:hAnsi="Palatino Linotype" w:cs="Palatino Linotype"/>
          <w:b/>
        </w:rPr>
      </w:pPr>
      <w:r w:rsidRPr="009D0264">
        <w:rPr>
          <w:rFonts w:ascii="Palatino Linotype" w:eastAsia="Palatino Linotype" w:hAnsi="Palatino Linotype" w:cs="Palatino Linotype"/>
          <w:b/>
        </w:rPr>
        <w:t>II. C O N S I D E R A N D O S</w:t>
      </w:r>
    </w:p>
    <w:p w14:paraId="59FBC868"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b/>
          <w:sz w:val="22"/>
          <w:szCs w:val="22"/>
        </w:rPr>
        <w:t>Primero. Competencia.</w:t>
      </w:r>
      <w:r w:rsidRPr="009D0264">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w:t>
      </w:r>
      <w:r w:rsidRPr="009D0264">
        <w:rPr>
          <w:rFonts w:ascii="Palatino Linotype" w:eastAsia="Palatino Linotype" w:hAnsi="Palatino Linotype" w:cs="Palatino Linotype"/>
          <w:sz w:val="22"/>
          <w:szCs w:val="22"/>
        </w:rPr>
        <w:lastRenderedPageBreak/>
        <w:t>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B4411B4"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6D67EAA6" w14:textId="77777777" w:rsidR="00174CEF" w:rsidRPr="009D0264" w:rsidRDefault="0001360E">
      <w:pPr>
        <w:spacing w:line="360" w:lineRule="auto"/>
        <w:jc w:val="both"/>
        <w:rPr>
          <w:rFonts w:ascii="Palatino Linotype" w:eastAsia="Palatino Linotype" w:hAnsi="Palatino Linotype" w:cs="Palatino Linotype"/>
          <w:sz w:val="22"/>
          <w:szCs w:val="22"/>
        </w:rPr>
      </w:pPr>
      <w:bookmarkStart w:id="5" w:name="_heading=h.tyjcwt" w:colFirst="0" w:colLast="0"/>
      <w:bookmarkEnd w:id="5"/>
      <w:r w:rsidRPr="009D0264">
        <w:rPr>
          <w:rFonts w:ascii="Palatino Linotype" w:eastAsia="Palatino Linotype" w:hAnsi="Palatino Linotype" w:cs="Palatino Linotype"/>
          <w:b/>
          <w:sz w:val="22"/>
          <w:szCs w:val="22"/>
        </w:rPr>
        <w:t>Segundo. Oportunidad y Procedibilidad del Recurso de Revisión</w:t>
      </w:r>
      <w:r w:rsidRPr="009D0264">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6A1CE5A"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487629D6"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9D0264">
        <w:rPr>
          <w:rFonts w:ascii="Palatino Linotype" w:eastAsia="Palatino Linotype" w:hAnsi="Palatino Linotype" w:cs="Palatino Linotype"/>
          <w:b/>
          <w:sz w:val="22"/>
          <w:szCs w:val="22"/>
        </w:rPr>
        <w:t xml:space="preserve">Sujeto Obligado </w:t>
      </w:r>
      <w:r w:rsidRPr="009D0264">
        <w:rPr>
          <w:rFonts w:ascii="Palatino Linotype" w:eastAsia="Palatino Linotype" w:hAnsi="Palatino Linotype" w:cs="Palatino Linotype"/>
          <w:sz w:val="22"/>
          <w:szCs w:val="22"/>
        </w:rPr>
        <w:t xml:space="preserve">remitió la respuesta a la solicitud de información el </w:t>
      </w:r>
      <w:r w:rsidRPr="009D0264">
        <w:rPr>
          <w:rFonts w:ascii="Palatino Linotype" w:eastAsia="Palatino Linotype" w:hAnsi="Palatino Linotype" w:cs="Palatino Linotype"/>
          <w:b/>
          <w:sz w:val="22"/>
          <w:szCs w:val="22"/>
        </w:rPr>
        <w:t xml:space="preserve">once de abril de dos mil veinticuatro, </w:t>
      </w:r>
      <w:r w:rsidRPr="009D0264">
        <w:rPr>
          <w:rFonts w:ascii="Palatino Linotype" w:eastAsia="Palatino Linotype" w:hAnsi="Palatino Linotype" w:cs="Palatino Linotype"/>
          <w:sz w:val="22"/>
          <w:szCs w:val="22"/>
        </w:rPr>
        <w:t xml:space="preserve">mientras que el recurso de revisión interpuesto por </w:t>
      </w:r>
      <w:r w:rsidRPr="009D0264">
        <w:rPr>
          <w:rFonts w:ascii="Palatino Linotype" w:eastAsia="Palatino Linotype" w:hAnsi="Palatino Linotype" w:cs="Palatino Linotype"/>
          <w:b/>
          <w:sz w:val="22"/>
          <w:szCs w:val="22"/>
        </w:rPr>
        <w:t>la parte</w:t>
      </w:r>
      <w:r w:rsidRPr="009D0264">
        <w:rPr>
          <w:rFonts w:ascii="Palatino Linotype" w:eastAsia="Palatino Linotype" w:hAnsi="Palatino Linotype" w:cs="Palatino Linotype"/>
          <w:sz w:val="22"/>
          <w:szCs w:val="22"/>
        </w:rPr>
        <w:t xml:space="preserve"> </w:t>
      </w:r>
      <w:r w:rsidRPr="009D0264">
        <w:rPr>
          <w:rFonts w:ascii="Palatino Linotype" w:eastAsia="Palatino Linotype" w:hAnsi="Palatino Linotype" w:cs="Palatino Linotype"/>
          <w:b/>
          <w:sz w:val="22"/>
          <w:szCs w:val="22"/>
        </w:rPr>
        <w:t>Recurrente</w:t>
      </w:r>
      <w:r w:rsidRPr="009D0264">
        <w:rPr>
          <w:rFonts w:ascii="Palatino Linotype" w:eastAsia="Palatino Linotype" w:hAnsi="Palatino Linotype" w:cs="Palatino Linotype"/>
          <w:sz w:val="22"/>
          <w:szCs w:val="22"/>
        </w:rPr>
        <w:t xml:space="preserve">, se tuvo por presentado el día </w:t>
      </w:r>
      <w:r w:rsidRPr="009D0264">
        <w:rPr>
          <w:rFonts w:ascii="Palatino Linotype" w:eastAsia="Palatino Linotype" w:hAnsi="Palatino Linotype" w:cs="Palatino Linotype"/>
          <w:b/>
          <w:sz w:val="22"/>
          <w:szCs w:val="22"/>
        </w:rPr>
        <w:t xml:space="preserve">quince de abril de dos mil veinticuatro, </w:t>
      </w:r>
      <w:r w:rsidRPr="009D0264">
        <w:rPr>
          <w:rFonts w:ascii="Palatino Linotype" w:eastAsia="Palatino Linotype" w:hAnsi="Palatino Linotype" w:cs="Palatino Linotype"/>
          <w:sz w:val="22"/>
          <w:szCs w:val="22"/>
        </w:rPr>
        <w:t xml:space="preserve">esto es, </w:t>
      </w:r>
      <w:r w:rsidRPr="009D0264">
        <w:rPr>
          <w:rFonts w:ascii="Palatino Linotype" w:eastAsia="Palatino Linotype" w:hAnsi="Palatino Linotype" w:cs="Palatino Linotype"/>
          <w:b/>
          <w:sz w:val="22"/>
          <w:szCs w:val="22"/>
        </w:rPr>
        <w:t>al segundo día hábil siguiente a aquel en que se tuvo conocimiento de la respuesta impugnada.</w:t>
      </w:r>
      <w:r w:rsidRPr="009D0264">
        <w:rPr>
          <w:rFonts w:ascii="Palatino Linotype" w:eastAsia="Palatino Linotype" w:hAnsi="Palatino Linotype" w:cs="Palatino Linotype"/>
          <w:sz w:val="22"/>
          <w:szCs w:val="22"/>
        </w:rPr>
        <w:t xml:space="preserve"> </w:t>
      </w:r>
    </w:p>
    <w:p w14:paraId="782FDA18"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5ECEC560"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3D76DB0D"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13BE6023" w14:textId="77777777" w:rsidR="00174CEF" w:rsidRPr="009D0264" w:rsidRDefault="0001360E">
      <w:pPr>
        <w:tabs>
          <w:tab w:val="left" w:pos="7938"/>
        </w:tabs>
        <w:spacing w:line="360" w:lineRule="auto"/>
        <w:jc w:val="both"/>
        <w:rPr>
          <w:rFonts w:ascii="Palatino Linotype" w:eastAsia="Palatino Linotype" w:hAnsi="Palatino Linotype" w:cs="Palatino Linotype"/>
          <w:sz w:val="22"/>
          <w:szCs w:val="22"/>
        </w:rPr>
      </w:pPr>
      <w:bookmarkStart w:id="6" w:name="_heading=h.3znysh7" w:colFirst="0" w:colLast="0"/>
      <w:bookmarkEnd w:id="6"/>
      <w:r w:rsidRPr="009D0264">
        <w:rPr>
          <w:rFonts w:ascii="Palatino Linotype" w:eastAsia="Palatino Linotype" w:hAnsi="Palatino Linotype" w:cs="Palatino Linotype"/>
          <w:sz w:val="22"/>
          <w:szCs w:val="22"/>
        </w:rPr>
        <w:lastRenderedPageBreak/>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97ACD19" w14:textId="77777777" w:rsidR="00174CEF" w:rsidRPr="009D0264" w:rsidRDefault="00174CEF">
      <w:pPr>
        <w:tabs>
          <w:tab w:val="left" w:pos="7938"/>
        </w:tabs>
        <w:spacing w:line="360" w:lineRule="auto"/>
        <w:jc w:val="both"/>
        <w:rPr>
          <w:rFonts w:ascii="Palatino Linotype" w:eastAsia="Palatino Linotype" w:hAnsi="Palatino Linotype" w:cs="Palatino Linotype"/>
          <w:sz w:val="22"/>
          <w:szCs w:val="22"/>
        </w:rPr>
      </w:pPr>
    </w:p>
    <w:p w14:paraId="471AFC44"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Por otro lado, es de suma importancia mencionar que, si bien la parte</w:t>
      </w:r>
      <w:r w:rsidRPr="009D0264">
        <w:rPr>
          <w:rFonts w:ascii="Palatino Linotype" w:eastAsia="Palatino Linotype" w:hAnsi="Palatino Linotype" w:cs="Palatino Linotype"/>
          <w:b/>
          <w:sz w:val="22"/>
          <w:szCs w:val="22"/>
        </w:rPr>
        <w:t xml:space="preserve"> Recurrente</w:t>
      </w:r>
      <w:r w:rsidRPr="009D0264">
        <w:rPr>
          <w:rFonts w:ascii="Palatino Linotype" w:eastAsia="Palatino Linotype" w:hAnsi="Palatino Linotype" w:cs="Palatino Linotype"/>
          <w:sz w:val="22"/>
          <w:szCs w:val="22"/>
        </w:rPr>
        <w:t xml:space="preserve"> </w:t>
      </w:r>
      <w:r w:rsidRPr="009D0264">
        <w:rPr>
          <w:rFonts w:ascii="Palatino Linotype" w:eastAsia="Palatino Linotype" w:hAnsi="Palatino Linotype" w:cs="Palatino Linotype"/>
          <w:b/>
          <w:sz w:val="22"/>
          <w:szCs w:val="22"/>
        </w:rPr>
        <w:t>proporcionó un seudónimo</w:t>
      </w:r>
      <w:r w:rsidRPr="009D0264">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14CA1C7"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23E750C5" w14:textId="77777777" w:rsidR="00174CEF" w:rsidRPr="009D0264" w:rsidRDefault="0001360E">
      <w:pPr>
        <w:spacing w:line="276" w:lineRule="auto"/>
        <w:ind w:left="851" w:right="902"/>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i/>
          <w:sz w:val="22"/>
          <w:szCs w:val="22"/>
        </w:rPr>
        <w:t>"</w:t>
      </w:r>
      <w:r w:rsidRPr="009D0264">
        <w:rPr>
          <w:rFonts w:ascii="Palatino Linotype" w:eastAsia="Palatino Linotype" w:hAnsi="Palatino Linotype" w:cs="Palatino Linotype"/>
          <w:b/>
          <w:i/>
          <w:sz w:val="22"/>
          <w:szCs w:val="22"/>
        </w:rPr>
        <w:t xml:space="preserve">Las solicitudes </w:t>
      </w:r>
      <w:r w:rsidRPr="009D0264">
        <w:rPr>
          <w:rFonts w:ascii="Palatino Linotype" w:eastAsia="Palatino Linotype" w:hAnsi="Palatino Linotype" w:cs="Palatino Linotype"/>
          <w:i/>
          <w:sz w:val="22"/>
          <w:szCs w:val="22"/>
        </w:rPr>
        <w:t xml:space="preserve">anónimas, con nombre incompleto o </w:t>
      </w:r>
      <w:r w:rsidRPr="009D0264">
        <w:rPr>
          <w:rFonts w:ascii="Palatino Linotype" w:eastAsia="Palatino Linotype" w:hAnsi="Palatino Linotype" w:cs="Palatino Linotype"/>
          <w:b/>
          <w:i/>
          <w:sz w:val="22"/>
          <w:szCs w:val="22"/>
        </w:rPr>
        <w:t>seudónimo</w:t>
      </w:r>
      <w:r w:rsidRPr="009D0264">
        <w:rPr>
          <w:rFonts w:ascii="Palatino Linotype" w:eastAsia="Palatino Linotype" w:hAnsi="Palatino Linotype" w:cs="Palatino Linotype"/>
          <w:i/>
          <w:sz w:val="22"/>
          <w:szCs w:val="22"/>
        </w:rPr>
        <w:t> </w:t>
      </w:r>
      <w:r w:rsidRPr="009D0264">
        <w:rPr>
          <w:rFonts w:ascii="Palatino Linotype" w:eastAsia="Palatino Linotype" w:hAnsi="Palatino Linotype" w:cs="Palatino Linotype"/>
          <w:b/>
          <w:i/>
          <w:sz w:val="22"/>
          <w:szCs w:val="22"/>
        </w:rPr>
        <w:t>serán procedentes para su trámite por parte del sujeto obligado ante quien se presente</w:t>
      </w:r>
      <w:r w:rsidRPr="009D0264">
        <w:rPr>
          <w:rFonts w:ascii="Palatino Linotype" w:eastAsia="Palatino Linotype" w:hAnsi="Palatino Linotype" w:cs="Palatino Linotype"/>
          <w:i/>
          <w:sz w:val="22"/>
          <w:szCs w:val="22"/>
        </w:rPr>
        <w:t>. No podrá requerirse información adicional con motivo del nombre proporcionado por el solicitante."</w:t>
      </w:r>
    </w:p>
    <w:p w14:paraId="7C126A9B"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6990C2BA"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9D0264">
        <w:rPr>
          <w:rFonts w:ascii="Palatino Linotype" w:eastAsia="Palatino Linotype" w:hAnsi="Palatino Linotype" w:cs="Palatino Linotype"/>
          <w:b/>
          <w:sz w:val="22"/>
          <w:szCs w:val="22"/>
        </w:rPr>
        <w:t>Recurrente</w:t>
      </w:r>
      <w:r w:rsidRPr="009D0264">
        <w:rPr>
          <w:rFonts w:ascii="Palatino Linotype" w:eastAsia="Palatino Linotype" w:hAnsi="Palatino Linotype" w:cs="Palatino Linotype"/>
          <w:sz w:val="22"/>
          <w:szCs w:val="22"/>
        </w:rPr>
        <w:t xml:space="preserve"> en sus motivos de inconformidad, de acuerdo al artículo 179, fracción I del ordenamiento legal citado, que a la letra dice: </w:t>
      </w:r>
    </w:p>
    <w:p w14:paraId="718B54AD"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093C5B66" w14:textId="77777777" w:rsidR="00174CEF" w:rsidRPr="009D0264" w:rsidRDefault="0001360E">
      <w:pPr>
        <w:ind w:left="567" w:right="902"/>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i/>
          <w:sz w:val="22"/>
          <w:szCs w:val="22"/>
        </w:rPr>
        <w:t>“</w:t>
      </w:r>
      <w:r w:rsidRPr="009D0264">
        <w:rPr>
          <w:rFonts w:ascii="Palatino Linotype" w:eastAsia="Palatino Linotype" w:hAnsi="Palatino Linotype" w:cs="Palatino Linotype"/>
          <w:b/>
          <w:i/>
          <w:sz w:val="22"/>
          <w:szCs w:val="22"/>
        </w:rPr>
        <w:t>Artículo 179.</w:t>
      </w:r>
      <w:r w:rsidRPr="009D0264">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B8B16EB" w14:textId="77777777" w:rsidR="00174CEF" w:rsidRPr="009D0264" w:rsidRDefault="0001360E">
      <w:pPr>
        <w:ind w:left="567"/>
        <w:rPr>
          <w:rFonts w:ascii="Palatino Linotype" w:eastAsia="Palatino Linotype" w:hAnsi="Palatino Linotype" w:cs="Palatino Linotype"/>
          <w:b/>
          <w:i/>
          <w:sz w:val="22"/>
          <w:szCs w:val="22"/>
        </w:rPr>
      </w:pPr>
      <w:r w:rsidRPr="009D0264">
        <w:rPr>
          <w:rFonts w:ascii="Palatino Linotype" w:eastAsia="Palatino Linotype" w:hAnsi="Palatino Linotype" w:cs="Palatino Linotype"/>
          <w:b/>
          <w:i/>
          <w:sz w:val="22"/>
          <w:szCs w:val="22"/>
        </w:rPr>
        <w:t>I. La negativa a la información solicitada;</w:t>
      </w:r>
    </w:p>
    <w:p w14:paraId="51FB1E6B" w14:textId="77777777" w:rsidR="00174CEF" w:rsidRPr="009D0264" w:rsidRDefault="0001360E">
      <w:pPr>
        <w:ind w:left="567"/>
        <w:rPr>
          <w:rFonts w:ascii="Palatino Linotype" w:eastAsia="Palatino Linotype" w:hAnsi="Palatino Linotype" w:cs="Palatino Linotype"/>
          <w:b/>
          <w:i/>
          <w:sz w:val="22"/>
          <w:szCs w:val="22"/>
        </w:rPr>
      </w:pPr>
      <w:r w:rsidRPr="009D0264">
        <w:rPr>
          <w:rFonts w:ascii="Palatino Linotype" w:eastAsia="Palatino Linotype" w:hAnsi="Palatino Linotype" w:cs="Palatino Linotype"/>
          <w:b/>
          <w:i/>
          <w:sz w:val="22"/>
          <w:szCs w:val="22"/>
        </w:rPr>
        <w:t xml:space="preserve">[…]” </w:t>
      </w:r>
    </w:p>
    <w:p w14:paraId="29CAE230" w14:textId="77777777" w:rsidR="00174CEF" w:rsidRPr="009D0264" w:rsidRDefault="0001360E">
      <w:pPr>
        <w:ind w:left="567" w:right="1041"/>
        <w:jc w:val="right"/>
        <w:rPr>
          <w:rFonts w:ascii="Palatino Linotype" w:eastAsia="Palatino Linotype" w:hAnsi="Palatino Linotype" w:cs="Palatino Linotype"/>
          <w:b/>
          <w:i/>
          <w:sz w:val="22"/>
          <w:szCs w:val="22"/>
        </w:rPr>
      </w:pPr>
      <w:r w:rsidRPr="009D0264">
        <w:rPr>
          <w:rFonts w:ascii="Palatino Linotype" w:eastAsia="Palatino Linotype" w:hAnsi="Palatino Linotype" w:cs="Palatino Linotype"/>
          <w:i/>
          <w:sz w:val="22"/>
          <w:szCs w:val="22"/>
        </w:rPr>
        <w:t>(Énfasis añadido)</w:t>
      </w:r>
    </w:p>
    <w:p w14:paraId="675413D1" w14:textId="77777777" w:rsidR="00174CEF" w:rsidRPr="009D0264" w:rsidRDefault="00174CEF">
      <w:pPr>
        <w:spacing w:before="120" w:after="120"/>
        <w:ind w:left="567"/>
        <w:rPr>
          <w:rFonts w:ascii="Palatino Linotype" w:eastAsia="Palatino Linotype" w:hAnsi="Palatino Linotype" w:cs="Palatino Linotype"/>
          <w:b/>
          <w:i/>
          <w:sz w:val="22"/>
          <w:szCs w:val="22"/>
        </w:rPr>
      </w:pPr>
    </w:p>
    <w:p w14:paraId="1F89249A"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b/>
          <w:sz w:val="22"/>
          <w:szCs w:val="22"/>
        </w:rPr>
        <w:lastRenderedPageBreak/>
        <w:t xml:space="preserve">Tercero. Materia de la revisión. </w:t>
      </w:r>
      <w:r w:rsidRPr="009D0264">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9D0264">
        <w:rPr>
          <w:rFonts w:ascii="Palatino Linotype" w:eastAsia="Palatino Linotype" w:hAnsi="Palatino Linotype" w:cs="Palatino Linotype"/>
          <w:b/>
          <w:sz w:val="22"/>
          <w:szCs w:val="22"/>
        </w:rPr>
        <w:t xml:space="preserve">verificar si la respuesta e informe justificado otorgados por el Sujeto Obligado son adecuados y suficientes para satisfacer el derecho de acceso a la información pública </w:t>
      </w:r>
      <w:r w:rsidRPr="009D0264">
        <w:rPr>
          <w:rFonts w:ascii="Palatino Linotype" w:eastAsia="Palatino Linotype" w:hAnsi="Palatino Linotype" w:cs="Palatino Linotype"/>
          <w:sz w:val="22"/>
          <w:szCs w:val="22"/>
        </w:rPr>
        <w:t xml:space="preserve">de </w:t>
      </w:r>
      <w:r w:rsidRPr="009D0264">
        <w:rPr>
          <w:rFonts w:ascii="Palatino Linotype" w:eastAsia="Palatino Linotype" w:hAnsi="Palatino Linotype" w:cs="Palatino Linotype"/>
          <w:b/>
          <w:sz w:val="22"/>
          <w:szCs w:val="22"/>
        </w:rPr>
        <w:t>la parte</w:t>
      </w:r>
      <w:r w:rsidRPr="009D0264">
        <w:rPr>
          <w:rFonts w:ascii="Palatino Linotype" w:eastAsia="Palatino Linotype" w:hAnsi="Palatino Linotype" w:cs="Palatino Linotype"/>
          <w:sz w:val="22"/>
          <w:szCs w:val="22"/>
        </w:rPr>
        <w:t xml:space="preserve"> </w:t>
      </w:r>
      <w:r w:rsidRPr="009D0264">
        <w:rPr>
          <w:rFonts w:ascii="Palatino Linotype" w:eastAsia="Palatino Linotype" w:hAnsi="Palatino Linotype" w:cs="Palatino Linotype"/>
          <w:b/>
          <w:sz w:val="22"/>
          <w:szCs w:val="22"/>
        </w:rPr>
        <w:t>Recurrente</w:t>
      </w:r>
      <w:r w:rsidRPr="009D0264">
        <w:rPr>
          <w:rFonts w:ascii="Palatino Linotype" w:eastAsia="Palatino Linotype" w:hAnsi="Palatino Linotype" w:cs="Palatino Linotype"/>
          <w:sz w:val="22"/>
          <w:szCs w:val="22"/>
        </w:rPr>
        <w:t>, o en su defecto, en caso de ser procedente, ordenar la entrega de información.</w:t>
      </w:r>
    </w:p>
    <w:p w14:paraId="6B4DDC18" w14:textId="77777777" w:rsidR="00174CEF" w:rsidRPr="009D0264" w:rsidRDefault="00174CEF">
      <w:pPr>
        <w:spacing w:line="360" w:lineRule="auto"/>
        <w:jc w:val="both"/>
        <w:rPr>
          <w:rFonts w:ascii="Palatino Linotype" w:eastAsia="Palatino Linotype" w:hAnsi="Palatino Linotype" w:cs="Palatino Linotype"/>
          <w:b/>
          <w:sz w:val="22"/>
          <w:szCs w:val="22"/>
        </w:rPr>
      </w:pPr>
    </w:p>
    <w:p w14:paraId="25016EBF" w14:textId="77777777" w:rsidR="00174CEF" w:rsidRPr="009D0264" w:rsidRDefault="0001360E">
      <w:pPr>
        <w:pBdr>
          <w:top w:val="nil"/>
          <w:left w:val="nil"/>
          <w:bottom w:val="nil"/>
          <w:right w:val="nil"/>
          <w:between w:val="nil"/>
        </w:pBdr>
        <w:spacing w:line="360" w:lineRule="auto"/>
        <w:jc w:val="both"/>
        <w:rPr>
          <w:sz w:val="22"/>
          <w:szCs w:val="22"/>
        </w:rPr>
      </w:pPr>
      <w:bookmarkStart w:id="7" w:name="_heading=h.2et92p0" w:colFirst="0" w:colLast="0"/>
      <w:bookmarkEnd w:id="7"/>
      <w:r w:rsidRPr="009D0264">
        <w:rPr>
          <w:rFonts w:ascii="Palatino Linotype" w:eastAsia="Palatino Linotype" w:hAnsi="Palatino Linotype" w:cs="Palatino Linotype"/>
          <w:b/>
          <w:sz w:val="22"/>
          <w:szCs w:val="22"/>
        </w:rPr>
        <w:t xml:space="preserve">Cuarto. Estudio del asunto </w:t>
      </w:r>
      <w:r w:rsidRPr="009D0264">
        <w:rPr>
          <w:rFonts w:ascii="Palatino Linotype" w:eastAsia="Palatino Linotype" w:hAnsi="Palatino Linotype" w:cs="Palatino Linotype"/>
          <w:sz w:val="22"/>
          <w:szCs w:val="22"/>
        </w:rPr>
        <w:t xml:space="preserve">Antes de entrar al análisis de los pronunciamientos del </w:t>
      </w:r>
      <w:r w:rsidRPr="009D0264">
        <w:rPr>
          <w:rFonts w:ascii="Palatino Linotype" w:eastAsia="Palatino Linotype" w:hAnsi="Palatino Linotype" w:cs="Palatino Linotype"/>
          <w:b/>
          <w:sz w:val="22"/>
          <w:szCs w:val="22"/>
        </w:rPr>
        <w:t>Sujeto Obligado</w:t>
      </w:r>
      <w:r w:rsidRPr="009D0264">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30249C3" w14:textId="77777777" w:rsidR="00174CEF" w:rsidRPr="009D0264" w:rsidRDefault="0001360E">
      <w:pPr>
        <w:pBdr>
          <w:top w:val="nil"/>
          <w:left w:val="nil"/>
          <w:bottom w:val="nil"/>
          <w:right w:val="nil"/>
          <w:between w:val="nil"/>
        </w:pBdr>
        <w:spacing w:before="240" w:after="240"/>
        <w:ind w:left="851" w:right="850"/>
        <w:jc w:val="both"/>
      </w:pPr>
      <w:r w:rsidRPr="009D0264">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9D0264">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49D49668" w14:textId="77777777" w:rsidR="00174CEF" w:rsidRPr="009D0264" w:rsidRDefault="0001360E">
      <w:pPr>
        <w:pBdr>
          <w:top w:val="nil"/>
          <w:left w:val="nil"/>
          <w:bottom w:val="nil"/>
          <w:right w:val="nil"/>
          <w:between w:val="nil"/>
        </w:pBdr>
        <w:spacing w:before="240" w:after="240"/>
        <w:ind w:left="851" w:right="850"/>
        <w:jc w:val="both"/>
      </w:pPr>
      <w:r w:rsidRPr="009D0264">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7B9AE214" w14:textId="77777777" w:rsidR="00174CEF" w:rsidRPr="009D0264" w:rsidRDefault="0001360E">
      <w:pPr>
        <w:pBdr>
          <w:top w:val="nil"/>
          <w:left w:val="nil"/>
          <w:bottom w:val="nil"/>
          <w:right w:val="nil"/>
          <w:between w:val="nil"/>
        </w:pBdr>
        <w:spacing w:before="240" w:after="240"/>
        <w:ind w:left="851" w:right="850"/>
        <w:jc w:val="both"/>
      </w:pPr>
      <w:r w:rsidRPr="009D0264">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9D0264">
        <w:rPr>
          <w:rFonts w:ascii="Palatino Linotype" w:eastAsia="Palatino Linotype" w:hAnsi="Palatino Linotype" w:cs="Palatino Linotype"/>
          <w:i/>
          <w:sz w:val="22"/>
          <w:szCs w:val="22"/>
        </w:rPr>
        <w:t xml:space="preserve"> En consecuencia, el </w:t>
      </w:r>
      <w:r w:rsidRPr="009D0264">
        <w:rPr>
          <w:rFonts w:ascii="Palatino Linotype" w:eastAsia="Palatino Linotype" w:hAnsi="Palatino Linotype" w:cs="Palatino Linotype"/>
          <w:i/>
          <w:sz w:val="22"/>
          <w:szCs w:val="22"/>
        </w:rPr>
        <w:lastRenderedPageBreak/>
        <w:t>Estado deberá prevenir, investigar, sancionar y reparar las violaciones a los derechos humanos, en los términos que establezca la ley</w:t>
      </w:r>
    </w:p>
    <w:p w14:paraId="7FE01259" w14:textId="77777777" w:rsidR="00174CEF" w:rsidRPr="009D0264" w:rsidRDefault="0001360E">
      <w:pPr>
        <w:pBdr>
          <w:top w:val="nil"/>
          <w:left w:val="nil"/>
          <w:bottom w:val="nil"/>
          <w:right w:val="nil"/>
          <w:between w:val="nil"/>
        </w:pBdr>
        <w:spacing w:before="240" w:after="240"/>
        <w:ind w:left="851" w:right="850"/>
        <w:jc w:val="both"/>
      </w:pPr>
      <w:r w:rsidRPr="009D0264">
        <w:rPr>
          <w:rFonts w:ascii="Palatino Linotype" w:eastAsia="Palatino Linotype" w:hAnsi="Palatino Linotype" w:cs="Palatino Linotype"/>
          <w:i/>
          <w:sz w:val="22"/>
          <w:szCs w:val="22"/>
        </w:rPr>
        <w:t>[…]</w:t>
      </w:r>
    </w:p>
    <w:p w14:paraId="522CCE8D" w14:textId="77777777" w:rsidR="00174CEF" w:rsidRPr="009D0264" w:rsidRDefault="0001360E">
      <w:pPr>
        <w:pBdr>
          <w:top w:val="nil"/>
          <w:left w:val="nil"/>
          <w:bottom w:val="nil"/>
          <w:right w:val="nil"/>
          <w:between w:val="nil"/>
        </w:pBdr>
        <w:spacing w:before="240" w:after="240"/>
        <w:ind w:left="851" w:right="901"/>
        <w:jc w:val="both"/>
      </w:pPr>
      <w:r w:rsidRPr="009D0264">
        <w:rPr>
          <w:rFonts w:ascii="Palatino Linotype" w:eastAsia="Palatino Linotype" w:hAnsi="Palatino Linotype" w:cs="Palatino Linotype"/>
          <w:b/>
          <w:i/>
          <w:sz w:val="22"/>
          <w:szCs w:val="22"/>
        </w:rPr>
        <w:t>“Artículo 6o.</w:t>
      </w:r>
    </w:p>
    <w:p w14:paraId="1BFCD88F" w14:textId="77777777" w:rsidR="00174CEF" w:rsidRPr="009D0264" w:rsidRDefault="0001360E">
      <w:pPr>
        <w:pBdr>
          <w:top w:val="nil"/>
          <w:left w:val="nil"/>
          <w:bottom w:val="nil"/>
          <w:right w:val="nil"/>
          <w:between w:val="nil"/>
        </w:pBdr>
        <w:spacing w:before="240" w:after="240"/>
        <w:ind w:left="851" w:right="901"/>
        <w:jc w:val="both"/>
      </w:pPr>
      <w:r w:rsidRPr="009D0264">
        <w:rPr>
          <w:rFonts w:ascii="Palatino Linotype" w:eastAsia="Palatino Linotype" w:hAnsi="Palatino Linotype" w:cs="Palatino Linotype"/>
          <w:i/>
          <w:sz w:val="22"/>
          <w:szCs w:val="22"/>
        </w:rPr>
        <w:t>[...]</w:t>
      </w:r>
    </w:p>
    <w:p w14:paraId="4E0C978D" w14:textId="77777777" w:rsidR="00174CEF" w:rsidRPr="009D0264" w:rsidRDefault="0001360E">
      <w:pPr>
        <w:pBdr>
          <w:top w:val="nil"/>
          <w:left w:val="nil"/>
          <w:bottom w:val="nil"/>
          <w:right w:val="nil"/>
          <w:between w:val="nil"/>
        </w:pBdr>
        <w:spacing w:before="240" w:after="240"/>
        <w:ind w:left="851" w:right="851"/>
        <w:jc w:val="both"/>
      </w:pPr>
      <w:r w:rsidRPr="009D0264">
        <w:rPr>
          <w:rFonts w:ascii="Palatino Linotype" w:eastAsia="Palatino Linotype" w:hAnsi="Palatino Linotype" w:cs="Palatino Linotype"/>
          <w:b/>
          <w:i/>
          <w:sz w:val="22"/>
          <w:szCs w:val="22"/>
        </w:rPr>
        <w:t xml:space="preserve">A. Para el ejercicio del derecho de acceso a la información, la Federación y </w:t>
      </w:r>
      <w:r w:rsidRPr="009D0264">
        <w:rPr>
          <w:rFonts w:ascii="Palatino Linotype" w:eastAsia="Palatino Linotype" w:hAnsi="Palatino Linotype" w:cs="Palatino Linotype"/>
          <w:b/>
          <w:i/>
          <w:sz w:val="22"/>
          <w:szCs w:val="22"/>
          <w:u w:val="single"/>
        </w:rPr>
        <w:t>las entidades federativas</w:t>
      </w:r>
      <w:r w:rsidRPr="009D0264">
        <w:rPr>
          <w:rFonts w:ascii="Palatino Linotype" w:eastAsia="Palatino Linotype" w:hAnsi="Palatino Linotype" w:cs="Palatino Linotype"/>
          <w:b/>
          <w:i/>
          <w:sz w:val="22"/>
          <w:szCs w:val="22"/>
        </w:rPr>
        <w:t>,</w:t>
      </w:r>
      <w:r w:rsidRPr="009D0264">
        <w:rPr>
          <w:rFonts w:ascii="Palatino Linotype" w:eastAsia="Palatino Linotype" w:hAnsi="Palatino Linotype" w:cs="Palatino Linotype"/>
          <w:i/>
          <w:sz w:val="22"/>
          <w:szCs w:val="22"/>
        </w:rPr>
        <w:t xml:space="preserve"> en el ámbito de sus respectivas competencias, se regirán por los siguientes principios y bases:</w:t>
      </w:r>
    </w:p>
    <w:p w14:paraId="541EDF80" w14:textId="77777777" w:rsidR="00174CEF" w:rsidRPr="009D0264" w:rsidRDefault="0001360E">
      <w:pPr>
        <w:pBdr>
          <w:top w:val="nil"/>
          <w:left w:val="nil"/>
          <w:bottom w:val="nil"/>
          <w:right w:val="nil"/>
          <w:between w:val="nil"/>
        </w:pBdr>
        <w:spacing w:before="240" w:after="240"/>
        <w:ind w:left="851" w:right="851"/>
        <w:jc w:val="both"/>
      </w:pPr>
      <w:r w:rsidRPr="009D0264">
        <w:rPr>
          <w:rFonts w:ascii="Palatino Linotype" w:eastAsia="Palatino Linotype" w:hAnsi="Palatino Linotype" w:cs="Palatino Linotype"/>
          <w:i/>
          <w:sz w:val="22"/>
          <w:szCs w:val="22"/>
        </w:rPr>
        <w:t> </w:t>
      </w:r>
      <w:r w:rsidRPr="009D0264">
        <w:rPr>
          <w:rFonts w:ascii="Palatino Linotype" w:eastAsia="Palatino Linotype" w:hAnsi="Palatino Linotype" w:cs="Palatino Linotype"/>
          <w:b/>
          <w:i/>
          <w:sz w:val="22"/>
          <w:szCs w:val="22"/>
        </w:rPr>
        <w:t xml:space="preserve">I. </w:t>
      </w:r>
      <w:r w:rsidRPr="009D0264">
        <w:rPr>
          <w:rFonts w:ascii="Palatino Linotype" w:eastAsia="Palatino Linotype" w:hAnsi="Palatino Linotype" w:cs="Palatino Linotype"/>
          <w:b/>
          <w:i/>
          <w:sz w:val="22"/>
          <w:szCs w:val="22"/>
          <w:u w:val="single"/>
        </w:rPr>
        <w:t>Toda la información en posesión de cualquier autoridad, entidad, órgano y organismo de los Poderes</w:t>
      </w:r>
      <w:r w:rsidRPr="009D0264">
        <w:rPr>
          <w:rFonts w:ascii="Palatino Linotype" w:eastAsia="Palatino Linotype" w:hAnsi="Palatino Linotype" w:cs="Palatino Linotype"/>
          <w:i/>
          <w:sz w:val="22"/>
          <w:szCs w:val="22"/>
        </w:rPr>
        <w:t xml:space="preserve"> Ejecutivo, Legislativo </w:t>
      </w:r>
      <w:r w:rsidRPr="009D0264">
        <w:rPr>
          <w:rFonts w:ascii="Palatino Linotype" w:eastAsia="Palatino Linotype" w:hAnsi="Palatino Linotype" w:cs="Palatino Linotype"/>
          <w:b/>
          <w:i/>
          <w:sz w:val="22"/>
          <w:szCs w:val="22"/>
          <w:u w:val="single"/>
        </w:rPr>
        <w:t>y Judicial</w:t>
      </w:r>
      <w:r w:rsidRPr="009D0264">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9D0264">
        <w:rPr>
          <w:rFonts w:ascii="Palatino Linotype" w:eastAsia="Palatino Linotype" w:hAnsi="Palatino Linotype" w:cs="Palatino Linotype"/>
          <w:b/>
          <w:i/>
          <w:sz w:val="22"/>
          <w:szCs w:val="22"/>
        </w:rPr>
        <w:t>es pública y sólo podrá ser reservada temporalmente por razones de interés público y seguridad nacional,</w:t>
      </w:r>
      <w:r w:rsidRPr="009D0264">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F712531" w14:textId="77777777" w:rsidR="00174CEF" w:rsidRPr="009D0264" w:rsidRDefault="0001360E">
      <w:pPr>
        <w:pBdr>
          <w:top w:val="nil"/>
          <w:left w:val="nil"/>
          <w:bottom w:val="nil"/>
          <w:right w:val="nil"/>
          <w:between w:val="nil"/>
        </w:pBdr>
        <w:spacing w:before="240" w:after="240"/>
        <w:ind w:left="851" w:right="851"/>
        <w:jc w:val="both"/>
      </w:pPr>
      <w:r w:rsidRPr="009D0264">
        <w:rPr>
          <w:rFonts w:ascii="Palatino Linotype" w:eastAsia="Palatino Linotype" w:hAnsi="Palatino Linotype" w:cs="Palatino Linotype"/>
          <w:i/>
          <w:sz w:val="22"/>
          <w:szCs w:val="22"/>
        </w:rPr>
        <w:t> </w:t>
      </w:r>
      <w:r w:rsidRPr="009D0264">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72AC8DA8" w14:textId="77777777" w:rsidR="00174CEF" w:rsidRPr="009D0264" w:rsidRDefault="0001360E">
      <w:pPr>
        <w:pBdr>
          <w:top w:val="nil"/>
          <w:left w:val="nil"/>
          <w:bottom w:val="nil"/>
          <w:right w:val="nil"/>
          <w:between w:val="nil"/>
        </w:pBdr>
        <w:spacing w:before="240" w:after="240"/>
        <w:ind w:left="851" w:right="851"/>
        <w:jc w:val="both"/>
      </w:pPr>
      <w:r w:rsidRPr="009D0264">
        <w:rPr>
          <w:rFonts w:ascii="Palatino Linotype" w:eastAsia="Palatino Linotype" w:hAnsi="Palatino Linotype" w:cs="Palatino Linotype"/>
          <w:i/>
          <w:sz w:val="22"/>
          <w:szCs w:val="22"/>
        </w:rPr>
        <w:t> </w:t>
      </w:r>
      <w:r w:rsidRPr="009D0264">
        <w:rPr>
          <w:rFonts w:ascii="Palatino Linotype" w:eastAsia="Palatino Linotype" w:hAnsi="Palatino Linotype" w:cs="Palatino Linotype"/>
          <w:b/>
          <w:i/>
          <w:sz w:val="22"/>
          <w:szCs w:val="22"/>
        </w:rPr>
        <w:t xml:space="preserve">III. </w:t>
      </w:r>
      <w:r w:rsidRPr="009D0264">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9D0264">
        <w:rPr>
          <w:rFonts w:ascii="Palatino Linotype" w:eastAsia="Palatino Linotype" w:hAnsi="Palatino Linotype" w:cs="Palatino Linotype"/>
          <w:i/>
          <w:sz w:val="22"/>
          <w:szCs w:val="22"/>
        </w:rPr>
        <w:t xml:space="preserve"> a sus datos personales o a la rectificación de éstos.</w:t>
      </w:r>
    </w:p>
    <w:p w14:paraId="60C36376" w14:textId="77777777" w:rsidR="00174CEF" w:rsidRPr="009D0264" w:rsidRDefault="0001360E">
      <w:pPr>
        <w:pBdr>
          <w:top w:val="nil"/>
          <w:left w:val="nil"/>
          <w:bottom w:val="nil"/>
          <w:right w:val="nil"/>
          <w:between w:val="nil"/>
        </w:pBdr>
        <w:spacing w:before="240" w:after="240"/>
        <w:ind w:left="851" w:right="851"/>
        <w:jc w:val="both"/>
      </w:pPr>
      <w:r w:rsidRPr="009D0264">
        <w:rPr>
          <w:rFonts w:ascii="Palatino Linotype" w:eastAsia="Palatino Linotype" w:hAnsi="Palatino Linotype" w:cs="Palatino Linotype"/>
          <w:i/>
          <w:sz w:val="22"/>
          <w:szCs w:val="22"/>
        </w:rPr>
        <w:t> </w:t>
      </w:r>
      <w:r w:rsidRPr="009D0264">
        <w:rPr>
          <w:rFonts w:ascii="Palatino Linotype" w:eastAsia="Palatino Linotype" w:hAnsi="Palatino Linotype" w:cs="Palatino Linotype"/>
          <w:b/>
          <w:i/>
          <w:sz w:val="22"/>
          <w:szCs w:val="22"/>
        </w:rPr>
        <w:t xml:space="preserve">IV. </w:t>
      </w:r>
      <w:r w:rsidRPr="009D0264">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2CB8267" w14:textId="77777777" w:rsidR="00174CEF" w:rsidRPr="009D0264" w:rsidRDefault="0001360E">
      <w:pPr>
        <w:pBdr>
          <w:top w:val="nil"/>
          <w:left w:val="nil"/>
          <w:bottom w:val="nil"/>
          <w:right w:val="nil"/>
          <w:between w:val="nil"/>
        </w:pBdr>
        <w:spacing w:before="240" w:after="240"/>
        <w:ind w:left="851" w:right="851"/>
        <w:jc w:val="both"/>
      </w:pPr>
      <w:r w:rsidRPr="009D0264">
        <w:rPr>
          <w:rFonts w:ascii="Palatino Linotype" w:eastAsia="Palatino Linotype" w:hAnsi="Palatino Linotype" w:cs="Palatino Linotype"/>
          <w:b/>
          <w:i/>
          <w:sz w:val="22"/>
          <w:szCs w:val="22"/>
        </w:rPr>
        <w:t xml:space="preserve">V. </w:t>
      </w:r>
      <w:r w:rsidRPr="009D0264">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4568FC6" w14:textId="77777777" w:rsidR="00174CEF" w:rsidRPr="009D0264" w:rsidRDefault="0001360E">
      <w:pPr>
        <w:pBdr>
          <w:top w:val="nil"/>
          <w:left w:val="nil"/>
          <w:bottom w:val="nil"/>
          <w:right w:val="nil"/>
          <w:between w:val="nil"/>
        </w:pBdr>
        <w:spacing w:before="240" w:after="240"/>
        <w:ind w:left="851" w:right="851"/>
        <w:jc w:val="both"/>
      </w:pPr>
      <w:r w:rsidRPr="009D0264">
        <w:rPr>
          <w:rFonts w:ascii="Palatino Linotype" w:eastAsia="Palatino Linotype" w:hAnsi="Palatino Linotype" w:cs="Palatino Linotype"/>
          <w:i/>
          <w:sz w:val="22"/>
          <w:szCs w:val="22"/>
        </w:rPr>
        <w:lastRenderedPageBreak/>
        <w:t> </w:t>
      </w:r>
      <w:r w:rsidRPr="009D0264">
        <w:rPr>
          <w:rFonts w:ascii="Palatino Linotype" w:eastAsia="Palatino Linotype" w:hAnsi="Palatino Linotype" w:cs="Palatino Linotype"/>
          <w:b/>
          <w:i/>
          <w:sz w:val="22"/>
          <w:szCs w:val="22"/>
        </w:rPr>
        <w:t xml:space="preserve">VI. </w:t>
      </w:r>
      <w:r w:rsidRPr="009D0264">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7D6570D" w14:textId="77777777" w:rsidR="00174CEF" w:rsidRPr="009D0264" w:rsidRDefault="0001360E">
      <w:pPr>
        <w:pBdr>
          <w:top w:val="nil"/>
          <w:left w:val="nil"/>
          <w:bottom w:val="nil"/>
          <w:right w:val="nil"/>
          <w:between w:val="nil"/>
        </w:pBdr>
        <w:spacing w:before="240" w:after="240"/>
        <w:ind w:left="851" w:right="851"/>
        <w:jc w:val="both"/>
      </w:pPr>
      <w:r w:rsidRPr="009D0264">
        <w:rPr>
          <w:rFonts w:ascii="Palatino Linotype" w:eastAsia="Palatino Linotype" w:hAnsi="Palatino Linotype" w:cs="Palatino Linotype"/>
          <w:i/>
          <w:sz w:val="22"/>
          <w:szCs w:val="22"/>
        </w:rPr>
        <w:t> </w:t>
      </w:r>
      <w:r w:rsidRPr="009D0264">
        <w:rPr>
          <w:rFonts w:ascii="Palatino Linotype" w:eastAsia="Palatino Linotype" w:hAnsi="Palatino Linotype" w:cs="Palatino Linotype"/>
          <w:b/>
          <w:i/>
          <w:sz w:val="22"/>
          <w:szCs w:val="22"/>
        </w:rPr>
        <w:t xml:space="preserve">VII. </w:t>
      </w:r>
      <w:r w:rsidRPr="009D0264">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54D6696F" w14:textId="77777777" w:rsidR="00174CEF" w:rsidRPr="009D0264" w:rsidRDefault="0001360E">
      <w:pPr>
        <w:pBdr>
          <w:top w:val="nil"/>
          <w:left w:val="nil"/>
          <w:bottom w:val="nil"/>
          <w:right w:val="nil"/>
          <w:between w:val="nil"/>
        </w:pBdr>
        <w:spacing w:before="240" w:after="240" w:line="360" w:lineRule="auto"/>
        <w:jc w:val="both"/>
        <w:rPr>
          <w:sz w:val="22"/>
          <w:szCs w:val="22"/>
        </w:rPr>
      </w:pPr>
      <w:r w:rsidRPr="009D0264">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097ADC0" w14:textId="77777777" w:rsidR="00174CEF" w:rsidRPr="009D0264" w:rsidRDefault="0001360E">
      <w:pPr>
        <w:pBdr>
          <w:top w:val="nil"/>
          <w:left w:val="nil"/>
          <w:bottom w:val="nil"/>
          <w:right w:val="nil"/>
          <w:between w:val="nil"/>
        </w:pBdr>
        <w:spacing w:before="240" w:after="240"/>
        <w:ind w:left="709" w:right="760"/>
        <w:jc w:val="both"/>
      </w:pPr>
      <w:r w:rsidRPr="009D0264">
        <w:rPr>
          <w:rFonts w:ascii="Palatino Linotype" w:eastAsia="Palatino Linotype" w:hAnsi="Palatino Linotype" w:cs="Palatino Linotype"/>
          <w:i/>
          <w:sz w:val="22"/>
          <w:szCs w:val="22"/>
        </w:rPr>
        <w:t>“</w:t>
      </w:r>
      <w:r w:rsidRPr="009D0264">
        <w:rPr>
          <w:rFonts w:ascii="Palatino Linotype" w:eastAsia="Palatino Linotype" w:hAnsi="Palatino Linotype" w:cs="Palatino Linotype"/>
          <w:b/>
          <w:i/>
          <w:sz w:val="22"/>
          <w:szCs w:val="22"/>
        </w:rPr>
        <w:t>Artículo 4</w:t>
      </w:r>
      <w:r w:rsidRPr="009D0264">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15F18435" w14:textId="77777777" w:rsidR="00174CEF" w:rsidRPr="009D0264" w:rsidRDefault="0001360E">
      <w:pPr>
        <w:pBdr>
          <w:top w:val="nil"/>
          <w:left w:val="nil"/>
          <w:bottom w:val="nil"/>
          <w:right w:val="nil"/>
          <w:between w:val="nil"/>
        </w:pBdr>
        <w:spacing w:before="240" w:after="240"/>
        <w:ind w:left="709" w:right="760"/>
        <w:jc w:val="both"/>
      </w:pPr>
      <w:r w:rsidRPr="009D0264">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D69967B" w14:textId="77777777" w:rsidR="00174CEF" w:rsidRPr="009D0264" w:rsidRDefault="0001360E">
      <w:pPr>
        <w:pBdr>
          <w:top w:val="nil"/>
          <w:left w:val="nil"/>
          <w:bottom w:val="nil"/>
          <w:right w:val="nil"/>
          <w:between w:val="nil"/>
        </w:pBdr>
        <w:spacing w:before="240" w:after="240"/>
        <w:ind w:left="709" w:right="760"/>
        <w:jc w:val="both"/>
      </w:pPr>
      <w:r w:rsidRPr="009D0264">
        <w:rPr>
          <w:rFonts w:ascii="Palatino Linotype" w:eastAsia="Palatino Linotype" w:hAnsi="Palatino Linotype" w:cs="Palatino Linotype"/>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
    <w:p w14:paraId="06BED37D" w14:textId="77777777" w:rsidR="00174CEF" w:rsidRPr="009D0264" w:rsidRDefault="0001360E">
      <w:pPr>
        <w:pBdr>
          <w:top w:val="nil"/>
          <w:left w:val="nil"/>
          <w:bottom w:val="nil"/>
          <w:right w:val="nil"/>
          <w:between w:val="nil"/>
        </w:pBdr>
        <w:spacing w:before="240" w:after="240" w:line="360" w:lineRule="auto"/>
        <w:jc w:val="both"/>
        <w:rPr>
          <w:sz w:val="22"/>
          <w:szCs w:val="22"/>
        </w:rPr>
      </w:pPr>
      <w:r w:rsidRPr="009D0264">
        <w:rPr>
          <w:rFonts w:ascii="Palatino Linotype" w:eastAsia="Palatino Linotype" w:hAnsi="Palatino Linotype" w:cs="Palatino Linotype"/>
          <w:sz w:val="22"/>
          <w:szCs w:val="22"/>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61C41DFA" w14:textId="77777777" w:rsidR="00174CEF" w:rsidRPr="009D0264" w:rsidRDefault="0001360E">
      <w:pPr>
        <w:pBdr>
          <w:top w:val="nil"/>
          <w:left w:val="nil"/>
          <w:bottom w:val="nil"/>
          <w:right w:val="nil"/>
          <w:between w:val="nil"/>
        </w:pBdr>
        <w:spacing w:before="240" w:after="240"/>
        <w:ind w:left="567" w:right="758"/>
        <w:jc w:val="both"/>
        <w:rPr>
          <w:sz w:val="22"/>
          <w:szCs w:val="22"/>
        </w:rPr>
      </w:pPr>
      <w:r w:rsidRPr="009D0264">
        <w:rPr>
          <w:rFonts w:ascii="Palatino Linotype" w:eastAsia="Palatino Linotype" w:hAnsi="Palatino Linotype" w:cs="Palatino Linotype"/>
          <w:i/>
          <w:sz w:val="22"/>
          <w:szCs w:val="22"/>
        </w:rPr>
        <w:t>“</w:t>
      </w:r>
      <w:r w:rsidRPr="009D0264">
        <w:rPr>
          <w:rFonts w:ascii="Palatino Linotype" w:eastAsia="Palatino Linotype" w:hAnsi="Palatino Linotype" w:cs="Palatino Linotype"/>
          <w:b/>
          <w:i/>
          <w:sz w:val="22"/>
          <w:szCs w:val="22"/>
        </w:rPr>
        <w:t>Artículo 12</w:t>
      </w:r>
      <w:r w:rsidRPr="009D0264">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3BBEE92C" w14:textId="77777777" w:rsidR="00174CEF" w:rsidRPr="009D0264" w:rsidRDefault="0001360E">
      <w:pPr>
        <w:pBdr>
          <w:top w:val="nil"/>
          <w:left w:val="nil"/>
          <w:bottom w:val="nil"/>
          <w:right w:val="nil"/>
          <w:between w:val="nil"/>
        </w:pBdr>
        <w:spacing w:before="240" w:after="240"/>
        <w:ind w:left="567" w:right="758"/>
        <w:jc w:val="both"/>
        <w:rPr>
          <w:sz w:val="22"/>
          <w:szCs w:val="22"/>
        </w:rPr>
      </w:pPr>
      <w:r w:rsidRPr="009D0264">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603FF4C" w14:textId="77777777" w:rsidR="00174CEF" w:rsidRPr="009D0264" w:rsidRDefault="0001360E">
      <w:pPr>
        <w:pBdr>
          <w:top w:val="nil"/>
          <w:left w:val="nil"/>
          <w:bottom w:val="nil"/>
          <w:right w:val="nil"/>
          <w:between w:val="nil"/>
        </w:pBdr>
        <w:spacing w:before="240" w:after="240" w:line="360" w:lineRule="auto"/>
        <w:jc w:val="both"/>
        <w:rPr>
          <w:sz w:val="22"/>
          <w:szCs w:val="22"/>
        </w:rPr>
      </w:pPr>
      <w:r w:rsidRPr="009D0264">
        <w:rPr>
          <w:rFonts w:ascii="Palatino Linotype" w:eastAsia="Palatino Linotype" w:hAnsi="Palatino Linotype" w:cs="Palatino Linotype"/>
          <w:sz w:val="22"/>
          <w:szCs w:val="22"/>
        </w:rPr>
        <w:t>Es decir, que el derecho de acceso a la información pública se satisface en aquellos casos en que se entregue documento en que conste la información requerida, toda vez que, los Sujetos Obligados</w:t>
      </w:r>
      <w:r w:rsidRPr="009D0264">
        <w:rPr>
          <w:rFonts w:ascii="Palatino Linotype" w:eastAsia="Palatino Linotype" w:hAnsi="Palatino Linotype" w:cs="Palatino Linotype"/>
          <w:b/>
          <w:sz w:val="22"/>
          <w:szCs w:val="22"/>
        </w:rPr>
        <w:t xml:space="preserve"> </w:t>
      </w:r>
      <w:r w:rsidRPr="009D0264">
        <w:rPr>
          <w:rFonts w:ascii="Palatino Linotype" w:eastAsia="Palatino Linotype" w:hAnsi="Palatino Linotype" w:cs="Palatino Linotype"/>
          <w:sz w:val="22"/>
          <w:szCs w:val="22"/>
        </w:rPr>
        <w:t xml:space="preserve">no tienen el deber de generar, poseer o administrar la información pública con el grado de detalle solicitado; esto es, que no tienen el deber de generar un documento </w:t>
      </w:r>
      <w:r w:rsidRPr="009D0264">
        <w:rPr>
          <w:rFonts w:ascii="Palatino Linotype" w:eastAsia="Palatino Linotype" w:hAnsi="Palatino Linotype" w:cs="Palatino Linotype"/>
          <w:i/>
          <w:sz w:val="22"/>
          <w:szCs w:val="22"/>
        </w:rPr>
        <w:t>ad hoc</w:t>
      </w:r>
      <w:r w:rsidRPr="009D0264">
        <w:rPr>
          <w:rFonts w:ascii="Palatino Linotype" w:eastAsia="Palatino Linotype" w:hAnsi="Palatino Linotype" w:cs="Palatino Linotype"/>
          <w:sz w:val="22"/>
          <w:szCs w:val="22"/>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0265D6F0" w14:textId="77777777" w:rsidR="00174CEF" w:rsidRPr="009D0264" w:rsidRDefault="0001360E">
      <w:pPr>
        <w:pBdr>
          <w:top w:val="nil"/>
          <w:left w:val="nil"/>
          <w:bottom w:val="nil"/>
          <w:right w:val="nil"/>
          <w:between w:val="nil"/>
        </w:pBdr>
        <w:spacing w:before="240" w:after="240"/>
        <w:ind w:left="567" w:right="900"/>
        <w:jc w:val="both"/>
        <w:rPr>
          <w:sz w:val="22"/>
          <w:szCs w:val="22"/>
        </w:rPr>
      </w:pPr>
      <w:r w:rsidRPr="009D0264">
        <w:rPr>
          <w:rFonts w:ascii="Palatino Linotype" w:eastAsia="Palatino Linotype" w:hAnsi="Palatino Linotype" w:cs="Palatino Linotype"/>
          <w:b/>
          <w:i/>
          <w:sz w:val="22"/>
          <w:szCs w:val="22"/>
        </w:rPr>
        <w:t>03/17</w:t>
      </w:r>
    </w:p>
    <w:p w14:paraId="17F35DE0" w14:textId="77777777" w:rsidR="00174CEF" w:rsidRPr="009D0264" w:rsidRDefault="0001360E">
      <w:pPr>
        <w:pBdr>
          <w:top w:val="nil"/>
          <w:left w:val="nil"/>
          <w:bottom w:val="nil"/>
          <w:right w:val="nil"/>
          <w:between w:val="nil"/>
        </w:pBdr>
        <w:spacing w:before="240" w:after="240"/>
        <w:ind w:left="567" w:right="900"/>
        <w:jc w:val="both"/>
        <w:rPr>
          <w:sz w:val="22"/>
          <w:szCs w:val="22"/>
        </w:rPr>
      </w:pPr>
      <w:r w:rsidRPr="009D0264">
        <w:rPr>
          <w:rFonts w:ascii="Palatino Linotype" w:eastAsia="Palatino Linotype" w:hAnsi="Palatino Linotype" w:cs="Palatino Linotype"/>
          <w:b/>
          <w:i/>
          <w:sz w:val="22"/>
          <w:szCs w:val="22"/>
        </w:rPr>
        <w:t>“NO EXISTE OBLIGACIÓN DE ELABORAR DOCUMENTOS AD HOC PARA ATENDER LAS SOLICITUDES DE ACCESO A LA INFORMACIÓN.</w:t>
      </w:r>
    </w:p>
    <w:p w14:paraId="6E65260D" w14:textId="77777777" w:rsidR="00174CEF" w:rsidRPr="009D0264" w:rsidRDefault="0001360E">
      <w:pPr>
        <w:pBdr>
          <w:top w:val="nil"/>
          <w:left w:val="nil"/>
          <w:bottom w:val="nil"/>
          <w:right w:val="nil"/>
          <w:between w:val="nil"/>
        </w:pBdr>
        <w:spacing w:before="240" w:after="240"/>
        <w:ind w:left="567" w:right="900"/>
        <w:jc w:val="both"/>
        <w:rPr>
          <w:sz w:val="22"/>
          <w:szCs w:val="22"/>
        </w:rPr>
      </w:pPr>
      <w:r w:rsidRPr="009D0264">
        <w:rPr>
          <w:rFonts w:ascii="Palatino Linotype" w:eastAsia="Palatino Linotype" w:hAnsi="Palatino Linotype" w:cs="Palatino Linotype"/>
          <w:i/>
          <w:sz w:val="22"/>
          <w:szCs w:val="22"/>
        </w:rPr>
        <w:lastRenderedPageBreak/>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971C319" w14:textId="77777777" w:rsidR="00174CEF" w:rsidRPr="009D0264" w:rsidRDefault="0001360E">
      <w:pPr>
        <w:pBdr>
          <w:top w:val="nil"/>
          <w:left w:val="nil"/>
          <w:bottom w:val="nil"/>
          <w:right w:val="nil"/>
          <w:between w:val="nil"/>
        </w:pBdr>
        <w:spacing w:before="240" w:after="240" w:line="360" w:lineRule="auto"/>
        <w:jc w:val="both"/>
        <w:rPr>
          <w:sz w:val="22"/>
          <w:szCs w:val="22"/>
        </w:rPr>
      </w:pPr>
      <w:r w:rsidRPr="009D0264">
        <w:rPr>
          <w:rFonts w:ascii="Palatino Linotype" w:eastAsia="Palatino Linotype" w:hAnsi="Palatino Linotype" w:cs="Palatino Linotype"/>
          <w:sz w:val="22"/>
          <w:szCs w:val="22"/>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C567205" w14:textId="77777777" w:rsidR="00174CEF" w:rsidRPr="009D0264" w:rsidRDefault="0001360E">
      <w:pPr>
        <w:pBdr>
          <w:top w:val="nil"/>
          <w:left w:val="nil"/>
          <w:bottom w:val="nil"/>
          <w:right w:val="nil"/>
          <w:between w:val="nil"/>
        </w:pBdr>
        <w:spacing w:before="240" w:after="240" w:line="360" w:lineRule="auto"/>
        <w:ind w:right="49"/>
        <w:jc w:val="both"/>
        <w:rPr>
          <w:sz w:val="22"/>
          <w:szCs w:val="22"/>
        </w:rPr>
      </w:pPr>
      <w:r w:rsidRPr="009D0264">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B60FEC8" w14:textId="77777777" w:rsidR="00174CEF" w:rsidRPr="009D0264" w:rsidRDefault="0001360E">
      <w:pPr>
        <w:pBdr>
          <w:top w:val="nil"/>
          <w:left w:val="nil"/>
          <w:bottom w:val="nil"/>
          <w:right w:val="nil"/>
          <w:between w:val="nil"/>
        </w:pBdr>
        <w:spacing w:before="240" w:after="240" w:line="360" w:lineRule="auto"/>
        <w:jc w:val="both"/>
        <w:rPr>
          <w:sz w:val="22"/>
          <w:szCs w:val="22"/>
        </w:rPr>
      </w:pPr>
      <w:r w:rsidRPr="009D0264">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w:t>
      </w:r>
      <w:r w:rsidRPr="009D0264">
        <w:rPr>
          <w:rFonts w:ascii="Palatino Linotype" w:eastAsia="Palatino Linotype" w:hAnsi="Palatino Linotype" w:cs="Palatino Linotype"/>
          <w:sz w:val="22"/>
          <w:szCs w:val="22"/>
        </w:rPr>
        <w:lastRenderedPageBreak/>
        <w:t>impreso, sonoro, visual, electrónico, informático u holográfico de conformidad con el artículo 3, fracción XI de la Ley de la materia, el cual señala lo siguiente: </w:t>
      </w:r>
    </w:p>
    <w:p w14:paraId="531B3E1C" w14:textId="77777777" w:rsidR="00174CEF" w:rsidRPr="009D0264" w:rsidRDefault="0001360E">
      <w:pPr>
        <w:pBdr>
          <w:top w:val="nil"/>
          <w:left w:val="nil"/>
          <w:bottom w:val="nil"/>
          <w:right w:val="nil"/>
          <w:between w:val="nil"/>
        </w:pBdr>
        <w:spacing w:before="240" w:after="240"/>
        <w:ind w:left="567" w:right="567"/>
        <w:jc w:val="both"/>
        <w:rPr>
          <w:sz w:val="22"/>
          <w:szCs w:val="22"/>
        </w:rPr>
      </w:pPr>
      <w:r w:rsidRPr="009D0264">
        <w:rPr>
          <w:rFonts w:ascii="Palatino Linotype" w:eastAsia="Palatino Linotype" w:hAnsi="Palatino Linotype" w:cs="Palatino Linotype"/>
          <w:i/>
          <w:sz w:val="22"/>
          <w:szCs w:val="22"/>
        </w:rPr>
        <w:t>“</w:t>
      </w:r>
      <w:r w:rsidRPr="009D0264">
        <w:rPr>
          <w:rFonts w:ascii="Palatino Linotype" w:eastAsia="Palatino Linotype" w:hAnsi="Palatino Linotype" w:cs="Palatino Linotype"/>
          <w:b/>
          <w:i/>
          <w:sz w:val="22"/>
          <w:szCs w:val="22"/>
        </w:rPr>
        <w:t xml:space="preserve">Artículo 3. </w:t>
      </w:r>
      <w:r w:rsidRPr="009D0264">
        <w:rPr>
          <w:rFonts w:ascii="Palatino Linotype" w:eastAsia="Palatino Linotype" w:hAnsi="Palatino Linotype" w:cs="Palatino Linotype"/>
          <w:i/>
          <w:sz w:val="22"/>
          <w:szCs w:val="22"/>
        </w:rPr>
        <w:t>Para los efectos de la presente Ley se entenderá por:</w:t>
      </w:r>
    </w:p>
    <w:p w14:paraId="572A90F6" w14:textId="77777777" w:rsidR="00174CEF" w:rsidRPr="009D0264" w:rsidRDefault="0001360E">
      <w:pPr>
        <w:pBdr>
          <w:top w:val="nil"/>
          <w:left w:val="nil"/>
          <w:bottom w:val="nil"/>
          <w:right w:val="nil"/>
          <w:between w:val="nil"/>
        </w:pBdr>
        <w:spacing w:before="240" w:after="240"/>
        <w:ind w:left="567" w:right="567"/>
        <w:jc w:val="both"/>
        <w:rPr>
          <w:sz w:val="22"/>
          <w:szCs w:val="22"/>
        </w:rPr>
      </w:pPr>
      <w:r w:rsidRPr="009D0264">
        <w:rPr>
          <w:rFonts w:ascii="Palatino Linotype" w:eastAsia="Palatino Linotype" w:hAnsi="Palatino Linotype" w:cs="Palatino Linotype"/>
          <w:i/>
          <w:sz w:val="22"/>
          <w:szCs w:val="22"/>
        </w:rPr>
        <w:t>…</w:t>
      </w:r>
    </w:p>
    <w:p w14:paraId="17081093" w14:textId="77777777" w:rsidR="00174CEF" w:rsidRPr="009D0264" w:rsidRDefault="0001360E">
      <w:pPr>
        <w:pBdr>
          <w:top w:val="nil"/>
          <w:left w:val="nil"/>
          <w:bottom w:val="nil"/>
          <w:right w:val="nil"/>
          <w:between w:val="nil"/>
        </w:pBdr>
        <w:spacing w:before="240" w:after="240"/>
        <w:ind w:left="567" w:right="567"/>
        <w:jc w:val="both"/>
        <w:rPr>
          <w:sz w:val="22"/>
          <w:szCs w:val="22"/>
        </w:rPr>
      </w:pPr>
      <w:r w:rsidRPr="009D0264">
        <w:rPr>
          <w:rFonts w:ascii="Palatino Linotype" w:eastAsia="Palatino Linotype" w:hAnsi="Palatino Linotype" w:cs="Palatino Linotype"/>
          <w:b/>
          <w:i/>
          <w:sz w:val="22"/>
          <w:szCs w:val="22"/>
        </w:rPr>
        <w:t>XI. Documento:</w:t>
      </w:r>
      <w:r w:rsidRPr="009D0264">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9D0264">
        <w:rPr>
          <w:rFonts w:ascii="Palatino Linotype" w:eastAsia="Palatino Linotype" w:hAnsi="Palatino Linotype" w:cs="Palatino Linotype"/>
          <w:b/>
          <w:i/>
          <w:sz w:val="22"/>
          <w:szCs w:val="22"/>
        </w:rPr>
        <w:t>…</w:t>
      </w:r>
      <w:r w:rsidRPr="009D0264">
        <w:rPr>
          <w:rFonts w:ascii="Palatino Linotype" w:eastAsia="Palatino Linotype" w:hAnsi="Palatino Linotype" w:cs="Palatino Linotype"/>
          <w:i/>
          <w:sz w:val="22"/>
          <w:szCs w:val="22"/>
        </w:rPr>
        <w:t>”</w:t>
      </w:r>
    </w:p>
    <w:p w14:paraId="2B709DC3" w14:textId="77777777" w:rsidR="00174CEF" w:rsidRPr="009D0264" w:rsidRDefault="0001360E">
      <w:pPr>
        <w:pBdr>
          <w:top w:val="nil"/>
          <w:left w:val="nil"/>
          <w:bottom w:val="nil"/>
          <w:right w:val="nil"/>
          <w:between w:val="nil"/>
        </w:pBdr>
        <w:spacing w:before="240" w:after="240" w:line="360" w:lineRule="auto"/>
        <w:jc w:val="both"/>
        <w:rPr>
          <w:sz w:val="22"/>
          <w:szCs w:val="22"/>
        </w:rPr>
      </w:pPr>
      <w:r w:rsidRPr="009D0264">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A610AD3" w14:textId="77777777" w:rsidR="00174CEF" w:rsidRPr="009D0264" w:rsidRDefault="0001360E">
      <w:pPr>
        <w:pBdr>
          <w:top w:val="nil"/>
          <w:left w:val="nil"/>
          <w:bottom w:val="nil"/>
          <w:right w:val="nil"/>
          <w:between w:val="nil"/>
        </w:pBdr>
        <w:spacing w:before="240" w:after="240"/>
        <w:ind w:left="567" w:right="567"/>
        <w:jc w:val="both"/>
        <w:rPr>
          <w:sz w:val="22"/>
          <w:szCs w:val="22"/>
        </w:rPr>
      </w:pPr>
      <w:r w:rsidRPr="009D0264">
        <w:rPr>
          <w:rFonts w:ascii="Palatino Linotype" w:eastAsia="Palatino Linotype" w:hAnsi="Palatino Linotype" w:cs="Palatino Linotype"/>
          <w:b/>
          <w:sz w:val="22"/>
          <w:szCs w:val="22"/>
        </w:rPr>
        <w:t>“</w:t>
      </w:r>
      <w:r w:rsidRPr="009D0264">
        <w:rPr>
          <w:rFonts w:ascii="Palatino Linotype" w:eastAsia="Palatino Linotype" w:hAnsi="Palatino Linotype" w:cs="Palatino Linotype"/>
          <w:b/>
          <w:i/>
          <w:sz w:val="22"/>
          <w:szCs w:val="22"/>
        </w:rPr>
        <w:t>CRITERIO 0002-11</w:t>
      </w:r>
    </w:p>
    <w:p w14:paraId="17E8F0FC" w14:textId="77777777" w:rsidR="00174CEF" w:rsidRPr="009D0264" w:rsidRDefault="0001360E">
      <w:pPr>
        <w:pBdr>
          <w:top w:val="nil"/>
          <w:left w:val="nil"/>
          <w:bottom w:val="nil"/>
          <w:right w:val="nil"/>
          <w:between w:val="nil"/>
        </w:pBdr>
        <w:spacing w:before="240" w:after="240"/>
        <w:ind w:left="567" w:right="567"/>
        <w:jc w:val="both"/>
        <w:rPr>
          <w:sz w:val="22"/>
          <w:szCs w:val="22"/>
        </w:rPr>
      </w:pPr>
      <w:r w:rsidRPr="009D0264">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9D0264">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E71AD17" w14:textId="77777777" w:rsidR="00174CEF" w:rsidRPr="009D0264" w:rsidRDefault="0001360E">
      <w:pPr>
        <w:pBdr>
          <w:top w:val="nil"/>
          <w:left w:val="nil"/>
          <w:bottom w:val="nil"/>
          <w:right w:val="nil"/>
          <w:between w:val="nil"/>
        </w:pBdr>
        <w:spacing w:before="240" w:after="240"/>
        <w:ind w:left="567" w:right="567"/>
        <w:jc w:val="both"/>
        <w:rPr>
          <w:sz w:val="22"/>
          <w:szCs w:val="22"/>
        </w:rPr>
      </w:pPr>
      <w:r w:rsidRPr="009D0264">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A0A3860" w14:textId="77777777" w:rsidR="00174CEF" w:rsidRPr="009D0264" w:rsidRDefault="0001360E">
      <w:pPr>
        <w:numPr>
          <w:ilvl w:val="0"/>
          <w:numId w:val="2"/>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05219FBB" w14:textId="77777777" w:rsidR="00174CEF" w:rsidRPr="009D0264" w:rsidRDefault="0001360E">
      <w:pPr>
        <w:numPr>
          <w:ilvl w:val="0"/>
          <w:numId w:val="2"/>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i/>
          <w:sz w:val="22"/>
          <w:szCs w:val="22"/>
        </w:rPr>
        <w:lastRenderedPageBreak/>
        <w:t>Que se trate de información registrada en cualquier soporte documental, que en ejercicio de las atribuciones conferidas, sea administrada por los Sujetos Obligados, y</w:t>
      </w:r>
    </w:p>
    <w:p w14:paraId="75F98F23" w14:textId="77777777" w:rsidR="00174CEF" w:rsidRPr="009D0264" w:rsidRDefault="0001360E">
      <w:pPr>
        <w:pBdr>
          <w:top w:val="nil"/>
          <w:left w:val="nil"/>
          <w:bottom w:val="nil"/>
          <w:right w:val="nil"/>
          <w:between w:val="nil"/>
        </w:pBdr>
        <w:spacing w:before="240" w:after="240"/>
        <w:ind w:left="567" w:right="567" w:hanging="284"/>
        <w:jc w:val="both"/>
        <w:rPr>
          <w:sz w:val="22"/>
          <w:szCs w:val="22"/>
        </w:rPr>
      </w:pPr>
      <w:r w:rsidRPr="009D0264">
        <w:rPr>
          <w:rFonts w:ascii="Palatino Linotype" w:eastAsia="Palatino Linotype" w:hAnsi="Palatino Linotype" w:cs="Palatino Linotype"/>
          <w:i/>
          <w:sz w:val="22"/>
          <w:szCs w:val="22"/>
        </w:rPr>
        <w:t xml:space="preserve">3. </w:t>
      </w:r>
      <w:r w:rsidRPr="009D0264">
        <w:rPr>
          <w:rFonts w:ascii="Palatino Linotype" w:eastAsia="Palatino Linotype" w:hAnsi="Palatino Linotype" w:cs="Palatino Linotype"/>
          <w:b/>
          <w:i/>
          <w:sz w:val="22"/>
          <w:szCs w:val="22"/>
        </w:rPr>
        <w:t xml:space="preserve">Que se trate de información registrada en cualquier soporte documental, que en ejercicio de las atribuciones conferidas, se encuentre en posesión de los Sujetos Obligados.” </w:t>
      </w:r>
      <w:r w:rsidRPr="009D0264">
        <w:rPr>
          <w:rFonts w:ascii="Palatino Linotype" w:eastAsia="Palatino Linotype" w:hAnsi="Palatino Linotype" w:cs="Palatino Linotype"/>
          <w:i/>
          <w:sz w:val="22"/>
          <w:szCs w:val="22"/>
        </w:rPr>
        <w:t>(Énfasis añadido)</w:t>
      </w:r>
    </w:p>
    <w:p w14:paraId="01F5397D" w14:textId="77777777" w:rsidR="00174CEF" w:rsidRPr="009D0264" w:rsidRDefault="0001360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De ahí que el </w:t>
      </w:r>
      <w:r w:rsidRPr="009D0264">
        <w:rPr>
          <w:rFonts w:ascii="Palatino Linotype" w:eastAsia="Palatino Linotype" w:hAnsi="Palatino Linotype" w:cs="Palatino Linotype"/>
          <w:b/>
          <w:sz w:val="22"/>
          <w:szCs w:val="22"/>
        </w:rPr>
        <w:t>Sujeto Obligado</w:t>
      </w:r>
      <w:r w:rsidRPr="009D0264">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37AB28FB" w14:textId="77777777" w:rsidR="00174CEF" w:rsidRPr="009D0264" w:rsidRDefault="00174CE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C500458" w14:textId="77777777" w:rsidR="00174CEF" w:rsidRPr="009D0264" w:rsidRDefault="0001360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Ahora bien, para profundizar en el estudio del presente asunto, es conveniente recordar que de un análisis a la solicitud de información, se advierte que la parte solicitante requirió al </w:t>
      </w:r>
      <w:r w:rsidRPr="009D0264">
        <w:rPr>
          <w:rFonts w:ascii="Palatino Linotype" w:eastAsia="Palatino Linotype" w:hAnsi="Palatino Linotype" w:cs="Palatino Linotype"/>
          <w:b/>
          <w:sz w:val="22"/>
          <w:szCs w:val="22"/>
        </w:rPr>
        <w:t>Sujeto Obligado</w:t>
      </w:r>
      <w:r w:rsidRPr="009D0264">
        <w:rPr>
          <w:rFonts w:ascii="Palatino Linotype" w:eastAsia="Palatino Linotype" w:hAnsi="Palatino Linotype" w:cs="Palatino Linotype"/>
          <w:sz w:val="22"/>
          <w:szCs w:val="22"/>
        </w:rPr>
        <w:t>, le proporcionara lo siguiente:</w:t>
      </w:r>
    </w:p>
    <w:p w14:paraId="64C388AC" w14:textId="77777777" w:rsidR="00174CEF" w:rsidRPr="009D0264" w:rsidRDefault="00174CE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C5F0D1F" w14:textId="77777777" w:rsidR="00174CEF" w:rsidRPr="009D0264" w:rsidRDefault="0001360E">
      <w:pPr>
        <w:numPr>
          <w:ilvl w:val="0"/>
          <w:numId w:val="7"/>
        </w:numPr>
        <w:pBdr>
          <w:top w:val="nil"/>
          <w:left w:val="nil"/>
          <w:bottom w:val="nil"/>
          <w:right w:val="nil"/>
          <w:between w:val="nil"/>
        </w:pBdr>
        <w:spacing w:line="360" w:lineRule="auto"/>
        <w:ind w:left="426" w:right="49"/>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Evidencia documental de las amortizaciones realizadas en la cuenta 6000 “Inversión Pública del ejercicio 2022, por concepto del pago de anticipos de 18 obras públicas.</w:t>
      </w:r>
    </w:p>
    <w:p w14:paraId="2587218D" w14:textId="77777777" w:rsidR="00174CEF" w:rsidRPr="009D0264" w:rsidRDefault="00174CE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C1ED60B" w14:textId="77777777" w:rsidR="00174CEF" w:rsidRPr="009D0264" w:rsidRDefault="0001360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En respuesta, el </w:t>
      </w:r>
      <w:r w:rsidRPr="009D0264">
        <w:rPr>
          <w:rFonts w:ascii="Palatino Linotype" w:eastAsia="Palatino Linotype" w:hAnsi="Palatino Linotype" w:cs="Palatino Linotype"/>
          <w:b/>
          <w:sz w:val="22"/>
          <w:szCs w:val="22"/>
        </w:rPr>
        <w:t>Sujeto Obligado</w:t>
      </w:r>
      <w:r w:rsidRPr="009D0264">
        <w:rPr>
          <w:rFonts w:ascii="Palatino Linotype" w:eastAsia="Palatino Linotype" w:hAnsi="Palatino Linotype" w:cs="Palatino Linotype"/>
          <w:sz w:val="22"/>
          <w:szCs w:val="22"/>
        </w:rPr>
        <w:t xml:space="preserve"> se pronunció por conducto </w:t>
      </w:r>
      <w:r w:rsidRPr="009D0264">
        <w:rPr>
          <w:rFonts w:ascii="Palatino Linotype" w:eastAsia="Palatino Linotype" w:hAnsi="Palatino Linotype" w:cs="Palatino Linotype"/>
          <w:b/>
          <w:sz w:val="22"/>
          <w:szCs w:val="22"/>
          <w:u w:val="single"/>
        </w:rPr>
        <w:t>del Director General de Obras Públicas,</w:t>
      </w:r>
      <w:r w:rsidRPr="009D0264">
        <w:rPr>
          <w:rFonts w:ascii="Palatino Linotype" w:eastAsia="Palatino Linotype" w:hAnsi="Palatino Linotype" w:cs="Palatino Linotype"/>
          <w:sz w:val="22"/>
          <w:szCs w:val="22"/>
        </w:rPr>
        <w:t xml:space="preserve"> quien,</w:t>
      </w:r>
      <w:r w:rsidRPr="009D0264">
        <w:t xml:space="preserve"> </w:t>
      </w:r>
      <w:r w:rsidRPr="009D0264">
        <w:rPr>
          <w:rFonts w:ascii="Palatino Linotype" w:eastAsia="Palatino Linotype" w:hAnsi="Palatino Linotype" w:cs="Palatino Linotype"/>
          <w:sz w:val="22"/>
          <w:szCs w:val="22"/>
        </w:rPr>
        <w:t xml:space="preserve">indicó que la información requerida no se podía proporcionar, en virtud de que la misma se encontraba clasificada como reservada, ya que los expedientes únicos de obra pública del ejercicio fiscal 2022 se encuentran sujetos a una Auditoría por el Órgano Fiscalizador del OSFEM; y, que ello se sustenta en el punto 18 del orden del día, en </w:t>
      </w:r>
      <w:r w:rsidRPr="009D0264">
        <w:rPr>
          <w:rFonts w:ascii="Palatino Linotype" w:eastAsia="Palatino Linotype" w:hAnsi="Palatino Linotype" w:cs="Palatino Linotype"/>
          <w:sz w:val="22"/>
          <w:szCs w:val="22"/>
        </w:rPr>
        <w:lastRenderedPageBreak/>
        <w:t>el acuerdo 15 CT/VI-E/08-04-2024, emitido en la Cuarta Sesión Ordinaria celebrada el 08 de abril de 2024 en apego al principio de legalidad y bajo la aplicación de prueba de daño.</w:t>
      </w:r>
    </w:p>
    <w:p w14:paraId="56064A32" w14:textId="77777777" w:rsidR="00174CEF" w:rsidRPr="009D0264" w:rsidRDefault="00174CE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A595713" w14:textId="77777777" w:rsidR="00174CEF" w:rsidRPr="009D0264" w:rsidRDefault="0001360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A lo anterior, es de precisar que en este mismo acto, el Director General de Obras Públicas adjuntó el Acuerdo-15 CT/VI-E/08-04-2024, referido al punto 18 del orden del día, de la Cuarta Sesión Ordinaria celebrada el 08 de abril de 2024, donde se confirma el acuerdo de clasificación de información en su modalidad de reservada por un periodo de dos años, o hasta que concluya y se resuelva sobre las actividades de auditoría que instrumenta el OSFEM de las documentales contenidas en los expedientes de las obras públicas del ejercicio fiscal 2022, correspondientes a los recursos autorizados en el programa anual de obra pública, por actualizarse el supuesto previsto en el artículo 140, fracción V, apartado 1 de la Ley de Transparencia Local.</w:t>
      </w:r>
    </w:p>
    <w:p w14:paraId="606E57DB" w14:textId="77777777" w:rsidR="00174CEF" w:rsidRPr="009D0264" w:rsidRDefault="00174CEF">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p>
    <w:p w14:paraId="042D523E" w14:textId="77777777" w:rsidR="00174CEF" w:rsidRPr="009D0264" w:rsidRDefault="0001360E">
      <w:pPr>
        <w:spacing w:line="360" w:lineRule="auto"/>
        <w:ind w:right="49"/>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En esta tesitura, una vez conocida la respuesta emitida por el </w:t>
      </w:r>
      <w:r w:rsidRPr="009D0264">
        <w:rPr>
          <w:rFonts w:ascii="Palatino Linotype" w:eastAsia="Palatino Linotype" w:hAnsi="Palatino Linotype" w:cs="Palatino Linotype"/>
          <w:b/>
          <w:sz w:val="22"/>
          <w:szCs w:val="22"/>
        </w:rPr>
        <w:t>Sujeto Obligado</w:t>
      </w:r>
      <w:r w:rsidRPr="009D0264">
        <w:rPr>
          <w:rFonts w:ascii="Palatino Linotype" w:eastAsia="Palatino Linotype" w:hAnsi="Palatino Linotype" w:cs="Palatino Linotype"/>
          <w:sz w:val="22"/>
          <w:szCs w:val="22"/>
        </w:rPr>
        <w:t xml:space="preserve">, </w:t>
      </w:r>
      <w:r w:rsidRPr="009D0264">
        <w:rPr>
          <w:rFonts w:ascii="Palatino Linotype" w:eastAsia="Palatino Linotype" w:hAnsi="Palatino Linotype" w:cs="Palatino Linotype"/>
          <w:b/>
          <w:sz w:val="22"/>
          <w:szCs w:val="22"/>
        </w:rPr>
        <w:t>la parte Recurrente</w:t>
      </w:r>
      <w:r w:rsidRPr="009D0264">
        <w:rPr>
          <w:rFonts w:ascii="Palatino Linotype" w:eastAsia="Palatino Linotype" w:hAnsi="Palatino Linotype" w:cs="Palatino Linotype"/>
          <w:sz w:val="22"/>
          <w:szCs w:val="22"/>
        </w:rPr>
        <w:t>, al no estar conforme con los términos de la misma, interpuso el recurso de revisión que nos ocupa, inconformándose medularmente respecto de la negativa a entregar la información solicitada.</w:t>
      </w:r>
    </w:p>
    <w:p w14:paraId="59B8B44B" w14:textId="77777777" w:rsidR="00174CEF" w:rsidRPr="009D0264" w:rsidRDefault="00174CEF">
      <w:pPr>
        <w:spacing w:line="360" w:lineRule="auto"/>
        <w:ind w:right="49"/>
        <w:jc w:val="both"/>
        <w:rPr>
          <w:rFonts w:ascii="Palatino Linotype" w:eastAsia="Palatino Linotype" w:hAnsi="Palatino Linotype" w:cs="Palatino Linotype"/>
          <w:sz w:val="22"/>
          <w:szCs w:val="22"/>
        </w:rPr>
      </w:pPr>
    </w:p>
    <w:p w14:paraId="1DE97BB0" w14:textId="77777777" w:rsidR="00174CEF" w:rsidRPr="009D0264" w:rsidRDefault="0001360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Así las cosas, durante la etapa de manifestaciones el </w:t>
      </w:r>
      <w:r w:rsidRPr="009D0264">
        <w:rPr>
          <w:rFonts w:ascii="Palatino Linotype" w:eastAsia="Palatino Linotype" w:hAnsi="Palatino Linotype" w:cs="Palatino Linotype"/>
          <w:b/>
          <w:sz w:val="22"/>
          <w:szCs w:val="22"/>
        </w:rPr>
        <w:t>Sujeto Obligado</w:t>
      </w:r>
      <w:r w:rsidRPr="009D0264">
        <w:rPr>
          <w:rFonts w:ascii="Palatino Linotype" w:eastAsia="Palatino Linotype" w:hAnsi="Palatino Linotype" w:cs="Palatino Linotype"/>
          <w:sz w:val="22"/>
          <w:szCs w:val="22"/>
        </w:rPr>
        <w:t xml:space="preserve"> rindió su informe justificado en el que, el Director General de Obras Públicas ratificó la reserva de la información requerida; y, la Tesorería Municipal indicó que la información requerida se encontraba disponible en el enlace que a continuación se indica que fue entregado en formato cerrado, y se adjuntaron capturas de pantalla con los pasos y links para ingresar al Estado Comparativo Presupuestal de Egresos del 2023:</w:t>
      </w:r>
    </w:p>
    <w:p w14:paraId="213ACBA2" w14:textId="77777777" w:rsidR="00174CEF" w:rsidRPr="009D0264" w:rsidRDefault="00174CE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67A2BE45" w14:textId="77777777" w:rsidR="00174CEF" w:rsidRPr="009D0264" w:rsidRDefault="0001360E">
      <w:pPr>
        <w:pBdr>
          <w:top w:val="nil"/>
          <w:left w:val="nil"/>
          <w:bottom w:val="nil"/>
          <w:right w:val="nil"/>
          <w:between w:val="nil"/>
        </w:pBdr>
        <w:tabs>
          <w:tab w:val="left" w:pos="284"/>
        </w:tabs>
        <w:spacing w:line="360" w:lineRule="auto"/>
        <w:ind w:right="49"/>
        <w:jc w:val="center"/>
        <w:rPr>
          <w:rFonts w:ascii="Palatino Linotype" w:eastAsia="Palatino Linotype" w:hAnsi="Palatino Linotype" w:cs="Palatino Linotype"/>
          <w:sz w:val="22"/>
          <w:szCs w:val="22"/>
        </w:rPr>
      </w:pPr>
      <w:r w:rsidRPr="009D0264">
        <w:rPr>
          <w:rFonts w:ascii="Palatino Linotype" w:eastAsia="Palatino Linotype" w:hAnsi="Palatino Linotype" w:cs="Palatino Linotype"/>
          <w:noProof/>
          <w:sz w:val="22"/>
          <w:szCs w:val="22"/>
        </w:rPr>
        <w:lastRenderedPageBreak/>
        <w:drawing>
          <wp:inline distT="0" distB="0" distL="0" distR="0" wp14:anchorId="44BDD002" wp14:editId="40E1C5C7">
            <wp:extent cx="3620005" cy="466790"/>
            <wp:effectExtent l="3175" t="3175" r="3175" b="3175"/>
            <wp:docPr id="14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b="35526"/>
                    <a:stretch>
                      <a:fillRect/>
                    </a:stretch>
                  </pic:blipFill>
                  <pic:spPr>
                    <a:xfrm>
                      <a:off x="0" y="0"/>
                      <a:ext cx="3620005" cy="466790"/>
                    </a:xfrm>
                    <a:prstGeom prst="rect">
                      <a:avLst/>
                    </a:prstGeom>
                    <a:ln w="3175">
                      <a:solidFill>
                        <a:srgbClr val="000000"/>
                      </a:solidFill>
                      <a:prstDash val="solid"/>
                    </a:ln>
                  </pic:spPr>
                </pic:pic>
              </a:graphicData>
            </a:graphic>
          </wp:inline>
        </w:drawing>
      </w:r>
    </w:p>
    <w:p w14:paraId="696A54A6"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2F3E609D"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Por su lado, la parte </w:t>
      </w:r>
      <w:r w:rsidRPr="009D0264">
        <w:rPr>
          <w:rFonts w:ascii="Palatino Linotype" w:eastAsia="Palatino Linotype" w:hAnsi="Palatino Linotype" w:cs="Palatino Linotype"/>
          <w:b/>
          <w:sz w:val="22"/>
          <w:szCs w:val="22"/>
        </w:rPr>
        <w:t xml:space="preserve">Recurrente </w:t>
      </w:r>
      <w:r w:rsidRPr="009D0264">
        <w:rPr>
          <w:rFonts w:ascii="Palatino Linotype" w:eastAsia="Palatino Linotype" w:hAnsi="Palatino Linotype" w:cs="Palatino Linotype"/>
          <w:sz w:val="22"/>
          <w:szCs w:val="22"/>
        </w:rPr>
        <w:t>fue omisa en hacer valer manifestaciones o rendir alegatos que conforme a derecho resultaran procedentes.</w:t>
      </w:r>
    </w:p>
    <w:p w14:paraId="070D27A1" w14:textId="77777777" w:rsidR="00174CEF" w:rsidRPr="009D0264" w:rsidRDefault="00174CEF">
      <w:pPr>
        <w:spacing w:line="360" w:lineRule="auto"/>
        <w:jc w:val="both"/>
        <w:rPr>
          <w:rFonts w:ascii="Palatino Linotype" w:eastAsia="Palatino Linotype" w:hAnsi="Palatino Linotype" w:cs="Palatino Linotype"/>
        </w:rPr>
      </w:pPr>
    </w:p>
    <w:p w14:paraId="1EB5EEA2" w14:textId="77777777" w:rsidR="00174CEF" w:rsidRPr="009D0264" w:rsidRDefault="0001360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Una vez expuestas las posturas de las partes, resulta necesario iniciar el presente análisis, señalando que las razones o motivos de inconformidad de </w:t>
      </w:r>
      <w:r w:rsidRPr="009D0264">
        <w:rPr>
          <w:rFonts w:ascii="Palatino Linotype" w:eastAsia="Palatino Linotype" w:hAnsi="Palatino Linotype" w:cs="Palatino Linotype"/>
          <w:b/>
          <w:sz w:val="22"/>
          <w:szCs w:val="22"/>
        </w:rPr>
        <w:t xml:space="preserve">la parte Recurrente </w:t>
      </w:r>
      <w:r w:rsidRPr="009D0264">
        <w:rPr>
          <w:rFonts w:ascii="Palatino Linotype" w:eastAsia="Palatino Linotype" w:hAnsi="Palatino Linotype" w:cs="Palatino Linotype"/>
          <w:sz w:val="22"/>
          <w:szCs w:val="22"/>
        </w:rPr>
        <w:t xml:space="preserve">devienen </w:t>
      </w:r>
      <w:r w:rsidRPr="009D0264">
        <w:rPr>
          <w:rFonts w:ascii="Palatino Linotype" w:eastAsia="Palatino Linotype" w:hAnsi="Palatino Linotype" w:cs="Palatino Linotype"/>
          <w:b/>
          <w:sz w:val="22"/>
          <w:szCs w:val="22"/>
        </w:rPr>
        <w:t>fundados</w:t>
      </w:r>
      <w:r w:rsidRPr="009D0264">
        <w:rPr>
          <w:rFonts w:ascii="Palatino Linotype" w:eastAsia="Palatino Linotype" w:hAnsi="Palatino Linotype" w:cs="Palatino Linotype"/>
          <w:sz w:val="22"/>
          <w:szCs w:val="22"/>
        </w:rPr>
        <w:t xml:space="preserve"> por las consideraciones que se expondrán a continuación mediante los dos subapartados siguientes:</w:t>
      </w:r>
    </w:p>
    <w:p w14:paraId="44907798" w14:textId="77777777" w:rsidR="00174CEF" w:rsidRPr="009D0264" w:rsidRDefault="00174CE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7548EBA4" w14:textId="77777777" w:rsidR="00174CEF" w:rsidRPr="009D0264" w:rsidRDefault="0001360E">
      <w:pPr>
        <w:numPr>
          <w:ilvl w:val="0"/>
          <w:numId w:val="11"/>
        </w:numPr>
        <w:pBdr>
          <w:top w:val="nil"/>
          <w:left w:val="nil"/>
          <w:bottom w:val="nil"/>
          <w:right w:val="nil"/>
          <w:between w:val="nil"/>
        </w:pBdr>
        <w:spacing w:line="360" w:lineRule="auto"/>
        <w:ind w:left="567" w:hanging="141"/>
        <w:jc w:val="both"/>
        <w:rPr>
          <w:rFonts w:ascii="Palatino Linotype" w:eastAsia="Palatino Linotype" w:hAnsi="Palatino Linotype" w:cs="Palatino Linotype"/>
          <w:b/>
          <w:sz w:val="22"/>
          <w:szCs w:val="22"/>
        </w:rPr>
      </w:pPr>
      <w:r w:rsidRPr="009D0264">
        <w:rPr>
          <w:rFonts w:ascii="Palatino Linotype" w:eastAsia="Palatino Linotype" w:hAnsi="Palatino Linotype" w:cs="Palatino Linotype"/>
          <w:b/>
          <w:sz w:val="22"/>
          <w:szCs w:val="22"/>
        </w:rPr>
        <w:t>De la improcedencia de la reserva de la información.</w:t>
      </w:r>
    </w:p>
    <w:p w14:paraId="0984E23A" w14:textId="77777777" w:rsidR="00174CEF" w:rsidRPr="009D0264" w:rsidRDefault="0001360E">
      <w:pPr>
        <w:numPr>
          <w:ilvl w:val="0"/>
          <w:numId w:val="11"/>
        </w:numPr>
        <w:pBdr>
          <w:top w:val="nil"/>
          <w:left w:val="nil"/>
          <w:bottom w:val="nil"/>
          <w:right w:val="nil"/>
          <w:between w:val="nil"/>
        </w:pBdr>
        <w:spacing w:line="360" w:lineRule="auto"/>
        <w:ind w:left="567" w:hanging="141"/>
        <w:jc w:val="both"/>
        <w:rPr>
          <w:rFonts w:ascii="Palatino Linotype" w:eastAsia="Palatino Linotype" w:hAnsi="Palatino Linotype" w:cs="Palatino Linotype"/>
          <w:b/>
          <w:sz w:val="22"/>
          <w:szCs w:val="22"/>
        </w:rPr>
      </w:pPr>
      <w:r w:rsidRPr="009D0264">
        <w:rPr>
          <w:rFonts w:ascii="Palatino Linotype" w:eastAsia="Palatino Linotype" w:hAnsi="Palatino Linotype" w:cs="Palatino Linotype"/>
          <w:b/>
          <w:sz w:val="22"/>
          <w:szCs w:val="22"/>
        </w:rPr>
        <w:t>De la naturaleza de la información.</w:t>
      </w:r>
    </w:p>
    <w:p w14:paraId="49E7710F" w14:textId="77777777" w:rsidR="00174CEF" w:rsidRPr="009D0264" w:rsidRDefault="0001360E">
      <w:pPr>
        <w:spacing w:before="240" w:after="240" w:line="360" w:lineRule="auto"/>
        <w:jc w:val="both"/>
        <w:rPr>
          <w:rFonts w:ascii="Palatino Linotype" w:eastAsia="Palatino Linotype" w:hAnsi="Palatino Linotype" w:cs="Palatino Linotype"/>
          <w:b/>
          <w:sz w:val="22"/>
          <w:szCs w:val="22"/>
        </w:rPr>
      </w:pPr>
      <w:r w:rsidRPr="009D0264">
        <w:rPr>
          <w:rFonts w:ascii="Palatino Linotype" w:eastAsia="Palatino Linotype" w:hAnsi="Palatino Linotype" w:cs="Palatino Linotype"/>
          <w:b/>
          <w:sz w:val="22"/>
          <w:szCs w:val="22"/>
        </w:rPr>
        <w:t>a) De la improcedencia de la reserva de la información.</w:t>
      </w:r>
    </w:p>
    <w:p w14:paraId="4EE929CF"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En lo tocante a este apartado, resulta oportuno referir que por regla general, toda la información que generen, administren y/o posean los Sujetos Obligados, es considerada información pública, pues al ser entes que ejercen recursos públicos tienen la obligación de rendir cuentas y asumir responsabilidades ante los ciudadanos derivado del ejercicio de sus atribuciones, garantizando así el Derecho humano de acceso a la información pública, sin embargo, dicho derecho puede ser restringido de manera excepcional por razones de interés público, en los términos de las causas legítimas y estrictamente necesarias previstas por la Ley, como se desprende del artículo 91 de la Ley de la Materia que es del tenor literal siguiente:</w:t>
      </w:r>
    </w:p>
    <w:p w14:paraId="61F5D079"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2E4BAFD7" w14:textId="77777777" w:rsidR="00174CEF" w:rsidRPr="009D0264" w:rsidRDefault="0001360E">
      <w:pPr>
        <w:ind w:left="851" w:right="900"/>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lastRenderedPageBreak/>
        <w:t xml:space="preserve">“Artículo 91. </w:t>
      </w:r>
      <w:r w:rsidRPr="009D0264">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28A58494" w14:textId="77777777" w:rsidR="00174CEF" w:rsidRPr="009D0264" w:rsidRDefault="00174CEF">
      <w:pPr>
        <w:ind w:left="851" w:right="900"/>
        <w:jc w:val="both"/>
        <w:rPr>
          <w:rFonts w:ascii="Palatino Linotype" w:eastAsia="Palatino Linotype" w:hAnsi="Palatino Linotype" w:cs="Palatino Linotype"/>
          <w:i/>
          <w:sz w:val="22"/>
          <w:szCs w:val="22"/>
        </w:rPr>
      </w:pPr>
    </w:p>
    <w:p w14:paraId="70DBE174"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La restricción al derecho de acceso a la información implica necesariamente una clasificación la cual debe entenderse como el proceso mediante el cual el Sujeto Obligado determina que la información en su poder, actualiza alguno de los supuestos de reserva o confidencialidad, de conformidad con las normas aplicables.</w:t>
      </w:r>
    </w:p>
    <w:p w14:paraId="3E65081E"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44F52CCE"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Debe decirse que la Ley de Transparencia y Acceso a la Información Pública del Estado de México y Municipios, define como </w:t>
      </w:r>
      <w:r w:rsidRPr="009D0264">
        <w:rPr>
          <w:rFonts w:ascii="Palatino Linotype" w:eastAsia="Palatino Linotype" w:hAnsi="Palatino Linotype" w:cs="Palatino Linotype"/>
          <w:b/>
          <w:sz w:val="22"/>
          <w:szCs w:val="22"/>
        </w:rPr>
        <w:t xml:space="preserve">información reservada </w:t>
      </w:r>
      <w:r w:rsidRPr="009D0264">
        <w:rPr>
          <w:rFonts w:ascii="Palatino Linotype" w:eastAsia="Palatino Linotype" w:hAnsi="Palatino Linotype" w:cs="Palatino Linotype"/>
          <w:sz w:val="22"/>
          <w:szCs w:val="22"/>
        </w:rPr>
        <w:t xml:space="preserve">a la información pública clasificada con este carácter de manera temporal por las disposiciones de la Ley de la Materia, cuya divulgación puede causar daños a la seguridad pública, la que pueda menoscabar la conducción de las negociaciones y relaciones internacionales; ponga en riesgo la vida, la seguridad o la salud de una persona física; aquella cuya divulgación obstruya o pueda causar un serio perjuicio a las actividades de fiscalización, verificación, inspección, comprobación y auditoría sobre el cumplimiento de las Leyes; la recaudación de las contribuciones, aquella que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la que contengan las opiniones, recomendaciones o puntos de vista que formen parte del proceso deliberativo de los servidores públicos, hasta en tanto sea adoptada la decisión definitiva, la cual deberá estar documentada; vulnere la conducción de los expedientes judiciales o de los procedimientos administrativos seguidos en forma de juicio, en tanto no hayan quedado </w:t>
      </w:r>
      <w:r w:rsidRPr="009D0264">
        <w:rPr>
          <w:rFonts w:ascii="Palatino Linotype" w:eastAsia="Palatino Linotype" w:hAnsi="Palatino Linotype" w:cs="Palatino Linotype"/>
          <w:sz w:val="22"/>
          <w:szCs w:val="22"/>
        </w:rPr>
        <w:lastRenderedPageBreak/>
        <w:t xml:space="preserve">firmes, aquella que se encuentre contenida dentro de las investigaciones de hechos que la Ley señale como delitos y se tramiten ante el Ministerio Público; aquella cuyo daño que pueda producirse con la publicación de la información sea mayor que el interés público de conocer la información de referencia, siempre que esté directamente relacionado con procesos o procedimientos administrativos o judiciales que no hayan quedado firmes  y las que por disposición expresa de una ley tengan tal carácter, siempre que sean acordes con las bases, principios y disposiciones establecidos en esta Ley y no la contravengan; así como las previstas en tratados internacionales, y como </w:t>
      </w:r>
      <w:r w:rsidRPr="009D0264">
        <w:rPr>
          <w:rFonts w:ascii="Palatino Linotype" w:eastAsia="Palatino Linotype" w:hAnsi="Palatino Linotype" w:cs="Palatino Linotype"/>
          <w:b/>
          <w:sz w:val="22"/>
          <w:szCs w:val="22"/>
        </w:rPr>
        <w:t>información confidencial</w:t>
      </w:r>
      <w:r w:rsidRPr="009D0264">
        <w:rPr>
          <w:rFonts w:ascii="Palatino Linotype" w:eastAsia="Palatino Linotype" w:hAnsi="Palatino Linotype" w:cs="Palatino Linotype"/>
          <w:sz w:val="22"/>
          <w:szCs w:val="22"/>
        </w:rPr>
        <w:t xml:space="preserve">, la relacionada con los secretos bancario, fiduciario, industrial, comercial, fiscal, bursátil y postal, cuya titularidad corresponda a particulares, sujetos de derecho internacional o sujetos obligados cuando no involucren el ejercicio de recursos públicos, así como la información privada contenida en documentos públicos o privados que refiera a la vida privada y/o los datos personales, que no son de acceso público. </w:t>
      </w:r>
    </w:p>
    <w:p w14:paraId="0CC4C6BC"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7408E359" w14:textId="77777777" w:rsidR="00174CEF" w:rsidRPr="009D0264" w:rsidRDefault="0001360E">
      <w:pPr>
        <w:spacing w:line="360" w:lineRule="auto"/>
        <w:ind w:right="139"/>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En relación con las implicaciones anteriores, cabe considerar que los titulares de las áreas son los responsables de clasificar la información mediante el Comité de Transparencia por ser la autoridad máxima al interior de los Sujetos Obligados, al ser este un Cuerpo Colegiado que se integra para resolver sobre la información que debe clasificarse, así como para atender y resolver los requerimientos de las Unidades de Transparencia y del Instituto.</w:t>
      </w:r>
    </w:p>
    <w:p w14:paraId="1406D15C" w14:textId="77777777" w:rsidR="00174CEF" w:rsidRPr="009D0264" w:rsidRDefault="00174CEF">
      <w:pPr>
        <w:spacing w:line="360" w:lineRule="auto"/>
        <w:ind w:right="139"/>
        <w:jc w:val="both"/>
        <w:rPr>
          <w:rFonts w:ascii="Palatino Linotype" w:eastAsia="Palatino Linotype" w:hAnsi="Palatino Linotype" w:cs="Palatino Linotype"/>
          <w:sz w:val="22"/>
          <w:szCs w:val="22"/>
        </w:rPr>
      </w:pPr>
    </w:p>
    <w:p w14:paraId="649A6BFE"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En lo que concierne a la información clasificada como reservada, para que el acceso a la información pública pueda ser restringido, se deben actualizar los supuestos establecidos en el artículo 113 de la y Ley General de Transparencia Acceso a la Información Pública y el artículo 140 de la Ley de Transparencia y Acceso a la Información Pública del Estado de México y Municipios, que a la letra señalan lo siguiente:</w:t>
      </w:r>
    </w:p>
    <w:p w14:paraId="132DEA9C" w14:textId="77777777" w:rsidR="00174CEF" w:rsidRPr="009D0264" w:rsidRDefault="0001360E">
      <w:pPr>
        <w:spacing w:before="120" w:after="120"/>
        <w:ind w:left="567" w:right="851"/>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lastRenderedPageBreak/>
        <w:t>“Artículo 113.</w:t>
      </w:r>
      <w:r w:rsidRPr="009D0264">
        <w:rPr>
          <w:rFonts w:ascii="Palatino Linotype" w:eastAsia="Palatino Linotype" w:hAnsi="Palatino Linotype" w:cs="Palatino Linotype"/>
          <w:i/>
          <w:sz w:val="22"/>
          <w:szCs w:val="22"/>
        </w:rPr>
        <w:t xml:space="preserve"> Como información reservada podrá clasificarse aquella cuya publicación:</w:t>
      </w:r>
    </w:p>
    <w:p w14:paraId="638E1566" w14:textId="77777777" w:rsidR="00174CEF" w:rsidRPr="009D0264" w:rsidRDefault="0001360E">
      <w:pPr>
        <w:spacing w:before="120" w:after="120"/>
        <w:ind w:left="567" w:right="851"/>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 xml:space="preserve"> I.</w:t>
      </w:r>
      <w:r w:rsidRPr="009D0264">
        <w:rPr>
          <w:rFonts w:ascii="Palatino Linotype" w:eastAsia="Palatino Linotype" w:hAnsi="Palatino Linotype" w:cs="Palatino Linotype"/>
          <w:i/>
          <w:sz w:val="22"/>
          <w:szCs w:val="22"/>
        </w:rPr>
        <w:t xml:space="preserve"> Comprometa la seguridad nacional, la seguridad pública o la defensa nacional y cuente con un propósito genuino y un efecto demostrable; </w:t>
      </w:r>
    </w:p>
    <w:p w14:paraId="5CD7C2C5" w14:textId="77777777" w:rsidR="00174CEF" w:rsidRPr="009D0264" w:rsidRDefault="0001360E">
      <w:pPr>
        <w:spacing w:before="120" w:after="120"/>
        <w:ind w:left="567" w:right="851"/>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II.</w:t>
      </w:r>
      <w:r w:rsidRPr="009D0264">
        <w:rPr>
          <w:rFonts w:ascii="Palatino Linotype" w:eastAsia="Palatino Linotype" w:hAnsi="Palatino Linotype" w:cs="Palatino Linotype"/>
          <w:i/>
          <w:sz w:val="22"/>
          <w:szCs w:val="22"/>
        </w:rPr>
        <w:t xml:space="preserve"> Pueda menoscabar la conducción de las negociaciones y relaciones internacionales; </w:t>
      </w:r>
      <w:r w:rsidRPr="009D0264">
        <w:rPr>
          <w:rFonts w:ascii="Palatino Linotype" w:eastAsia="Palatino Linotype" w:hAnsi="Palatino Linotype" w:cs="Palatino Linotype"/>
          <w:i/>
          <w:sz w:val="22"/>
          <w:szCs w:val="22"/>
        </w:rPr>
        <w:br/>
      </w:r>
      <w:r w:rsidRPr="009D0264">
        <w:rPr>
          <w:rFonts w:ascii="Palatino Linotype" w:eastAsia="Palatino Linotype" w:hAnsi="Palatino Linotype" w:cs="Palatino Linotype"/>
          <w:b/>
          <w:i/>
          <w:sz w:val="22"/>
          <w:szCs w:val="22"/>
        </w:rPr>
        <w:t>III.</w:t>
      </w:r>
      <w:r w:rsidRPr="009D0264">
        <w:rPr>
          <w:rFonts w:ascii="Palatino Linotype" w:eastAsia="Palatino Linotype" w:hAnsi="Palatino Linotype" w:cs="Palatino Linotype"/>
          <w:i/>
          <w:sz w:val="22"/>
          <w:szCs w:val="22"/>
        </w:rPr>
        <w:t xml:space="preserve"> Se entregue al Estado mexicano expresamente con ese carácter o el de confidencial por otro u otros sujetos de derecho internacional, excepto cuando se trate de violaciones graves de derechos humanos o delitos de lesa humanidad de conformidad con el derecho internacional; </w:t>
      </w:r>
    </w:p>
    <w:p w14:paraId="5C57DBCD" w14:textId="77777777" w:rsidR="00174CEF" w:rsidRPr="009D0264" w:rsidRDefault="0001360E">
      <w:pPr>
        <w:spacing w:before="120" w:after="120"/>
        <w:ind w:left="567" w:right="851"/>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IV.</w:t>
      </w:r>
      <w:r w:rsidRPr="009D0264">
        <w:rPr>
          <w:rFonts w:ascii="Palatino Linotype" w:eastAsia="Palatino Linotype" w:hAnsi="Palatino Linotype" w:cs="Palatino Linotype"/>
          <w:i/>
          <w:sz w:val="22"/>
          <w:szCs w:val="22"/>
        </w:rPr>
        <w:t xml:space="preserve">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 </w:t>
      </w:r>
    </w:p>
    <w:p w14:paraId="31983851" w14:textId="77777777" w:rsidR="00174CEF" w:rsidRPr="009D0264" w:rsidRDefault="0001360E">
      <w:pPr>
        <w:spacing w:before="120" w:after="120"/>
        <w:ind w:left="567" w:right="851"/>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V.</w:t>
      </w:r>
      <w:r w:rsidRPr="009D0264">
        <w:rPr>
          <w:rFonts w:ascii="Palatino Linotype" w:eastAsia="Palatino Linotype" w:hAnsi="Palatino Linotype" w:cs="Palatino Linotype"/>
          <w:i/>
          <w:sz w:val="22"/>
          <w:szCs w:val="22"/>
        </w:rPr>
        <w:t xml:space="preserve"> Pueda poner en riesgo la vida, seguridad o salud de una persona física; </w:t>
      </w:r>
    </w:p>
    <w:p w14:paraId="37B54408" w14:textId="77777777" w:rsidR="00174CEF" w:rsidRPr="009D0264" w:rsidRDefault="0001360E">
      <w:pPr>
        <w:spacing w:before="120" w:after="120"/>
        <w:ind w:left="567" w:right="851"/>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VI</w:t>
      </w:r>
      <w:r w:rsidRPr="009D0264">
        <w:rPr>
          <w:rFonts w:ascii="Palatino Linotype" w:eastAsia="Palatino Linotype" w:hAnsi="Palatino Linotype" w:cs="Palatino Linotype"/>
          <w:i/>
          <w:sz w:val="22"/>
          <w:szCs w:val="22"/>
        </w:rPr>
        <w:t xml:space="preserve">. Obstruya las actividades de verificación, inspección y auditoría relativas al cumplimiento de las leyes o afecte la recaudación de contribuciones; </w:t>
      </w:r>
    </w:p>
    <w:p w14:paraId="3FFFC11F" w14:textId="77777777" w:rsidR="00174CEF" w:rsidRPr="009D0264" w:rsidRDefault="0001360E">
      <w:pPr>
        <w:spacing w:before="120" w:after="120"/>
        <w:ind w:left="567" w:right="851"/>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VII.</w:t>
      </w:r>
      <w:r w:rsidRPr="009D0264">
        <w:rPr>
          <w:rFonts w:ascii="Palatino Linotype" w:eastAsia="Palatino Linotype" w:hAnsi="Palatino Linotype" w:cs="Palatino Linotype"/>
          <w:i/>
          <w:sz w:val="22"/>
          <w:szCs w:val="22"/>
        </w:rPr>
        <w:t xml:space="preserve"> Obstruya la prevención o persecución de los delitos; </w:t>
      </w:r>
    </w:p>
    <w:p w14:paraId="51A09069" w14:textId="77777777" w:rsidR="00174CEF" w:rsidRPr="009D0264" w:rsidRDefault="0001360E">
      <w:pPr>
        <w:spacing w:before="120" w:after="120"/>
        <w:ind w:left="567" w:right="851"/>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VIII.</w:t>
      </w:r>
      <w:r w:rsidRPr="009D0264">
        <w:rPr>
          <w:rFonts w:ascii="Palatino Linotype" w:eastAsia="Palatino Linotype" w:hAnsi="Palatino Linotype" w:cs="Palatino Linotype"/>
          <w:i/>
          <w:sz w:val="22"/>
          <w:szCs w:val="22"/>
        </w:rPr>
        <w:t xml:space="preserve"> La que contenga las opiniones, recomendaciones o puntos de vista que formen parte del proceso deliberativo de los servidores públicos, hasta en tanto no sea adoptada la decisión definitiva, la cual deberá estar documentada; </w:t>
      </w:r>
    </w:p>
    <w:p w14:paraId="17D0F74B" w14:textId="77777777" w:rsidR="00174CEF" w:rsidRPr="009D0264" w:rsidRDefault="0001360E">
      <w:pPr>
        <w:spacing w:before="120" w:after="120"/>
        <w:ind w:left="567" w:right="851"/>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IX.</w:t>
      </w:r>
      <w:r w:rsidRPr="009D0264">
        <w:rPr>
          <w:rFonts w:ascii="Palatino Linotype" w:eastAsia="Palatino Linotype" w:hAnsi="Palatino Linotype" w:cs="Palatino Linotype"/>
          <w:i/>
          <w:sz w:val="22"/>
          <w:szCs w:val="22"/>
        </w:rPr>
        <w:t xml:space="preserve"> Obstruya los procedimientos para fincar responsabilidad a los Servidores Públicos, en tanto no se haya dictado la resolución administrativa; </w:t>
      </w:r>
    </w:p>
    <w:p w14:paraId="46ABC858" w14:textId="77777777" w:rsidR="00174CEF" w:rsidRPr="009D0264" w:rsidRDefault="0001360E">
      <w:pPr>
        <w:spacing w:before="120" w:after="120"/>
        <w:ind w:left="567" w:right="851"/>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X.</w:t>
      </w:r>
      <w:r w:rsidRPr="009D0264">
        <w:rPr>
          <w:rFonts w:ascii="Palatino Linotype" w:eastAsia="Palatino Linotype" w:hAnsi="Palatino Linotype" w:cs="Palatino Linotype"/>
          <w:i/>
          <w:sz w:val="22"/>
          <w:szCs w:val="22"/>
        </w:rPr>
        <w:t xml:space="preserve"> Afecte los derechos del debido proceso; </w:t>
      </w:r>
    </w:p>
    <w:p w14:paraId="4731B87A" w14:textId="77777777" w:rsidR="00174CEF" w:rsidRPr="009D0264" w:rsidRDefault="0001360E">
      <w:pPr>
        <w:spacing w:before="120" w:after="120"/>
        <w:ind w:left="567" w:right="851"/>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XI.</w:t>
      </w:r>
      <w:r w:rsidRPr="009D0264">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causado estado;</w:t>
      </w:r>
    </w:p>
    <w:p w14:paraId="597EF85C" w14:textId="77777777" w:rsidR="00174CEF" w:rsidRPr="009D0264" w:rsidRDefault="0001360E">
      <w:pPr>
        <w:spacing w:before="120" w:after="120"/>
        <w:ind w:left="567" w:right="851"/>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Artículo 140</w:t>
      </w:r>
      <w:r w:rsidRPr="009D0264">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 </w:t>
      </w:r>
    </w:p>
    <w:p w14:paraId="770ACBAB" w14:textId="77777777" w:rsidR="00174CEF" w:rsidRPr="009D0264" w:rsidRDefault="0001360E">
      <w:pPr>
        <w:spacing w:before="120" w:after="120"/>
        <w:ind w:left="567" w:right="851"/>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I</w:t>
      </w:r>
      <w:r w:rsidRPr="009D0264">
        <w:rPr>
          <w:rFonts w:ascii="Palatino Linotype" w:eastAsia="Palatino Linotype" w:hAnsi="Palatino Linotype" w:cs="Palatino Linotype"/>
          <w:i/>
          <w:sz w:val="22"/>
          <w:szCs w:val="22"/>
        </w:rPr>
        <w:t xml:space="preserve">. Comprometa la seguridad pública y cuente con un propósito genuino y un efecto demostrable; </w:t>
      </w:r>
    </w:p>
    <w:p w14:paraId="74344EB0" w14:textId="77777777" w:rsidR="00174CEF" w:rsidRPr="009D0264" w:rsidRDefault="0001360E">
      <w:pPr>
        <w:spacing w:before="120" w:after="120"/>
        <w:ind w:left="567" w:right="851"/>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II.</w:t>
      </w:r>
      <w:r w:rsidRPr="009D0264">
        <w:rPr>
          <w:rFonts w:ascii="Palatino Linotype" w:eastAsia="Palatino Linotype" w:hAnsi="Palatino Linotype" w:cs="Palatino Linotype"/>
          <w:i/>
          <w:sz w:val="22"/>
          <w:szCs w:val="22"/>
        </w:rPr>
        <w:t xml:space="preserve"> Pueda menoscabar la conducción de las negociaciones y relaciones internacionales; </w:t>
      </w:r>
    </w:p>
    <w:p w14:paraId="15BBA19D" w14:textId="77777777" w:rsidR="00174CEF" w:rsidRPr="009D0264" w:rsidRDefault="0001360E">
      <w:pPr>
        <w:spacing w:before="120" w:after="120"/>
        <w:ind w:left="567" w:right="851"/>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lastRenderedPageBreak/>
        <w:t>III.</w:t>
      </w:r>
      <w:r w:rsidRPr="009D0264">
        <w:rPr>
          <w:rFonts w:ascii="Palatino Linotype" w:eastAsia="Palatino Linotype" w:hAnsi="Palatino Linotype" w:cs="Palatino Linotype"/>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5A33B842" w14:textId="77777777" w:rsidR="00174CEF" w:rsidRPr="009D0264" w:rsidRDefault="0001360E">
      <w:pPr>
        <w:spacing w:before="120" w:after="120"/>
        <w:ind w:left="567" w:right="851"/>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IV.</w:t>
      </w:r>
      <w:r w:rsidRPr="009D0264">
        <w:rPr>
          <w:rFonts w:ascii="Palatino Linotype" w:eastAsia="Palatino Linotype" w:hAnsi="Palatino Linotype" w:cs="Palatino Linotype"/>
          <w:i/>
          <w:sz w:val="22"/>
          <w:szCs w:val="22"/>
        </w:rPr>
        <w:t xml:space="preserve"> Ponga en riesgo la vida, la seguridad o la salud de una persona física; </w:t>
      </w:r>
    </w:p>
    <w:p w14:paraId="0D30ACF9" w14:textId="77777777" w:rsidR="00174CEF" w:rsidRPr="009D0264" w:rsidRDefault="0001360E">
      <w:pPr>
        <w:spacing w:before="120" w:after="120"/>
        <w:ind w:left="567" w:right="851"/>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V</w:t>
      </w:r>
      <w:r w:rsidRPr="009D0264">
        <w:rPr>
          <w:rFonts w:ascii="Palatino Linotype" w:eastAsia="Palatino Linotype" w:hAnsi="Palatino Linotype" w:cs="Palatino Linotype"/>
          <w:i/>
          <w:sz w:val="22"/>
          <w:szCs w:val="22"/>
        </w:rPr>
        <w:t xml:space="preserve">. Aquella cuya divulgación obstruya o pueda causar un serio perjuicio a: </w:t>
      </w:r>
    </w:p>
    <w:p w14:paraId="1F687CA3" w14:textId="77777777" w:rsidR="00174CEF" w:rsidRPr="009D0264" w:rsidRDefault="0001360E">
      <w:pPr>
        <w:spacing w:before="120" w:after="120"/>
        <w:ind w:left="567" w:right="851"/>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i/>
          <w:sz w:val="22"/>
          <w:szCs w:val="22"/>
        </w:rPr>
        <w:t xml:space="preserve">1. Las actividades de fiscalización, verificación, inspección, comprobación y auditoría sobre el cumplimiento de las Leyes; o </w:t>
      </w:r>
    </w:p>
    <w:p w14:paraId="06824B31" w14:textId="77777777" w:rsidR="00174CEF" w:rsidRPr="009D0264" w:rsidRDefault="0001360E">
      <w:pPr>
        <w:spacing w:before="120" w:after="120"/>
        <w:ind w:left="567" w:right="851"/>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i/>
          <w:sz w:val="22"/>
          <w:szCs w:val="22"/>
        </w:rPr>
        <w:t xml:space="preserve">2. La recaudación de las contribuciones. </w:t>
      </w:r>
    </w:p>
    <w:p w14:paraId="4F8B3F56" w14:textId="77777777" w:rsidR="00174CEF" w:rsidRPr="009D0264" w:rsidRDefault="0001360E">
      <w:pPr>
        <w:spacing w:before="120" w:after="120"/>
        <w:ind w:left="567" w:right="851"/>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VI</w:t>
      </w:r>
      <w:r w:rsidRPr="009D0264">
        <w:rPr>
          <w:rFonts w:ascii="Palatino Linotype" w:eastAsia="Palatino Linotype" w:hAnsi="Palatino Linotype" w:cs="Palatino Linotype"/>
          <w:i/>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2C09AA59" w14:textId="77777777" w:rsidR="00174CEF" w:rsidRPr="009D0264" w:rsidRDefault="0001360E">
      <w:pPr>
        <w:spacing w:before="120" w:after="120"/>
        <w:ind w:left="567" w:right="851"/>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VII.</w:t>
      </w:r>
      <w:r w:rsidRPr="009D0264">
        <w:rPr>
          <w:rFonts w:ascii="Palatino Linotype" w:eastAsia="Palatino Linotype" w:hAnsi="Palatino Linotype" w:cs="Palatino Linotype"/>
          <w:i/>
          <w:sz w:val="22"/>
          <w:szCs w:val="22"/>
        </w:rPr>
        <w:t xml:space="preserve"> La que contengan las opiniones, recomendaciones o puntos de vista que formen parte del proceso deliberativo de los servidores públicos, hasta en tanto sea adoptada la decisión definitiva, la cual deberá estar documentada; </w:t>
      </w:r>
    </w:p>
    <w:p w14:paraId="09D8E596" w14:textId="77777777" w:rsidR="00174CEF" w:rsidRPr="009D0264" w:rsidRDefault="0001360E">
      <w:pPr>
        <w:spacing w:before="120" w:after="120"/>
        <w:ind w:left="567" w:right="851"/>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VIII.</w:t>
      </w:r>
      <w:r w:rsidRPr="009D0264">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quedado firmes; </w:t>
      </w:r>
    </w:p>
    <w:p w14:paraId="60EC6962" w14:textId="77777777" w:rsidR="00174CEF" w:rsidRPr="009D0264" w:rsidRDefault="0001360E">
      <w:pPr>
        <w:spacing w:before="120" w:after="120"/>
        <w:ind w:left="567" w:right="851"/>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IX</w:t>
      </w:r>
      <w:r w:rsidRPr="009D0264">
        <w:rPr>
          <w:rFonts w:ascii="Palatino Linotype" w:eastAsia="Palatino Linotype" w:hAnsi="Palatino Linotype" w:cs="Palatino Linotype"/>
          <w:i/>
          <w:sz w:val="22"/>
          <w:szCs w:val="22"/>
        </w:rPr>
        <w:t xml:space="preserve">. Se encuentre contenida dentro de las investigaciones de hechos que la Ley señale como delitos y se tramiten ante el Ministerio Público; </w:t>
      </w:r>
    </w:p>
    <w:p w14:paraId="6893AFCA" w14:textId="77777777" w:rsidR="00174CEF" w:rsidRPr="009D0264" w:rsidRDefault="0001360E">
      <w:pPr>
        <w:spacing w:before="120" w:after="120"/>
        <w:ind w:left="567" w:right="851"/>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X.</w:t>
      </w:r>
      <w:r w:rsidRPr="009D0264">
        <w:rPr>
          <w:rFonts w:ascii="Palatino Linotype" w:eastAsia="Palatino Linotype" w:hAnsi="Palatino Linotype" w:cs="Palatino Linotype"/>
          <w:i/>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04CBB466" w14:textId="77777777" w:rsidR="00174CEF" w:rsidRPr="009D0264" w:rsidRDefault="0001360E">
      <w:pPr>
        <w:spacing w:before="120" w:after="120"/>
        <w:ind w:left="567" w:right="851"/>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i/>
          <w:sz w:val="22"/>
          <w:szCs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15D462A2" w14:textId="77777777" w:rsidR="00174CEF" w:rsidRPr="009D0264" w:rsidRDefault="0001360E">
      <w:pPr>
        <w:spacing w:before="120" w:after="120"/>
        <w:ind w:left="567" w:right="851"/>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XI.</w:t>
      </w:r>
      <w:r w:rsidRPr="009D0264">
        <w:rPr>
          <w:rFonts w:ascii="Palatino Linotype" w:eastAsia="Palatino Linotype" w:hAnsi="Palatino Linotype" w:cs="Palatino Linotype"/>
          <w:i/>
          <w:sz w:val="22"/>
          <w:szCs w:val="22"/>
        </w:rPr>
        <w:t xml:space="preserve"> Las que por disposición expresa de una ley tengan tal carácter, siempre que sean acordes con las bases, principios y disposiciones establecidos en esta Ley y no la contravengan; así como las previstas en tratados internacionales.”</w:t>
      </w:r>
    </w:p>
    <w:p w14:paraId="0FD88F76" w14:textId="77777777" w:rsidR="00174CEF" w:rsidRPr="009D0264" w:rsidRDefault="00174CEF">
      <w:pPr>
        <w:spacing w:before="120" w:after="120"/>
        <w:ind w:left="567" w:right="851"/>
        <w:jc w:val="both"/>
        <w:rPr>
          <w:rFonts w:ascii="Palatino Linotype" w:eastAsia="Palatino Linotype" w:hAnsi="Palatino Linotype" w:cs="Palatino Linotype"/>
          <w:i/>
          <w:sz w:val="22"/>
          <w:szCs w:val="22"/>
        </w:rPr>
      </w:pPr>
    </w:p>
    <w:p w14:paraId="02045499"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Es así que, si bien es cierto el derecho de acceso a la información pública se satisface en aquellos casos en que se entregue el soporte documental en que conste la información requerida, también lo es que el derecho de acceso a la información pública puede ser restringido cuando se trate de información clasificada como </w:t>
      </w:r>
      <w:r w:rsidRPr="009D0264">
        <w:rPr>
          <w:rFonts w:ascii="Palatino Linotype" w:eastAsia="Palatino Linotype" w:hAnsi="Palatino Linotype" w:cs="Palatino Linotype"/>
          <w:b/>
          <w:sz w:val="22"/>
          <w:szCs w:val="22"/>
        </w:rPr>
        <w:t>Reservada</w:t>
      </w:r>
      <w:r w:rsidRPr="009D0264">
        <w:rPr>
          <w:rFonts w:ascii="Palatino Linotype" w:eastAsia="Palatino Linotype" w:hAnsi="Palatino Linotype" w:cs="Palatino Linotype"/>
          <w:sz w:val="22"/>
          <w:szCs w:val="22"/>
        </w:rPr>
        <w:t>, delimitando una serie de hipótesis de hecho en las cuales descansa la posibilidad de reserva de información, por lo que, dentro la información que generen, posean o administren los Sujetos Obligados, se considerará reservada cuando su divulgación pueda causar un daño en términos de lo establecido en la Ley, de manera enunciativa más no limitativa, cuando comprometa la seguridad pública; ponga en riesgo la vida, la seguridad o la salud de una persona física; aquella que obstruya o pueda causar un serio perjuicio a las actividades de fiscalización, verificación, inspección, comprobación y auditoría sobre el cumplimiento de las Leyes; vulnere la conducción de los expedientes judiciales; que el daño que pueda producirse con la publicación de la información sea mayor que el interés público de conocer la información de referencia, siempre que esté directamente relacionado con procesos o procedimientos administrativos o judiciales que no hayan quedado firmes; o que por disposición expresa de una ley tengan tal carácter.</w:t>
      </w:r>
    </w:p>
    <w:p w14:paraId="7B2E23EE"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34256410" w14:textId="77777777" w:rsidR="00174CEF" w:rsidRPr="009D0264" w:rsidRDefault="0001360E">
      <w:pPr>
        <w:spacing w:line="360" w:lineRule="auto"/>
        <w:jc w:val="both"/>
        <w:rPr>
          <w:rFonts w:ascii="Palatino Linotype" w:eastAsia="Palatino Linotype" w:hAnsi="Palatino Linotype" w:cs="Palatino Linotype"/>
          <w:b/>
          <w:sz w:val="22"/>
          <w:szCs w:val="22"/>
          <w:u w:val="single"/>
        </w:rPr>
      </w:pPr>
      <w:r w:rsidRPr="009D0264">
        <w:rPr>
          <w:rFonts w:ascii="Palatino Linotype" w:eastAsia="Palatino Linotype" w:hAnsi="Palatino Linotype" w:cs="Palatino Linotype"/>
          <w:sz w:val="22"/>
          <w:szCs w:val="22"/>
        </w:rPr>
        <w:t xml:space="preserve">No obstante, en términos generales, las Leyes de la materia disponen que, </w:t>
      </w:r>
      <w:r w:rsidRPr="009D0264">
        <w:rPr>
          <w:rFonts w:ascii="Palatino Linotype" w:eastAsia="Palatino Linotype" w:hAnsi="Palatino Linotype" w:cs="Palatino Linotype"/>
          <w:b/>
          <w:sz w:val="22"/>
          <w:szCs w:val="22"/>
          <w:u w:val="single"/>
        </w:rPr>
        <w:t>para proceder a realizar la reserva de la información, no basta que se refiera a alguno de los supuestos que enmarque, en este caso, el artículo 140 de la Ley de Transparencia y Acceso a la Información Pública del Estado de México y Municipios, sino que, es necesario que la autoridad demuestre que la divulgación de la información, puede causar un daño al interés público protegido.</w:t>
      </w:r>
    </w:p>
    <w:p w14:paraId="197C9B4C"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5C5E7226"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lastRenderedPageBreak/>
        <w:t xml:space="preserve">Dicha valoración, debe realizarse caso por caso, a través de lo que se conoce como la llamada </w:t>
      </w:r>
      <w:r w:rsidRPr="009D0264">
        <w:rPr>
          <w:rFonts w:ascii="Palatino Linotype" w:eastAsia="Palatino Linotype" w:hAnsi="Palatino Linotype" w:cs="Palatino Linotype"/>
          <w:i/>
          <w:sz w:val="22"/>
          <w:szCs w:val="22"/>
        </w:rPr>
        <w:t>“prueba de daño”</w:t>
      </w:r>
      <w:r w:rsidRPr="009D0264">
        <w:rPr>
          <w:rFonts w:ascii="Palatino Linotype" w:eastAsia="Palatino Linotype" w:hAnsi="Palatino Linotype" w:cs="Palatino Linotype"/>
          <w:sz w:val="22"/>
          <w:szCs w:val="22"/>
        </w:rPr>
        <w:t xml:space="preserve">, que consiste en exponer los argumentos y razones, basados en elementos objetivos o verificables, a partir de los cuales se derive que la divulgación de información, en particular, puede afectar, poner en riesgo o dañar el interés protegido, ello conforme a los artículos 129 y 134, último párrafo de la Ley de Transparencia y Acceso a la Información Pública del Estado de México y Municipios, en relación con los diversos 104 y 108, último párrafo, de la Ley General de Transparencia y Acceso a la Información Pública; asimismo, esta no debe basarse en meras especulaciones o suposiciones, sino en elementos objetivos que deban evaluar que existe un riego actual e inminente. </w:t>
      </w:r>
    </w:p>
    <w:p w14:paraId="2E4DF6D8"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00038A8C"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Es importante referir, lo que al respecto establece el Lineamiento Segundo, fracción XIII, de los Lineamientos Generales en Materia de Clasificación y Desclasificación de la Información, así como para la elaboración de Versiones Públicas, que a la letra dice:</w:t>
      </w:r>
    </w:p>
    <w:p w14:paraId="22E6DAAD"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0D5FF312" w14:textId="77777777" w:rsidR="00174CEF" w:rsidRPr="009D0264" w:rsidRDefault="0001360E">
      <w:pPr>
        <w:ind w:left="567" w:right="902"/>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“Segundo.</w:t>
      </w:r>
      <w:r w:rsidRPr="009D0264">
        <w:rPr>
          <w:rFonts w:ascii="Palatino Linotype" w:eastAsia="Palatino Linotype" w:hAnsi="Palatino Linotype" w:cs="Palatino Linotype"/>
          <w:i/>
          <w:sz w:val="22"/>
          <w:szCs w:val="22"/>
        </w:rPr>
        <w:t xml:space="preserve"> Para efectos de los presentes Lineamientos Generales, se entenderá por: </w:t>
      </w:r>
    </w:p>
    <w:p w14:paraId="34FCC122" w14:textId="77777777" w:rsidR="00174CEF" w:rsidRPr="009D0264" w:rsidRDefault="0001360E">
      <w:pPr>
        <w:ind w:left="567" w:right="902"/>
        <w:jc w:val="both"/>
        <w:rPr>
          <w:rFonts w:ascii="Palatino Linotype" w:eastAsia="Palatino Linotype" w:hAnsi="Palatino Linotype" w:cs="Palatino Linotype"/>
          <w:b/>
          <w:i/>
          <w:sz w:val="22"/>
          <w:szCs w:val="22"/>
        </w:rPr>
      </w:pPr>
      <w:r w:rsidRPr="009D0264">
        <w:rPr>
          <w:rFonts w:ascii="Palatino Linotype" w:eastAsia="Palatino Linotype" w:hAnsi="Palatino Linotype" w:cs="Palatino Linotype"/>
          <w:b/>
          <w:i/>
          <w:sz w:val="22"/>
          <w:szCs w:val="22"/>
        </w:rPr>
        <w:t>...</w:t>
      </w:r>
    </w:p>
    <w:p w14:paraId="5F8A1166" w14:textId="77777777" w:rsidR="00174CEF" w:rsidRPr="009D0264" w:rsidRDefault="0001360E">
      <w:pPr>
        <w:ind w:left="567" w:right="902"/>
        <w:jc w:val="both"/>
        <w:rPr>
          <w:rFonts w:ascii="Palatino Linotype" w:eastAsia="Palatino Linotype" w:hAnsi="Palatino Linotype" w:cs="Palatino Linotype"/>
          <w:b/>
          <w:i/>
          <w:sz w:val="22"/>
          <w:szCs w:val="22"/>
        </w:rPr>
      </w:pPr>
      <w:r w:rsidRPr="009D0264">
        <w:rPr>
          <w:rFonts w:ascii="Palatino Linotype" w:eastAsia="Palatino Linotype" w:hAnsi="Palatino Linotype" w:cs="Palatino Linotype"/>
          <w:b/>
          <w:i/>
          <w:sz w:val="22"/>
          <w:szCs w:val="22"/>
        </w:rPr>
        <w:t>XIII.    Prueba de daño</w:t>
      </w:r>
      <w:r w:rsidRPr="009D0264">
        <w:rPr>
          <w:rFonts w:ascii="Palatino Linotype" w:eastAsia="Palatino Linotype" w:hAnsi="Palatino Linotype" w:cs="Palatino Linotype"/>
          <w:i/>
          <w:sz w:val="22"/>
          <w:szCs w:val="22"/>
        </w:rPr>
        <w:t>: La argumentación fundada y motivada que deben realizar los sujetos obligados tendiente a acreditar que la divulgación de información lesiona el interés jurídicamente protegido por la normativa aplicable y que el daño que puede producirse con la publicidad de la información es mayor que el interés de conocerla;</w:t>
      </w:r>
      <w:r w:rsidRPr="009D0264">
        <w:rPr>
          <w:rFonts w:ascii="Palatino Linotype" w:eastAsia="Palatino Linotype" w:hAnsi="Palatino Linotype" w:cs="Palatino Linotype"/>
          <w:b/>
          <w:i/>
          <w:sz w:val="22"/>
          <w:szCs w:val="22"/>
        </w:rPr>
        <w:t>”</w:t>
      </w:r>
    </w:p>
    <w:p w14:paraId="4ECA68A8"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461DDB15"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y que para motivar la clasificación de la información y la ampliación del plazo de reserva, se deberán de señalar </w:t>
      </w:r>
      <w:r w:rsidRPr="009D0264">
        <w:rPr>
          <w:rFonts w:ascii="Palatino Linotype" w:eastAsia="Palatino Linotype" w:hAnsi="Palatino Linotype" w:cs="Palatino Linotype"/>
          <w:sz w:val="22"/>
          <w:szCs w:val="22"/>
        </w:rPr>
        <w:lastRenderedPageBreak/>
        <w:t>las razones, motivos o circunstancias especiales que llevaron al Sujeto Obligado a concluir que el caso particular se ajusta al supuesto previsto por la norma legal invocada como fundamento; siendo que, además, el Sujeto Obligado debe, en todo momento, aplicar una prueba de daño.</w:t>
      </w:r>
    </w:p>
    <w:p w14:paraId="026A9D9C"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4F2D0924"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De este modo, conforme al artículo 132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0DC48F03"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48AF23E8" w14:textId="77777777" w:rsidR="00174CEF" w:rsidRPr="009D0264" w:rsidRDefault="0001360E">
      <w:pPr>
        <w:numPr>
          <w:ilvl w:val="0"/>
          <w:numId w:val="3"/>
        </w:numPr>
        <w:spacing w:line="360" w:lineRule="auto"/>
        <w:ind w:left="851"/>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Se reciba una solicitud de acceso a la información.</w:t>
      </w:r>
    </w:p>
    <w:p w14:paraId="02014F81" w14:textId="77777777" w:rsidR="00174CEF" w:rsidRPr="009D0264" w:rsidRDefault="0001360E">
      <w:pPr>
        <w:numPr>
          <w:ilvl w:val="0"/>
          <w:numId w:val="3"/>
        </w:numPr>
        <w:spacing w:line="360" w:lineRule="auto"/>
        <w:ind w:left="851"/>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Se determine mediante resolución de autoridad competente.</w:t>
      </w:r>
    </w:p>
    <w:p w14:paraId="0753C1A3" w14:textId="77777777" w:rsidR="00174CEF" w:rsidRPr="009D0264" w:rsidRDefault="0001360E">
      <w:pPr>
        <w:numPr>
          <w:ilvl w:val="0"/>
          <w:numId w:val="3"/>
        </w:numPr>
        <w:spacing w:line="360" w:lineRule="auto"/>
        <w:ind w:left="851"/>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Se generen versiones públicas para dar cumplimiento a las obligaciones de transparencia previstas en la Ley.</w:t>
      </w:r>
    </w:p>
    <w:p w14:paraId="33383F6B"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0FE5B4FF"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Situación que se robustece con el artículo 141 de la misma Ley, que señala que las causales de reserva previstas, se deberán fundar y motivar, a través de la aplicación de la prueba de daño.</w:t>
      </w:r>
    </w:p>
    <w:p w14:paraId="7A5D49A7"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67DF77E6"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a saber:</w:t>
      </w:r>
    </w:p>
    <w:p w14:paraId="0307AE44" w14:textId="77777777" w:rsidR="00174CEF" w:rsidRPr="009D0264" w:rsidRDefault="0001360E">
      <w:pPr>
        <w:spacing w:before="240" w:after="240"/>
        <w:ind w:left="567" w:right="900"/>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lastRenderedPageBreak/>
        <w:t>“Artículo 129</w:t>
      </w:r>
      <w:r w:rsidRPr="009D0264">
        <w:rPr>
          <w:rFonts w:ascii="Palatino Linotype" w:eastAsia="Palatino Linotype" w:hAnsi="Palatino Linotype" w:cs="Palatino Linotype"/>
          <w:i/>
          <w:sz w:val="22"/>
          <w:szCs w:val="22"/>
        </w:rPr>
        <w:t>. En la aplicación de la prueba de daño, el sujeto obligado deberá precisar las razones objetivas por las que la apertura de la información generaría una afectación, justificando que:</w:t>
      </w:r>
    </w:p>
    <w:p w14:paraId="58B515E8" w14:textId="77777777" w:rsidR="00174CEF" w:rsidRPr="009D0264" w:rsidRDefault="0001360E">
      <w:pPr>
        <w:spacing w:before="240" w:after="240"/>
        <w:ind w:left="567" w:right="900"/>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I</w:t>
      </w:r>
      <w:r w:rsidRPr="009D0264">
        <w:rPr>
          <w:rFonts w:ascii="Palatino Linotype" w:eastAsia="Palatino Linotype" w:hAnsi="Palatino Linotype" w:cs="Palatino Linotype"/>
          <w:i/>
          <w:sz w:val="22"/>
          <w:szCs w:val="22"/>
        </w:rPr>
        <w:t xml:space="preserve">. La divulgación de la información representa un riesgo real, demostrable e identificable del perjuicio significativo al interés público o a la seguridad pública; </w:t>
      </w:r>
    </w:p>
    <w:p w14:paraId="36164FC2" w14:textId="77777777" w:rsidR="00174CEF" w:rsidRPr="009D0264" w:rsidRDefault="0001360E">
      <w:pPr>
        <w:spacing w:before="240" w:after="240"/>
        <w:ind w:left="567" w:right="900"/>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II.</w:t>
      </w:r>
      <w:r w:rsidRPr="009D0264">
        <w:rPr>
          <w:rFonts w:ascii="Palatino Linotype" w:eastAsia="Palatino Linotype" w:hAnsi="Palatino Linotype" w:cs="Palatino Linotype"/>
          <w:i/>
          <w:sz w:val="22"/>
          <w:szCs w:val="22"/>
        </w:rPr>
        <w:t xml:space="preserve"> El riesgo de perjuicio que supondría la divulgación supera el interés público general de que se difunda; y</w:t>
      </w:r>
    </w:p>
    <w:p w14:paraId="10FE943B" w14:textId="77777777" w:rsidR="00174CEF" w:rsidRPr="009D0264" w:rsidRDefault="0001360E">
      <w:pPr>
        <w:spacing w:before="240" w:after="240"/>
        <w:ind w:left="567" w:right="900"/>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III.</w:t>
      </w:r>
      <w:r w:rsidRPr="009D0264">
        <w:rPr>
          <w:rFonts w:ascii="Palatino Linotype" w:eastAsia="Palatino Linotype" w:hAnsi="Palatino Linotype" w:cs="Palatino Linotype"/>
          <w:i/>
          <w:sz w:val="22"/>
          <w:szCs w:val="22"/>
        </w:rPr>
        <w:t xml:space="preserve"> La limitación se adecua al principio de proporcionalidad y representa el medio menos restrictivo disponible representa el medio menos restrictivo disponible para evitar el perjuicio.”</w:t>
      </w:r>
    </w:p>
    <w:p w14:paraId="11894B3E" w14:textId="77777777" w:rsidR="00174CEF" w:rsidRPr="009D0264" w:rsidRDefault="0001360E">
      <w:pPr>
        <w:spacing w:before="240" w:after="240"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Al respecto, debe entenderse que la primera fracción consiste en verificar que existe un riesgo de publicar determinada información para el interés público o la seguridad pública, no implica, por el contrario, argumentar individualmente un riesgo real, demostrable e identificable, pues se entraría en una dinámica usar argumentos repetitivos en categorías de definición vaga. Por lo que el segundo paso de la prueba de daño es que, una vez que se acreditó el riesgo de hacer pública la información, es necesario ponderarlo con el interés público general de que se difunda esa información, demostrando que el primero -el riesgo al divulgarse- supera al segundo -el interés de que se conozca-. Mientras que la tercera fracción es una guía de cómo realizar dicha ponderación a través del principio de proporcionalidad. Es decir, se debe determinar, en resumen, la idoneidad, necesidad y proporcionalidad de la reserva de la información frente al interés público de divulgarla. Además, se deben explorar las alternativas a través de las cuales se puede conseguir un menor daño a los intereses en pugna, o verificar que el medio que se eligió para reservar la información es el más benigno.</w:t>
      </w:r>
    </w:p>
    <w:p w14:paraId="5B1838A7" w14:textId="77777777" w:rsidR="00174CEF" w:rsidRPr="009D0264" w:rsidRDefault="0001360E">
      <w:pPr>
        <w:spacing w:before="240" w:after="240"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En el mismo tenor el Lineamiento Trigésimo Tercero, de los Lineamientos Generales en Materia de Clasificación y Desclasificación de la Información, dispone lo siguiente:</w:t>
      </w:r>
    </w:p>
    <w:p w14:paraId="4B42422C" w14:textId="77777777" w:rsidR="00174CEF" w:rsidRPr="009D0264" w:rsidRDefault="0001360E">
      <w:pPr>
        <w:spacing w:before="120" w:after="120"/>
        <w:ind w:left="567" w:right="758"/>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i/>
          <w:sz w:val="22"/>
          <w:szCs w:val="22"/>
        </w:rPr>
        <w:lastRenderedPageBreak/>
        <w:t>“</w:t>
      </w:r>
      <w:r w:rsidRPr="009D0264">
        <w:rPr>
          <w:rFonts w:ascii="Palatino Linotype" w:eastAsia="Palatino Linotype" w:hAnsi="Palatino Linotype" w:cs="Palatino Linotype"/>
          <w:b/>
          <w:i/>
          <w:sz w:val="22"/>
          <w:szCs w:val="22"/>
        </w:rPr>
        <w:t>Trigésimo tercero</w:t>
      </w:r>
      <w:r w:rsidRPr="009D0264">
        <w:rPr>
          <w:rFonts w:ascii="Palatino Linotype" w:eastAsia="Palatino Linotype" w:hAnsi="Palatino Linotype" w:cs="Palatino Linotype"/>
          <w:i/>
          <w:sz w:val="22"/>
          <w:szCs w:val="22"/>
        </w:rPr>
        <w:t>. Para la aplicación de la prueba de daño a la que hace referencia el artículo 104 de la Ley General, los sujetos obligados atenderán lo siguiente:</w:t>
      </w:r>
    </w:p>
    <w:p w14:paraId="47F17437" w14:textId="77777777" w:rsidR="00174CEF" w:rsidRPr="009D0264" w:rsidRDefault="0001360E">
      <w:pPr>
        <w:tabs>
          <w:tab w:val="left" w:pos="1701"/>
        </w:tabs>
        <w:spacing w:before="120" w:after="120"/>
        <w:ind w:left="567" w:right="760"/>
        <w:jc w:val="both"/>
        <w:rPr>
          <w:rFonts w:ascii="Palatino Linotype" w:eastAsia="Palatino Linotype" w:hAnsi="Palatino Linotype" w:cs="Palatino Linotype"/>
          <w:b/>
          <w:i/>
          <w:sz w:val="22"/>
          <w:szCs w:val="22"/>
        </w:rPr>
      </w:pPr>
      <w:r w:rsidRPr="009D0264">
        <w:rPr>
          <w:rFonts w:ascii="Palatino Linotype" w:eastAsia="Palatino Linotype" w:hAnsi="Palatino Linotype" w:cs="Palatino Linotype"/>
          <w:b/>
          <w:i/>
          <w:sz w:val="22"/>
          <w:szCs w:val="22"/>
        </w:rPr>
        <w:t xml:space="preserve">I. </w:t>
      </w:r>
      <w:r w:rsidRPr="009D0264">
        <w:rPr>
          <w:rFonts w:ascii="Palatino Linotype" w:eastAsia="Palatino Linotype" w:hAnsi="Palatino Linotype" w:cs="Palatino Linotype"/>
          <w:i/>
          <w:sz w:val="22"/>
          <w:szCs w:val="22"/>
        </w:rPr>
        <w:t>Se deberá fundar la clasificación, al citar la fracción y la hipótesis de la causal aplicable del artículo 113 de la Ley General, vinculándola con el Lineamiento específico del presente ordenamiento y cuando corresponda, el supuesto normativo que expresamente le otorga el carácter de información reservada;</w:t>
      </w:r>
    </w:p>
    <w:p w14:paraId="150440D8" w14:textId="77777777" w:rsidR="00174CEF" w:rsidRPr="009D0264" w:rsidRDefault="0001360E">
      <w:pPr>
        <w:tabs>
          <w:tab w:val="left" w:pos="1701"/>
        </w:tabs>
        <w:spacing w:before="120" w:after="120"/>
        <w:ind w:left="567" w:right="760"/>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II</w:t>
      </w:r>
      <w:r w:rsidRPr="009D0264">
        <w:rPr>
          <w:rFonts w:ascii="Palatino Linotype" w:eastAsia="Palatino Linotype" w:hAnsi="Palatino Linotype" w:cs="Palatino Linotype"/>
          <w:i/>
          <w:sz w:val="22"/>
          <w:szCs w:val="22"/>
        </w:rPr>
        <w:t>. Se deberá motivar la clasificación, señalando las circunstancias de modo, tiempo y lugar que acrediten el vínculo entre la difusión de la información y la afectación al interés público o a la seguridad nacional;</w:t>
      </w:r>
    </w:p>
    <w:p w14:paraId="5F38504B" w14:textId="77777777" w:rsidR="00174CEF" w:rsidRPr="009D0264" w:rsidRDefault="0001360E">
      <w:pPr>
        <w:tabs>
          <w:tab w:val="left" w:pos="1701"/>
        </w:tabs>
        <w:spacing w:before="120" w:after="120"/>
        <w:ind w:left="567" w:right="760"/>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III.</w:t>
      </w:r>
      <w:r w:rsidRPr="009D0264">
        <w:rPr>
          <w:rFonts w:ascii="Palatino Linotype" w:eastAsia="Palatino Linotype" w:hAnsi="Palatino Linotype" w:cs="Palatino Linotype"/>
          <w:i/>
          <w:sz w:val="22"/>
          <w:szCs w:val="22"/>
        </w:rPr>
        <w:t xml:space="preserve"> Se deberán precisar las razones objetivas por las que la apertura de la información generaría un riesgo de perjuicio real, demostrable e identificable al interés jurídico tutelado de que se trate;</w:t>
      </w:r>
    </w:p>
    <w:p w14:paraId="0E6D456F" w14:textId="77777777" w:rsidR="00174CEF" w:rsidRPr="009D0264" w:rsidRDefault="0001360E">
      <w:pPr>
        <w:tabs>
          <w:tab w:val="left" w:pos="1701"/>
        </w:tabs>
        <w:spacing w:before="120" w:after="120"/>
        <w:ind w:left="567" w:right="760"/>
        <w:jc w:val="both"/>
        <w:rPr>
          <w:rFonts w:ascii="Palatino Linotype" w:eastAsia="Palatino Linotype" w:hAnsi="Palatino Linotype" w:cs="Palatino Linotype"/>
          <w:b/>
          <w:i/>
          <w:sz w:val="22"/>
          <w:szCs w:val="22"/>
        </w:rPr>
      </w:pPr>
      <w:r w:rsidRPr="009D0264">
        <w:rPr>
          <w:rFonts w:ascii="Palatino Linotype" w:eastAsia="Palatino Linotype" w:hAnsi="Palatino Linotype" w:cs="Palatino Linotype"/>
          <w:b/>
          <w:i/>
          <w:sz w:val="22"/>
          <w:szCs w:val="22"/>
        </w:rPr>
        <w:t>IV.</w:t>
      </w:r>
      <w:r w:rsidRPr="009D0264">
        <w:rPr>
          <w:rFonts w:ascii="Palatino Linotype" w:eastAsia="Palatino Linotype" w:hAnsi="Palatino Linotype" w:cs="Palatino Linotype"/>
          <w:i/>
          <w:sz w:val="22"/>
          <w:szCs w:val="22"/>
        </w:rPr>
        <w:t xml:space="preserve"> Mediante una ponderación entre la medida restrictiva y el derecho de acceso a la información, deberán justificar y probar objetivamente mediante los elementos señalados en la fracción anterior, que la publicidad de la información solicitada generaría un riesgo de perjuicio que supera al interés público de que la información se difunda;</w:t>
      </w:r>
      <w:r w:rsidRPr="009D0264">
        <w:rPr>
          <w:rFonts w:ascii="Palatino Linotype" w:eastAsia="Palatino Linotype" w:hAnsi="Palatino Linotype" w:cs="Palatino Linotype"/>
          <w:b/>
          <w:i/>
          <w:sz w:val="22"/>
          <w:szCs w:val="22"/>
        </w:rPr>
        <w:t xml:space="preserve"> </w:t>
      </w:r>
    </w:p>
    <w:p w14:paraId="110D744A" w14:textId="77777777" w:rsidR="00174CEF" w:rsidRPr="009D0264" w:rsidRDefault="0001360E">
      <w:pPr>
        <w:tabs>
          <w:tab w:val="left" w:pos="1701"/>
        </w:tabs>
        <w:spacing w:before="120" w:after="120"/>
        <w:ind w:left="567" w:right="760"/>
        <w:jc w:val="both"/>
        <w:rPr>
          <w:rFonts w:ascii="Palatino Linotype" w:eastAsia="Palatino Linotype" w:hAnsi="Palatino Linotype" w:cs="Palatino Linotype"/>
          <w:b/>
          <w:i/>
          <w:sz w:val="22"/>
          <w:szCs w:val="22"/>
        </w:rPr>
      </w:pPr>
      <w:r w:rsidRPr="009D0264">
        <w:rPr>
          <w:rFonts w:ascii="Palatino Linotype" w:eastAsia="Palatino Linotype" w:hAnsi="Palatino Linotype" w:cs="Palatino Linotype"/>
          <w:b/>
          <w:i/>
          <w:sz w:val="22"/>
          <w:szCs w:val="22"/>
        </w:rPr>
        <w:t>V</w:t>
      </w:r>
      <w:r w:rsidRPr="009D0264">
        <w:rPr>
          <w:rFonts w:ascii="Palatino Linotype" w:eastAsia="Palatino Linotype" w:hAnsi="Palatino Linotype" w:cs="Palatino Linotype"/>
          <w:i/>
          <w:sz w:val="22"/>
          <w:szCs w:val="22"/>
        </w:rPr>
        <w:t>. Deberán elegir y justificar la opción de excepción al derecho de acceso a la información que menos lo restrinja y que sea adecuada y proporcional para evitar el perjuicio al interés público, evitando siempre que sea posible la reserva absoluta de documentos o expedientes; y</w:t>
      </w:r>
      <w:r w:rsidRPr="009D0264">
        <w:rPr>
          <w:rFonts w:ascii="Palatino Linotype" w:eastAsia="Palatino Linotype" w:hAnsi="Palatino Linotype" w:cs="Palatino Linotype"/>
          <w:b/>
          <w:i/>
          <w:sz w:val="22"/>
          <w:szCs w:val="22"/>
        </w:rPr>
        <w:t xml:space="preserve"> </w:t>
      </w:r>
    </w:p>
    <w:p w14:paraId="4C3300DE" w14:textId="77777777" w:rsidR="00174CEF" w:rsidRPr="009D0264" w:rsidRDefault="0001360E">
      <w:pPr>
        <w:tabs>
          <w:tab w:val="left" w:pos="1701"/>
        </w:tabs>
        <w:spacing w:before="120" w:after="120"/>
        <w:ind w:left="567" w:right="760"/>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VI</w:t>
      </w:r>
      <w:r w:rsidRPr="009D0264">
        <w:rPr>
          <w:rFonts w:ascii="Palatino Linotype" w:eastAsia="Palatino Linotype" w:hAnsi="Palatino Linotype" w:cs="Palatino Linotype"/>
          <w:i/>
          <w:sz w:val="22"/>
          <w:szCs w:val="22"/>
        </w:rPr>
        <w:t>. En los casos en que se determine la clasificación total de la información, se deberán especificar en la prueba de daño, con la mayor claridad y precisión posible, los aspectos relevantes de la información clasificada que ayuden a cumplir con el objetivo de brindar certeza al solicitante.”</w:t>
      </w:r>
    </w:p>
    <w:p w14:paraId="5BB51126"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De tal manera, las limitaciones al acceso a la información deben sustentarse en una adecuada clasificación que debe distinguir y tomar en cuenta qué información puede generar un daño desproporcionado o innecesario a valores jurídicamente protegidos.</w:t>
      </w:r>
    </w:p>
    <w:p w14:paraId="4C5FCA1A"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11D9257C"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Lo anterior, encuentra sustento en la Tesis de la Décima Época, publicada en la Gaceta del Semanario Judicial de la Federación, sección Tribunales Colegiados de Circuito, Libro 5, de fecha abril de 2014, pág. 1523, Registro, 2, 006,299. I.1o.A.E.3 K (10a.), que literalmente señala:</w:t>
      </w:r>
    </w:p>
    <w:p w14:paraId="527FB7F3" w14:textId="77777777" w:rsidR="00174CEF" w:rsidRPr="009D0264" w:rsidRDefault="0001360E">
      <w:pPr>
        <w:ind w:left="851" w:right="902"/>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i/>
          <w:sz w:val="22"/>
          <w:szCs w:val="22"/>
        </w:rPr>
        <w:lastRenderedPageBreak/>
        <w:t>“</w:t>
      </w:r>
      <w:r w:rsidRPr="009D0264">
        <w:rPr>
          <w:rFonts w:ascii="Palatino Linotype" w:eastAsia="Palatino Linotype" w:hAnsi="Palatino Linotype" w:cs="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9D0264">
        <w:rPr>
          <w:rFonts w:ascii="Palatino Linotype" w:eastAsia="Palatino Linotype" w:hAnsi="Palatino Linotype" w:cs="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w:t>
      </w:r>
    </w:p>
    <w:p w14:paraId="08C0BE12"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65487561"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Prueba de daño, que cobra relevancia puesto que sí esta no arroja resultados contundentes sobre un posible peligro, deberá de publicarse o difundirse la información.</w:t>
      </w:r>
    </w:p>
    <w:p w14:paraId="27CBF6F6"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56CE0459"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Asimismo, de conformidad con los artículos 108 de la Ley General de Transparencia y Acceso a la Información Pública y 134 de la Ley de Transparencia y Acceso a la Información Pública del Estado de México y Municipios, los Sujetos Obligados no pueden emitir acuerdos de carácter general ni particular que clasifiquen documentos o información como reservada, ya que dicha clasificación ya sea parcial o total, debe estar acorde con la actualización de los supuestos definidos; resaltándose además que, la clasificación de la información se debe realizar conforme a un análisis caso por caso, mediante la aplicación de la enunciada prueba de daño.</w:t>
      </w:r>
    </w:p>
    <w:p w14:paraId="3889A106"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12F34317"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lastRenderedPageBreak/>
        <w:t xml:space="preserve">De este modo, es necesario que el </w:t>
      </w:r>
      <w:r w:rsidRPr="009D0264">
        <w:rPr>
          <w:rFonts w:ascii="Palatino Linotype" w:eastAsia="Palatino Linotype" w:hAnsi="Palatino Linotype" w:cs="Palatino Linotype"/>
          <w:b/>
          <w:sz w:val="22"/>
          <w:szCs w:val="22"/>
        </w:rPr>
        <w:t>Sujeto Obligado</w:t>
      </w:r>
      <w:r w:rsidRPr="009D0264">
        <w:rPr>
          <w:rFonts w:ascii="Palatino Linotype" w:eastAsia="Palatino Linotype" w:hAnsi="Palatino Linotype" w:cs="Palatino Linotype"/>
          <w:sz w:val="22"/>
          <w:szCs w:val="22"/>
        </w:rPr>
        <w:t>,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14:paraId="19619004"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4EDEA7F1"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Aunado a lo anterior, se tiene que conforme al Lineamiento Octavo, de los Lineamientos Generales en materia de Clasificación y Desclasificación de la Información, para fundar la clasificación de la información se debe señalar el artículo, fracción, inciso, párrafo o numeral de la Ley o tratado internacional suscrito por el Estado Mexicano que expresamente le otorgue el carácter de reservada, mientras que para motivar la clasificación se deben señalar las razones o circunstancias especiales que lo llevaron a concluir que el caso particular se ajusta al supuesto previsto por la norma legal invocada como fundamento, reiterando que en el caso específico de la reserva, la motivación de la clasificación deberá comprender el análisis de la prueba de daño a que hace referencia el artículo 104 de la Ley General, en relación con el artículo Trigésimo Tercero de los Lineamientos, así como las circunstancias que justifican el establecimiento de determinado plazo de reserva, en otras palabras, para clasificar la información como reservada, el acuerdo respectivo debe estar debidamente fundado y motivado.</w:t>
      </w:r>
    </w:p>
    <w:p w14:paraId="4EDDB51F"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2A7A47AC"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Sirve de sustento a lo anterior, la Tesis jurisprudencial número I.4º.A. J/43, publicada en el Semanario Judicial de la Federación y su Gaceta, bajo el número de registro 175,082; que a la letra dice:</w:t>
      </w:r>
    </w:p>
    <w:p w14:paraId="301C4A0E"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4851DA3F" w14:textId="77777777" w:rsidR="00174CEF" w:rsidRPr="009D0264" w:rsidRDefault="0001360E">
      <w:pPr>
        <w:ind w:left="567" w:right="902"/>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i/>
          <w:sz w:val="22"/>
          <w:szCs w:val="22"/>
        </w:rPr>
        <w:lastRenderedPageBreak/>
        <w:t>“</w:t>
      </w:r>
      <w:r w:rsidRPr="009D0264">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 </w:t>
      </w:r>
      <w:r w:rsidRPr="009D0264">
        <w:rPr>
          <w:rFonts w:ascii="Palatino Linotype" w:eastAsia="Palatino Linotype" w:hAnsi="Palatino Linotype" w:cs="Palatino Linotype"/>
          <w:i/>
          <w:sz w:val="22"/>
          <w:szCs w:val="22"/>
        </w:rPr>
        <w:t>El contenido formal de la garantía de legalidad prevista en el artículo 16 constitucional relativa a la fundamentación y motivación tiene como propósito primordial y ratio que el justiciable </w:t>
      </w:r>
      <w:r w:rsidRPr="009D0264">
        <w:rPr>
          <w:rFonts w:ascii="Palatino Linotype" w:eastAsia="Palatino Linotype" w:hAnsi="Palatino Linotype" w:cs="Palatino Linotype"/>
          <w:b/>
          <w:i/>
          <w:sz w:val="22"/>
          <w:szCs w:val="22"/>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9D0264">
        <w:rPr>
          <w:rFonts w:ascii="Palatino Linotype" w:eastAsia="Palatino Linotype" w:hAnsi="Palatino Linotype" w:cs="Palatino Linotype"/>
          <w:i/>
          <w:sz w:val="22"/>
          <w:szCs w:val="22"/>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9D0264">
        <w:rPr>
          <w:rFonts w:ascii="Palatino Linotype" w:eastAsia="Palatino Linotype" w:hAnsi="Palatino Linotype" w:cs="Palatino Linotype"/>
          <w:b/>
          <w:i/>
          <w:sz w:val="22"/>
          <w:szCs w:val="22"/>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9D0264">
        <w:rPr>
          <w:rFonts w:ascii="Palatino Linotype" w:eastAsia="Palatino Linotype" w:hAnsi="Palatino Linotype" w:cs="Palatino Linotype"/>
          <w:i/>
          <w:sz w:val="22"/>
          <w:szCs w:val="22"/>
        </w:rPr>
        <w:t> del que se deduzca la relación de pertenencia lógica de los hechos al derecho invocado, que es la subsunción.”</w:t>
      </w:r>
    </w:p>
    <w:p w14:paraId="072E7097"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1BA21232" w14:textId="77777777" w:rsidR="00174CEF" w:rsidRPr="009D0264" w:rsidRDefault="0001360E">
      <w:pPr>
        <w:spacing w:line="360" w:lineRule="auto"/>
        <w:jc w:val="both"/>
        <w:rPr>
          <w:rFonts w:ascii="Palatino Linotype" w:eastAsia="Palatino Linotype" w:hAnsi="Palatino Linotype" w:cs="Palatino Linotype"/>
          <w:b/>
          <w:sz w:val="22"/>
          <w:szCs w:val="22"/>
        </w:rPr>
      </w:pPr>
      <w:r w:rsidRPr="009D0264">
        <w:rPr>
          <w:rFonts w:ascii="Palatino Linotype" w:eastAsia="Palatino Linotype" w:hAnsi="Palatino Linotype" w:cs="Palatino Linotype"/>
          <w:sz w:val="22"/>
          <w:szCs w:val="22"/>
        </w:rPr>
        <w:t xml:space="preserve">En el caso particular, </w:t>
      </w:r>
      <w:r w:rsidRPr="009D0264">
        <w:rPr>
          <w:rFonts w:ascii="Palatino Linotype" w:eastAsia="Palatino Linotype" w:hAnsi="Palatino Linotype" w:cs="Palatino Linotype"/>
          <w:b/>
          <w:sz w:val="22"/>
          <w:szCs w:val="22"/>
        </w:rPr>
        <w:t>el Comité de Transparencia aprobó en la Cuarta Sesión Extraordinaria, del ocho de abril de dos mil veinticuatro, la reserva de información requerida en la presente solicitud de información.</w:t>
      </w:r>
    </w:p>
    <w:p w14:paraId="33A0CAA0"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3A8A3A63"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Dicho acuerdo fue analizado por este Organismo Garante a la luz de las consideraciones expuestas a lo largo del presente estudio, así como del Lineamiento Quincuagésimo primero de los Lineamientos Generales en Materia de Clasificación y Desclasificación de la Información, que es del tenor literal siguiente:</w:t>
      </w:r>
    </w:p>
    <w:p w14:paraId="63EEAEC5" w14:textId="77777777" w:rsidR="00174CEF" w:rsidRPr="009D0264" w:rsidRDefault="0001360E">
      <w:pPr>
        <w:spacing w:before="120" w:after="120"/>
        <w:ind w:left="567" w:right="902"/>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i/>
          <w:sz w:val="22"/>
          <w:szCs w:val="22"/>
        </w:rPr>
        <w:t>“</w:t>
      </w:r>
      <w:r w:rsidRPr="009D0264">
        <w:rPr>
          <w:rFonts w:ascii="Palatino Linotype" w:eastAsia="Palatino Linotype" w:hAnsi="Palatino Linotype" w:cs="Palatino Linotype"/>
          <w:b/>
          <w:i/>
          <w:sz w:val="22"/>
          <w:szCs w:val="22"/>
        </w:rPr>
        <w:t>Quincuagésimo primero.</w:t>
      </w:r>
      <w:r w:rsidRPr="009D0264">
        <w:rPr>
          <w:rFonts w:ascii="Palatino Linotype" w:eastAsia="Palatino Linotype" w:hAnsi="Palatino Linotype" w:cs="Palatino Linotype"/>
          <w:i/>
          <w:sz w:val="22"/>
          <w:szCs w:val="22"/>
        </w:rPr>
        <w:t xml:space="preserve"> Toda acta del Comité de Transparencia deberá contener:</w:t>
      </w:r>
    </w:p>
    <w:p w14:paraId="56B3AE5B" w14:textId="77777777" w:rsidR="00174CEF" w:rsidRPr="009D0264" w:rsidRDefault="0001360E">
      <w:pPr>
        <w:spacing w:before="120" w:after="120"/>
        <w:ind w:left="567" w:right="902"/>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I.</w:t>
      </w:r>
      <w:r w:rsidRPr="009D0264">
        <w:rPr>
          <w:rFonts w:ascii="Palatino Linotype" w:eastAsia="Palatino Linotype" w:hAnsi="Palatino Linotype" w:cs="Palatino Linotype"/>
          <w:i/>
          <w:sz w:val="22"/>
          <w:szCs w:val="22"/>
        </w:rPr>
        <w:t xml:space="preserve"> El número de sesión y fecha;</w:t>
      </w:r>
    </w:p>
    <w:p w14:paraId="4634BD63" w14:textId="77777777" w:rsidR="00174CEF" w:rsidRPr="009D0264" w:rsidRDefault="0001360E">
      <w:pPr>
        <w:spacing w:before="120" w:after="120"/>
        <w:ind w:left="567" w:right="902"/>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lastRenderedPageBreak/>
        <w:t>II.</w:t>
      </w:r>
      <w:r w:rsidRPr="009D0264">
        <w:rPr>
          <w:rFonts w:ascii="Palatino Linotype" w:eastAsia="Palatino Linotype" w:hAnsi="Palatino Linotype" w:cs="Palatino Linotype"/>
          <w:i/>
          <w:sz w:val="22"/>
          <w:szCs w:val="22"/>
        </w:rPr>
        <w:t xml:space="preserve"> El nombre del área que solicitó la clasificación de información;</w:t>
      </w:r>
    </w:p>
    <w:p w14:paraId="7052611E" w14:textId="77777777" w:rsidR="00174CEF" w:rsidRPr="009D0264" w:rsidRDefault="0001360E">
      <w:pPr>
        <w:spacing w:before="120" w:after="120"/>
        <w:ind w:left="567" w:right="902"/>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III.</w:t>
      </w:r>
      <w:r w:rsidRPr="009D0264">
        <w:rPr>
          <w:rFonts w:ascii="Palatino Linotype" w:eastAsia="Palatino Linotype" w:hAnsi="Palatino Linotype" w:cs="Palatino Linotype"/>
          <w:i/>
          <w:sz w:val="22"/>
          <w:szCs w:val="22"/>
        </w:rPr>
        <w:t xml:space="preserve"> La fundamentación legal y motivación correspondiente;</w:t>
      </w:r>
    </w:p>
    <w:p w14:paraId="2364BA28" w14:textId="77777777" w:rsidR="00174CEF" w:rsidRPr="009D0264" w:rsidRDefault="0001360E">
      <w:pPr>
        <w:spacing w:before="120" w:after="120"/>
        <w:ind w:left="567" w:right="902"/>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IV</w:t>
      </w:r>
      <w:r w:rsidRPr="009D0264">
        <w:rPr>
          <w:rFonts w:ascii="Palatino Linotype" w:eastAsia="Palatino Linotype" w:hAnsi="Palatino Linotype" w:cs="Palatino Linotype"/>
          <w:i/>
          <w:sz w:val="22"/>
          <w:szCs w:val="22"/>
        </w:rPr>
        <w:t xml:space="preserve">. La resolución o resoluciones aprobadas; y </w:t>
      </w:r>
    </w:p>
    <w:p w14:paraId="6A46468D" w14:textId="77777777" w:rsidR="00174CEF" w:rsidRPr="009D0264" w:rsidRDefault="0001360E">
      <w:pPr>
        <w:spacing w:before="120" w:after="120"/>
        <w:ind w:left="567" w:right="902"/>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V.</w:t>
      </w:r>
      <w:r w:rsidRPr="009D0264">
        <w:rPr>
          <w:rFonts w:ascii="Palatino Linotype" w:eastAsia="Palatino Linotype" w:hAnsi="Palatino Linotype" w:cs="Palatino Linotype"/>
          <w:i/>
          <w:sz w:val="22"/>
          <w:szCs w:val="22"/>
        </w:rPr>
        <w:t xml:space="preserve"> La rúbrica o firma digital de cada integrante del Comité de Transparencia.</w:t>
      </w:r>
    </w:p>
    <w:p w14:paraId="250D8E01" w14:textId="77777777" w:rsidR="00174CEF" w:rsidRPr="009D0264" w:rsidRDefault="0001360E">
      <w:pPr>
        <w:spacing w:before="120" w:after="120"/>
        <w:ind w:left="567" w:right="902"/>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140D7CBB" w14:textId="77777777" w:rsidR="00174CEF" w:rsidRPr="009D0264" w:rsidRDefault="0001360E">
      <w:pPr>
        <w:spacing w:before="120" w:after="120"/>
        <w:ind w:left="567" w:right="902"/>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I.</w:t>
      </w:r>
      <w:r w:rsidRPr="009D0264">
        <w:rPr>
          <w:rFonts w:ascii="Palatino Linotype" w:eastAsia="Palatino Linotype" w:hAnsi="Palatino Linotype" w:cs="Palatino Linotype"/>
          <w:i/>
          <w:sz w:val="22"/>
          <w:szCs w:val="22"/>
        </w:rPr>
        <w:t xml:space="preserve"> Los motivos y razonamientos que sustenten la confirmación o modificación de la prueba de daño;</w:t>
      </w:r>
    </w:p>
    <w:p w14:paraId="6476C688" w14:textId="77777777" w:rsidR="00174CEF" w:rsidRPr="009D0264" w:rsidRDefault="0001360E">
      <w:pPr>
        <w:spacing w:before="120" w:after="120"/>
        <w:ind w:left="567" w:right="902"/>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II</w:t>
      </w:r>
      <w:r w:rsidRPr="009D0264">
        <w:rPr>
          <w:rFonts w:ascii="Palatino Linotype" w:eastAsia="Palatino Linotype" w:hAnsi="Palatino Linotype" w:cs="Palatino Linotype"/>
          <w:i/>
          <w:sz w:val="22"/>
          <w:szCs w:val="22"/>
        </w:rPr>
        <w:t xml:space="preserve">. Descripción de las partes o secciones reservadas, en caso de clasificación parcial; </w:t>
      </w:r>
    </w:p>
    <w:p w14:paraId="3BAB3CE1" w14:textId="77777777" w:rsidR="00174CEF" w:rsidRPr="009D0264" w:rsidRDefault="0001360E">
      <w:pPr>
        <w:spacing w:before="120" w:after="120"/>
        <w:ind w:left="567" w:right="902"/>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III</w:t>
      </w:r>
      <w:r w:rsidRPr="009D0264">
        <w:rPr>
          <w:rFonts w:ascii="Palatino Linotype" w:eastAsia="Palatino Linotype" w:hAnsi="Palatino Linotype" w:cs="Palatino Linotype"/>
          <w:i/>
          <w:sz w:val="22"/>
          <w:szCs w:val="22"/>
        </w:rPr>
        <w:t>. El periodo por el que mantendrá su clasificación y fecha de expiración; y</w:t>
      </w:r>
    </w:p>
    <w:p w14:paraId="334B45AD" w14:textId="77777777" w:rsidR="00174CEF" w:rsidRPr="009D0264" w:rsidRDefault="0001360E">
      <w:pPr>
        <w:spacing w:before="120" w:after="120"/>
        <w:ind w:left="567" w:right="902"/>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IV</w:t>
      </w:r>
      <w:r w:rsidRPr="009D0264">
        <w:rPr>
          <w:rFonts w:ascii="Palatino Linotype" w:eastAsia="Palatino Linotype" w:hAnsi="Palatino Linotype" w:cs="Palatino Linotype"/>
          <w:i/>
          <w:sz w:val="22"/>
          <w:szCs w:val="22"/>
        </w:rPr>
        <w:t>. El nombre del titular y área encargada de realizar la versión pública del documento, en su caso.</w:t>
      </w:r>
    </w:p>
    <w:p w14:paraId="69BCD1B1" w14:textId="77777777" w:rsidR="00174CEF" w:rsidRPr="009D0264" w:rsidRDefault="0001360E">
      <w:pPr>
        <w:spacing w:before="120" w:after="120"/>
        <w:ind w:left="567" w:right="902"/>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i/>
          <w:sz w:val="22"/>
          <w:szCs w:val="22"/>
        </w:rPr>
        <w:t>En los casos en que se clasifique la información como reservada siempre se entregará o anexará la prueba de daño con la respuesta al solicitante.</w:t>
      </w:r>
    </w:p>
    <w:p w14:paraId="0BC556F5" w14:textId="77777777" w:rsidR="00174CEF" w:rsidRPr="009D0264" w:rsidRDefault="0001360E">
      <w:pPr>
        <w:spacing w:before="120" w:after="120"/>
        <w:ind w:left="567" w:right="902"/>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i/>
          <w:sz w:val="22"/>
          <w:szCs w:val="22"/>
        </w:rPr>
        <w:t xml:space="preserve">En los casos de resoluciones del Comité de Transparencia en las que se confirme la clasificación de información confidencial solo se deberán de identificar los tipos de datos protegidos, de conformidad con el lineamiento trigésimo octavo.” </w:t>
      </w:r>
    </w:p>
    <w:p w14:paraId="2CA5BECF" w14:textId="77777777" w:rsidR="00174CEF" w:rsidRPr="009D0264" w:rsidRDefault="00174CEF">
      <w:pPr>
        <w:spacing w:before="240" w:after="240" w:line="360" w:lineRule="auto"/>
        <w:jc w:val="both"/>
        <w:rPr>
          <w:rFonts w:ascii="Palatino Linotype" w:eastAsia="Palatino Linotype" w:hAnsi="Palatino Linotype" w:cs="Palatino Linotype"/>
          <w:sz w:val="10"/>
          <w:szCs w:val="10"/>
        </w:rPr>
      </w:pPr>
    </w:p>
    <w:p w14:paraId="6D95E1D0" w14:textId="77777777" w:rsidR="00174CEF" w:rsidRPr="009D0264" w:rsidRDefault="0001360E">
      <w:pPr>
        <w:spacing w:before="240" w:after="240"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Y, derivado de dicho análisis se concluyó que, si bien dentro del acuerdo se visualiza la solicitud de información que dio origen al medio de impugnación de nuestra atención, la número </w:t>
      </w:r>
      <w:r w:rsidRPr="009D0264">
        <w:rPr>
          <w:rFonts w:ascii="Palatino Linotype" w:eastAsia="Palatino Linotype" w:hAnsi="Palatino Linotype" w:cs="Palatino Linotype"/>
          <w:b/>
          <w:sz w:val="22"/>
          <w:szCs w:val="22"/>
          <w:u w:val="single"/>
        </w:rPr>
        <w:t>00088/ATIZARA/IP/2024</w:t>
      </w:r>
      <w:r w:rsidRPr="009D0264">
        <w:rPr>
          <w:rFonts w:ascii="Palatino Linotype" w:eastAsia="Palatino Linotype" w:hAnsi="Palatino Linotype" w:cs="Palatino Linotype"/>
          <w:sz w:val="22"/>
          <w:szCs w:val="22"/>
        </w:rPr>
        <w:t xml:space="preserve">, el mismo no cumple con las formalidades y elementos que la normativa establece, tal y como se expone a continuación: </w:t>
      </w:r>
    </w:p>
    <w:p w14:paraId="2A04E7DE"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En primera instancia, se advierte que el </w:t>
      </w:r>
      <w:r w:rsidRPr="009D0264">
        <w:rPr>
          <w:rFonts w:ascii="Palatino Linotype" w:eastAsia="Palatino Linotype" w:hAnsi="Palatino Linotype" w:cs="Palatino Linotype"/>
          <w:b/>
          <w:sz w:val="22"/>
          <w:szCs w:val="22"/>
        </w:rPr>
        <w:t>Sujeto Obligado</w:t>
      </w:r>
      <w:r w:rsidRPr="009D0264">
        <w:rPr>
          <w:rFonts w:ascii="Palatino Linotype" w:eastAsia="Palatino Linotype" w:hAnsi="Palatino Linotype" w:cs="Palatino Linotype"/>
          <w:sz w:val="22"/>
          <w:szCs w:val="22"/>
        </w:rPr>
        <w:t xml:space="preserve"> invoca el artículo 140, fracción V, numeral I, la cual establece que la información se reservará en el siguiente caso:</w:t>
      </w:r>
    </w:p>
    <w:p w14:paraId="193FFA81" w14:textId="77777777" w:rsidR="00174CEF" w:rsidRPr="009D0264" w:rsidRDefault="0001360E">
      <w:pPr>
        <w:spacing w:before="240" w:after="240" w:line="360" w:lineRule="auto"/>
        <w:ind w:left="567" w:right="900"/>
        <w:jc w:val="both"/>
        <w:rPr>
          <w:rFonts w:ascii="Palatino Linotype" w:eastAsia="Palatino Linotype" w:hAnsi="Palatino Linotype" w:cs="Palatino Linotype"/>
          <w:b/>
          <w:sz w:val="22"/>
          <w:szCs w:val="22"/>
        </w:rPr>
      </w:pPr>
      <w:r w:rsidRPr="009D0264">
        <w:rPr>
          <w:rFonts w:ascii="Palatino Linotype" w:eastAsia="Palatino Linotype" w:hAnsi="Palatino Linotype" w:cs="Palatino Linotype"/>
          <w:b/>
          <w:sz w:val="22"/>
          <w:szCs w:val="22"/>
        </w:rPr>
        <w:t>-Pueda obstruir o causar un serio perjuicio a las actividades de fiscalización, verificación, inspección, comprobación y auditoría sobre el cumplimiento de las Leyes.</w:t>
      </w:r>
    </w:p>
    <w:p w14:paraId="4679EBF2"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lastRenderedPageBreak/>
        <w:t xml:space="preserve">De acuerdo con el Sistema de Información Legislativa, </w:t>
      </w:r>
      <w:r w:rsidRPr="009D0264">
        <w:rPr>
          <w:rFonts w:ascii="Palatino Linotype" w:eastAsia="Palatino Linotype" w:hAnsi="Palatino Linotype" w:cs="Palatino Linotype"/>
          <w:b/>
          <w:sz w:val="22"/>
          <w:szCs w:val="22"/>
          <w:u w:val="single"/>
        </w:rPr>
        <w:t xml:space="preserve">la fiscalización </w:t>
      </w:r>
      <w:r w:rsidRPr="009D0264">
        <w:rPr>
          <w:rFonts w:ascii="Palatino Linotype" w:eastAsia="Palatino Linotype" w:hAnsi="Palatino Linotype" w:cs="Palatino Linotype"/>
          <w:sz w:val="22"/>
          <w:szCs w:val="22"/>
        </w:rPr>
        <w:t>se conceptualiza como el proceso de revisar, auditar y vigilar a detalle la congruencia entre los objetivos planteados y las metas alcanzadas en materia de contabilidad, finanzas, presupuesto, avances y beneficios económicos, adecuación programática y endeudamiento en cada uno de los entes de la administración pública y los Poderes de la Unión, en cada ejercicio fiscal. Implica controlar las actividades del Estado para confirmar que se ajusten a los principios de legalidad, definitividad, imparcialidad y confiabilidad.</w:t>
      </w:r>
    </w:p>
    <w:p w14:paraId="4E5D8EE3"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763F6A7C"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b/>
          <w:sz w:val="22"/>
          <w:szCs w:val="22"/>
          <w:u w:val="single"/>
        </w:rPr>
        <w:t>La verificación</w:t>
      </w:r>
      <w:r w:rsidRPr="009D0264">
        <w:rPr>
          <w:rFonts w:ascii="Palatino Linotype" w:eastAsia="Palatino Linotype" w:hAnsi="Palatino Linotype" w:cs="Palatino Linotype"/>
          <w:sz w:val="22"/>
          <w:szCs w:val="22"/>
        </w:rPr>
        <w:t xml:space="preserve"> tiene como objetivo el de revisar los resultados reportados por los municipios que participan en el programa, con el fin de determinar la situación de la gestión y el desempeño de la administración pública municipal.</w:t>
      </w:r>
    </w:p>
    <w:p w14:paraId="79E516F2"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64AE4483"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La</w:t>
      </w:r>
      <w:r w:rsidRPr="009D0264">
        <w:rPr>
          <w:rFonts w:ascii="Palatino Linotype" w:eastAsia="Palatino Linotype" w:hAnsi="Palatino Linotype" w:cs="Palatino Linotype"/>
          <w:b/>
          <w:sz w:val="22"/>
          <w:szCs w:val="22"/>
          <w:u w:val="single"/>
        </w:rPr>
        <w:t xml:space="preserve"> inspección</w:t>
      </w:r>
      <w:r w:rsidRPr="009D0264">
        <w:rPr>
          <w:rFonts w:ascii="Palatino Linotype" w:eastAsia="Palatino Linotype" w:hAnsi="Palatino Linotype" w:cs="Palatino Linotype"/>
          <w:sz w:val="22"/>
          <w:szCs w:val="22"/>
        </w:rPr>
        <w:t xml:space="preserve"> es una actividad de la Administración que examina la conducta de los sujetos privados o, en su caso, de sus propios servicios o los de otras administraciones, para comprobar el cumplimiento de la normativa a la que están sometidos y, en su caso, preparar la reacción administrativa a las transgresiones que se detecten, que puede consistir en la apertura de un procedimiento sancionador.</w:t>
      </w:r>
    </w:p>
    <w:p w14:paraId="0C874683"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3CA8B8CD"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La </w:t>
      </w:r>
      <w:r w:rsidRPr="009D0264">
        <w:rPr>
          <w:rFonts w:ascii="Palatino Linotype" w:eastAsia="Palatino Linotype" w:hAnsi="Palatino Linotype" w:cs="Palatino Linotype"/>
          <w:b/>
          <w:sz w:val="22"/>
          <w:szCs w:val="22"/>
          <w:u w:val="single"/>
        </w:rPr>
        <w:t>comprobación</w:t>
      </w:r>
      <w:r w:rsidRPr="009D0264">
        <w:rPr>
          <w:rFonts w:ascii="Palatino Linotype" w:eastAsia="Palatino Linotype" w:hAnsi="Palatino Linotype" w:cs="Palatino Linotype"/>
          <w:sz w:val="22"/>
          <w:szCs w:val="22"/>
        </w:rPr>
        <w:t xml:space="preserve"> implica facultades que tienen las autoridades fiscales para comprobar que los contribuyentes cumplen con las leyes fiscales.</w:t>
      </w:r>
    </w:p>
    <w:p w14:paraId="2FC66691"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69599733"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De acuerdo con la Secretaría de la Función Pública, </w:t>
      </w:r>
      <w:r w:rsidRPr="009D0264">
        <w:rPr>
          <w:rFonts w:ascii="Palatino Linotype" w:eastAsia="Palatino Linotype" w:hAnsi="Palatino Linotype" w:cs="Palatino Linotype"/>
          <w:b/>
          <w:sz w:val="22"/>
          <w:szCs w:val="22"/>
          <w:u w:val="single"/>
        </w:rPr>
        <w:t>la auditoría</w:t>
      </w:r>
      <w:r w:rsidRPr="009D0264">
        <w:rPr>
          <w:rFonts w:ascii="Palatino Linotype" w:eastAsia="Palatino Linotype" w:hAnsi="Palatino Linotype" w:cs="Palatino Linotype"/>
          <w:sz w:val="22"/>
          <w:szCs w:val="22"/>
        </w:rPr>
        <w:t xml:space="preserve"> consiste en examinar y analizar los registros contables, transacciones y operaciones para asegurar que se cumplan las leyes, normas y principios contables aplicables.</w:t>
      </w:r>
    </w:p>
    <w:p w14:paraId="2D0A6728"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03242507"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lastRenderedPageBreak/>
        <w:t xml:space="preserve">Bajo estos conceptos y una vez analizado el contexto de la información solicitada, se advierte que no recae en ninguno de los supuestos establecidos. </w:t>
      </w:r>
    </w:p>
    <w:p w14:paraId="1CAD3990"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3C860FBF"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Es de precisar que respecto a la motivación del acuerdo, se advierte que esta es insuficiente para acreditar la reserva de la información, en razón de que no aporta elementos ni el supuesto en concreto para restringir el acceso a la información. </w:t>
      </w:r>
    </w:p>
    <w:p w14:paraId="7E16F956"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5268481C" w14:textId="77777777" w:rsidR="00174CEF" w:rsidRPr="009D0264" w:rsidRDefault="0001360E">
      <w:pPr>
        <w:tabs>
          <w:tab w:val="left" w:pos="567"/>
        </w:tabs>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Por otro lado, del análisis a la prueba de daño n</w:t>
      </w:r>
      <w:r w:rsidRPr="009D0264">
        <w:rPr>
          <w:rFonts w:ascii="Palatino Linotype" w:eastAsia="Palatino Linotype" w:hAnsi="Palatino Linotype" w:cs="Palatino Linotype"/>
          <w:b/>
          <w:sz w:val="22"/>
          <w:szCs w:val="22"/>
        </w:rPr>
        <w:t>o</w:t>
      </w:r>
      <w:r w:rsidRPr="009D0264">
        <w:rPr>
          <w:rFonts w:ascii="Palatino Linotype" w:eastAsia="Palatino Linotype" w:hAnsi="Palatino Linotype" w:cs="Palatino Linotype"/>
          <w:sz w:val="22"/>
          <w:szCs w:val="22"/>
        </w:rPr>
        <w:t xml:space="preserve"> se advierten las circunstancias de modo, tiempo y lugar, ni el riesgo real, demostrable e identificable mediante las cuales se acredite que la divulgación de la información que específicamente se solicita puede representar un riesgo. </w:t>
      </w:r>
    </w:p>
    <w:p w14:paraId="05A33B5C" w14:textId="77777777" w:rsidR="00174CEF" w:rsidRPr="009D0264" w:rsidRDefault="00174CEF">
      <w:pPr>
        <w:tabs>
          <w:tab w:val="left" w:pos="567"/>
        </w:tabs>
        <w:spacing w:line="360" w:lineRule="auto"/>
        <w:jc w:val="both"/>
        <w:rPr>
          <w:rFonts w:ascii="Palatino Linotype" w:eastAsia="Palatino Linotype" w:hAnsi="Palatino Linotype" w:cs="Palatino Linotype"/>
          <w:sz w:val="22"/>
          <w:szCs w:val="22"/>
        </w:rPr>
      </w:pPr>
    </w:p>
    <w:p w14:paraId="6228DC16"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Por otra parte, debemos recordar que el </w:t>
      </w:r>
      <w:r w:rsidRPr="009D0264">
        <w:rPr>
          <w:rFonts w:ascii="Palatino Linotype" w:eastAsia="Palatino Linotype" w:hAnsi="Palatino Linotype" w:cs="Palatino Linotype"/>
          <w:b/>
          <w:sz w:val="22"/>
          <w:szCs w:val="22"/>
        </w:rPr>
        <w:t xml:space="preserve">Sujeto Obligado </w:t>
      </w:r>
      <w:r w:rsidRPr="009D0264">
        <w:rPr>
          <w:rFonts w:ascii="Palatino Linotype" w:eastAsia="Palatino Linotype" w:hAnsi="Palatino Linotype" w:cs="Palatino Linotype"/>
          <w:sz w:val="22"/>
          <w:szCs w:val="22"/>
        </w:rPr>
        <w:t>señaló que</w:t>
      </w:r>
      <w:r w:rsidRPr="009D0264">
        <w:rPr>
          <w:rFonts w:ascii="Palatino Linotype" w:eastAsia="Palatino Linotype" w:hAnsi="Palatino Linotype" w:cs="Palatino Linotype"/>
          <w:b/>
          <w:sz w:val="22"/>
          <w:szCs w:val="22"/>
        </w:rPr>
        <w:t xml:space="preserve"> </w:t>
      </w:r>
      <w:r w:rsidRPr="009D0264">
        <w:rPr>
          <w:rFonts w:ascii="Palatino Linotype" w:eastAsia="Palatino Linotype" w:hAnsi="Palatino Linotype" w:cs="Palatino Linotype"/>
          <w:sz w:val="22"/>
          <w:szCs w:val="22"/>
        </w:rPr>
        <w:t>la reserva de la información actualizaba lo dispuesto por la fracción V, numeral 1, del artículo 140 de  la Ley de Transparencia y Acceso a la Información Pública del Estado de México y Municipios, (homólogo del artículo 113, fracción VI, de la Ley General de Transparencia y Acceso a la Información Pública), prevé lo siguiente:</w:t>
      </w:r>
    </w:p>
    <w:p w14:paraId="54902383"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38AF4B88" w14:textId="77777777" w:rsidR="00174CEF" w:rsidRPr="009D0264" w:rsidRDefault="0001360E">
      <w:pPr>
        <w:tabs>
          <w:tab w:val="left" w:pos="4962"/>
        </w:tabs>
        <w:spacing w:line="276" w:lineRule="auto"/>
        <w:ind w:left="567" w:right="900"/>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i/>
          <w:sz w:val="22"/>
          <w:szCs w:val="22"/>
        </w:rPr>
        <w:t>“</w:t>
      </w:r>
      <w:r w:rsidRPr="009D0264">
        <w:rPr>
          <w:rFonts w:ascii="Palatino Linotype" w:eastAsia="Palatino Linotype" w:hAnsi="Palatino Linotype" w:cs="Palatino Linotype"/>
          <w:b/>
          <w:i/>
          <w:sz w:val="22"/>
          <w:szCs w:val="22"/>
        </w:rPr>
        <w:t>Artículo 140.</w:t>
      </w:r>
      <w:r w:rsidRPr="009D0264">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 </w:t>
      </w:r>
    </w:p>
    <w:p w14:paraId="37F16C4F" w14:textId="77777777" w:rsidR="00174CEF" w:rsidRPr="009D0264" w:rsidRDefault="0001360E">
      <w:pPr>
        <w:tabs>
          <w:tab w:val="left" w:pos="4962"/>
        </w:tabs>
        <w:spacing w:line="276" w:lineRule="auto"/>
        <w:ind w:left="567" w:right="900"/>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i/>
          <w:sz w:val="22"/>
          <w:szCs w:val="22"/>
        </w:rPr>
        <w:t>…</w:t>
      </w:r>
    </w:p>
    <w:p w14:paraId="43D4EC9D" w14:textId="77777777" w:rsidR="00174CEF" w:rsidRPr="009D0264" w:rsidRDefault="0001360E">
      <w:pPr>
        <w:tabs>
          <w:tab w:val="left" w:pos="4962"/>
        </w:tabs>
        <w:spacing w:line="276" w:lineRule="auto"/>
        <w:ind w:left="567" w:right="900"/>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i/>
          <w:sz w:val="22"/>
          <w:szCs w:val="22"/>
        </w:rPr>
        <w:t>V. Aquella cuya divulgación obstruya o pueda causar un serio perjuicio a:</w:t>
      </w:r>
    </w:p>
    <w:p w14:paraId="5A861BAD" w14:textId="77777777" w:rsidR="00174CEF" w:rsidRPr="009D0264" w:rsidRDefault="00174CEF">
      <w:pPr>
        <w:tabs>
          <w:tab w:val="left" w:pos="4962"/>
        </w:tabs>
        <w:spacing w:line="276" w:lineRule="auto"/>
        <w:ind w:left="567" w:right="900"/>
        <w:jc w:val="both"/>
        <w:rPr>
          <w:rFonts w:ascii="Palatino Linotype" w:eastAsia="Palatino Linotype" w:hAnsi="Palatino Linotype" w:cs="Palatino Linotype"/>
          <w:i/>
          <w:sz w:val="22"/>
          <w:szCs w:val="22"/>
        </w:rPr>
      </w:pPr>
    </w:p>
    <w:p w14:paraId="65E0911D" w14:textId="77777777" w:rsidR="00174CEF" w:rsidRPr="009D0264" w:rsidRDefault="0001360E">
      <w:pPr>
        <w:tabs>
          <w:tab w:val="left" w:pos="4962"/>
        </w:tabs>
        <w:spacing w:line="276" w:lineRule="auto"/>
        <w:ind w:left="567" w:right="900"/>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i/>
          <w:sz w:val="22"/>
          <w:szCs w:val="22"/>
        </w:rPr>
        <w:t>1. Las actividades de fiscalización, verificación, inspección, comprobación y auditoría sobre el cumplimiento de las Leyes; o</w:t>
      </w:r>
    </w:p>
    <w:p w14:paraId="732BFA7F" w14:textId="77777777" w:rsidR="00174CEF" w:rsidRPr="009D0264" w:rsidRDefault="0001360E">
      <w:pPr>
        <w:tabs>
          <w:tab w:val="left" w:pos="4962"/>
        </w:tabs>
        <w:spacing w:line="276" w:lineRule="auto"/>
        <w:ind w:left="567" w:right="900"/>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i/>
          <w:sz w:val="22"/>
          <w:szCs w:val="22"/>
        </w:rPr>
        <w:t>…”</w:t>
      </w:r>
    </w:p>
    <w:p w14:paraId="7935C8BA" w14:textId="77777777" w:rsidR="00174CEF" w:rsidRPr="009D0264" w:rsidRDefault="00174CEF">
      <w:pPr>
        <w:spacing w:line="360" w:lineRule="auto"/>
        <w:ind w:right="-93"/>
        <w:jc w:val="both"/>
        <w:rPr>
          <w:rFonts w:ascii="Palatino Linotype" w:eastAsia="Palatino Linotype" w:hAnsi="Palatino Linotype" w:cs="Palatino Linotype"/>
          <w:sz w:val="22"/>
          <w:szCs w:val="22"/>
        </w:rPr>
      </w:pPr>
    </w:p>
    <w:p w14:paraId="1F628BAC" w14:textId="77777777" w:rsidR="00174CEF" w:rsidRPr="009D0264" w:rsidRDefault="0001360E">
      <w:pPr>
        <w:spacing w:line="360" w:lineRule="auto"/>
        <w:ind w:right="-93"/>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lastRenderedPageBreak/>
        <w:t>De dicho precepto normativo se desprende que podrá clasificarse como información reservada aquella cuya publicación obstruya o cause perjuicio en las actividades de fiscalización, verificación, inspección, comprobación y auditoría sobre el cumplimiento de leyes.</w:t>
      </w:r>
    </w:p>
    <w:p w14:paraId="229501F4" w14:textId="77777777" w:rsidR="00174CEF" w:rsidRPr="009D0264" w:rsidRDefault="00174CEF">
      <w:pPr>
        <w:spacing w:line="360" w:lineRule="auto"/>
        <w:ind w:right="-93"/>
        <w:jc w:val="both"/>
        <w:rPr>
          <w:rFonts w:ascii="Palatino Linotype" w:eastAsia="Palatino Linotype" w:hAnsi="Palatino Linotype" w:cs="Palatino Linotype"/>
          <w:sz w:val="22"/>
          <w:szCs w:val="22"/>
        </w:rPr>
      </w:pPr>
    </w:p>
    <w:p w14:paraId="4978B785" w14:textId="77777777" w:rsidR="00174CEF" w:rsidRPr="009D0264" w:rsidRDefault="0001360E">
      <w:pPr>
        <w:tabs>
          <w:tab w:val="left" w:pos="4962"/>
        </w:tabs>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Por su parte, los Lineamientos Generales en Materia de Clasificación y desclasificación de la información, así como para la elaboración de versiones públicas -en adelante Lineamientos Generales- disponen:</w:t>
      </w:r>
    </w:p>
    <w:p w14:paraId="372546E7" w14:textId="77777777" w:rsidR="00174CEF" w:rsidRPr="009D0264" w:rsidRDefault="00174CEF">
      <w:pPr>
        <w:spacing w:line="360" w:lineRule="auto"/>
        <w:ind w:right="-93"/>
        <w:jc w:val="both"/>
        <w:rPr>
          <w:rFonts w:ascii="Palatino Linotype" w:eastAsia="Palatino Linotype" w:hAnsi="Palatino Linotype" w:cs="Palatino Linotype"/>
          <w:sz w:val="22"/>
          <w:szCs w:val="22"/>
        </w:rPr>
      </w:pPr>
    </w:p>
    <w:p w14:paraId="2C1DE0BD" w14:textId="77777777" w:rsidR="00174CEF" w:rsidRPr="009D0264" w:rsidRDefault="0001360E">
      <w:pPr>
        <w:spacing w:line="276" w:lineRule="auto"/>
        <w:ind w:left="567" w:right="567"/>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“Vigésimo cuarto. </w:t>
      </w:r>
      <w:r w:rsidRPr="009D0264">
        <w:rPr>
          <w:rFonts w:ascii="Palatino Linotype" w:eastAsia="Palatino Linotype" w:hAnsi="Palatino Linotype" w:cs="Palatino Linotype"/>
          <w:i/>
          <w:sz w:val="22"/>
          <w:szCs w:val="22"/>
        </w:rPr>
        <w:t xml:space="preserve">De conformidad con el artículo 113, fracción VI de la Ley General, podrá considerarse como </w:t>
      </w:r>
      <w:r w:rsidRPr="009D0264">
        <w:rPr>
          <w:rFonts w:ascii="Palatino Linotype" w:eastAsia="Palatino Linotype" w:hAnsi="Palatino Linotype" w:cs="Palatino Linotype"/>
          <w:b/>
          <w:i/>
          <w:sz w:val="22"/>
          <w:szCs w:val="22"/>
        </w:rPr>
        <w:t>reservada, aquella información que obstruya las actividades de verificación, inspección y auditoría relativas al cumplimiento de las leyes</w:t>
      </w:r>
      <w:r w:rsidRPr="009D0264">
        <w:rPr>
          <w:rFonts w:ascii="Palatino Linotype" w:eastAsia="Palatino Linotype" w:hAnsi="Palatino Linotype" w:cs="Palatino Linotype"/>
          <w:i/>
          <w:sz w:val="22"/>
          <w:szCs w:val="22"/>
        </w:rPr>
        <w:t>, cuando se actualicen los siguientes elementos:</w:t>
      </w:r>
    </w:p>
    <w:p w14:paraId="11437DD1" w14:textId="77777777" w:rsidR="00174CEF" w:rsidRPr="009D0264" w:rsidRDefault="00174CEF">
      <w:pPr>
        <w:spacing w:line="276" w:lineRule="auto"/>
        <w:ind w:left="567" w:right="567"/>
        <w:jc w:val="both"/>
        <w:rPr>
          <w:rFonts w:ascii="Palatino Linotype" w:eastAsia="Palatino Linotype" w:hAnsi="Palatino Linotype" w:cs="Palatino Linotype"/>
          <w:i/>
          <w:sz w:val="22"/>
          <w:szCs w:val="22"/>
        </w:rPr>
      </w:pPr>
    </w:p>
    <w:p w14:paraId="653E7585" w14:textId="77777777" w:rsidR="00174CEF" w:rsidRPr="009D0264" w:rsidRDefault="0001360E">
      <w:pPr>
        <w:spacing w:line="276" w:lineRule="auto"/>
        <w:ind w:left="567" w:right="567"/>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I.</w:t>
      </w:r>
      <w:r w:rsidRPr="009D0264">
        <w:rPr>
          <w:rFonts w:ascii="Palatino Linotype" w:eastAsia="Palatino Linotype" w:hAnsi="Palatino Linotype" w:cs="Palatino Linotype"/>
          <w:i/>
          <w:sz w:val="22"/>
          <w:szCs w:val="22"/>
        </w:rPr>
        <w:t> La existencia de un procedimiento de verificación del cumplimiento de las leyes;</w:t>
      </w:r>
    </w:p>
    <w:p w14:paraId="282F4ACE" w14:textId="77777777" w:rsidR="00174CEF" w:rsidRPr="009D0264" w:rsidRDefault="00174CEF">
      <w:pPr>
        <w:spacing w:line="276" w:lineRule="auto"/>
        <w:ind w:left="567" w:right="567"/>
        <w:jc w:val="both"/>
        <w:rPr>
          <w:rFonts w:ascii="Palatino Linotype" w:eastAsia="Palatino Linotype" w:hAnsi="Palatino Linotype" w:cs="Palatino Linotype"/>
          <w:i/>
          <w:sz w:val="22"/>
          <w:szCs w:val="22"/>
        </w:rPr>
      </w:pPr>
    </w:p>
    <w:p w14:paraId="3955925C" w14:textId="77777777" w:rsidR="00174CEF" w:rsidRPr="009D0264" w:rsidRDefault="0001360E">
      <w:pPr>
        <w:spacing w:line="276" w:lineRule="auto"/>
        <w:ind w:left="567" w:right="567"/>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II</w:t>
      </w:r>
      <w:r w:rsidRPr="009D0264">
        <w:rPr>
          <w:rFonts w:ascii="Palatino Linotype" w:eastAsia="Palatino Linotype" w:hAnsi="Palatino Linotype" w:cs="Palatino Linotype"/>
          <w:i/>
          <w:sz w:val="22"/>
          <w:szCs w:val="22"/>
        </w:rPr>
        <w:t>. Que el procedimiento se encuentre en trámite;</w:t>
      </w:r>
    </w:p>
    <w:p w14:paraId="22DC9EE0" w14:textId="77777777" w:rsidR="00174CEF" w:rsidRPr="009D0264" w:rsidRDefault="00174CEF">
      <w:pPr>
        <w:spacing w:line="276" w:lineRule="auto"/>
        <w:ind w:left="567" w:right="567"/>
        <w:jc w:val="both"/>
        <w:rPr>
          <w:rFonts w:ascii="Palatino Linotype" w:eastAsia="Palatino Linotype" w:hAnsi="Palatino Linotype" w:cs="Palatino Linotype"/>
          <w:i/>
          <w:sz w:val="22"/>
          <w:szCs w:val="22"/>
        </w:rPr>
      </w:pPr>
    </w:p>
    <w:p w14:paraId="04C7CDD9" w14:textId="77777777" w:rsidR="00174CEF" w:rsidRPr="009D0264" w:rsidRDefault="0001360E">
      <w:pPr>
        <w:spacing w:line="276" w:lineRule="auto"/>
        <w:ind w:left="567" w:right="567"/>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i/>
          <w:sz w:val="22"/>
          <w:szCs w:val="22"/>
        </w:rPr>
        <w:t>III. La vinculación directa con las actividades que realiza la autoridad en el procedimiento de verificación del cumplimiento de las leyes, y</w:t>
      </w:r>
    </w:p>
    <w:p w14:paraId="0030A27A" w14:textId="77777777" w:rsidR="00174CEF" w:rsidRPr="009D0264" w:rsidRDefault="00174CEF">
      <w:pPr>
        <w:spacing w:line="276" w:lineRule="auto"/>
        <w:ind w:left="567" w:right="567"/>
        <w:jc w:val="both"/>
        <w:rPr>
          <w:rFonts w:ascii="Palatino Linotype" w:eastAsia="Palatino Linotype" w:hAnsi="Palatino Linotype" w:cs="Palatino Linotype"/>
          <w:i/>
          <w:sz w:val="22"/>
          <w:szCs w:val="22"/>
        </w:rPr>
      </w:pPr>
    </w:p>
    <w:p w14:paraId="64D5CEFA" w14:textId="77777777" w:rsidR="00174CEF" w:rsidRPr="009D0264" w:rsidRDefault="0001360E">
      <w:pPr>
        <w:spacing w:line="276" w:lineRule="auto"/>
        <w:ind w:left="567" w:right="567"/>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IV.</w:t>
      </w:r>
      <w:r w:rsidRPr="009D0264">
        <w:rPr>
          <w:rFonts w:ascii="Palatino Linotype" w:eastAsia="Palatino Linotype" w:hAnsi="Palatino Linotype" w:cs="Palatino Linotype"/>
          <w:i/>
          <w:sz w:val="22"/>
          <w:szCs w:val="22"/>
        </w:rPr>
        <w:t> Que la difusión de la información impida u obstaculice las actividades de inspección, supervisión o vigilancia que realicen las autoridades en el procedimiento de verificación del cumplimiento de las leyes.”</w:t>
      </w:r>
    </w:p>
    <w:p w14:paraId="7972308C" w14:textId="77777777" w:rsidR="00174CEF" w:rsidRPr="009D0264" w:rsidRDefault="00174CEF">
      <w:pPr>
        <w:spacing w:line="360" w:lineRule="auto"/>
        <w:jc w:val="both"/>
        <w:rPr>
          <w:rFonts w:ascii="Palatino Linotype" w:eastAsia="Palatino Linotype" w:hAnsi="Palatino Linotype" w:cs="Palatino Linotype"/>
          <w:b/>
          <w:i/>
          <w:sz w:val="22"/>
          <w:szCs w:val="22"/>
        </w:rPr>
      </w:pPr>
    </w:p>
    <w:p w14:paraId="2CBD7062"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Del lineamiento en cita, se colige que se trata de información reservada aquella que </w:t>
      </w:r>
      <w:r w:rsidRPr="009D0264">
        <w:rPr>
          <w:rFonts w:ascii="Palatino Linotype" w:eastAsia="Palatino Linotype" w:hAnsi="Palatino Linotype" w:cs="Palatino Linotype"/>
          <w:b/>
          <w:sz w:val="22"/>
          <w:szCs w:val="22"/>
        </w:rPr>
        <w:t xml:space="preserve">obstruya las actividades </w:t>
      </w:r>
      <w:r w:rsidRPr="009D0264">
        <w:rPr>
          <w:rFonts w:ascii="Palatino Linotype" w:eastAsia="Palatino Linotype" w:hAnsi="Palatino Linotype" w:cs="Palatino Linotype"/>
          <w:sz w:val="22"/>
          <w:szCs w:val="22"/>
        </w:rPr>
        <w:t xml:space="preserve">de verificación, inspección y </w:t>
      </w:r>
      <w:r w:rsidRPr="009D0264">
        <w:rPr>
          <w:rFonts w:ascii="Palatino Linotype" w:eastAsia="Palatino Linotype" w:hAnsi="Palatino Linotype" w:cs="Palatino Linotype"/>
          <w:b/>
          <w:sz w:val="22"/>
          <w:szCs w:val="22"/>
        </w:rPr>
        <w:t>auditoría relativas al cumplimiento de las leyes,</w:t>
      </w:r>
      <w:r w:rsidRPr="009D0264">
        <w:rPr>
          <w:rFonts w:ascii="Palatino Linotype" w:eastAsia="Palatino Linotype" w:hAnsi="Palatino Linotype" w:cs="Palatino Linotype"/>
          <w:sz w:val="22"/>
          <w:szCs w:val="22"/>
        </w:rPr>
        <w:t xml:space="preserve"> cuando se actualicen los siguientes elementos:</w:t>
      </w:r>
    </w:p>
    <w:p w14:paraId="7A8D2D73"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15158A6B" w14:textId="77777777" w:rsidR="00174CEF" w:rsidRPr="009D0264" w:rsidRDefault="0001360E">
      <w:pPr>
        <w:numPr>
          <w:ilvl w:val="0"/>
          <w:numId w:val="4"/>
        </w:numPr>
        <w:spacing w:after="160" w:line="360" w:lineRule="auto"/>
        <w:ind w:left="567" w:right="900" w:hanging="283"/>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La existencia de un proceso de fiscalización del cumplimiento de las leyes. </w:t>
      </w:r>
    </w:p>
    <w:p w14:paraId="766BE53D" w14:textId="77777777" w:rsidR="00174CEF" w:rsidRPr="009D0264" w:rsidRDefault="0001360E">
      <w:pPr>
        <w:numPr>
          <w:ilvl w:val="0"/>
          <w:numId w:val="4"/>
        </w:numPr>
        <w:spacing w:after="160" w:line="360" w:lineRule="auto"/>
        <w:ind w:left="567" w:right="900" w:hanging="283"/>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lastRenderedPageBreak/>
        <w:t>Que ese procedimiento se encuentre en trámite.</w:t>
      </w:r>
    </w:p>
    <w:p w14:paraId="2446421C" w14:textId="77777777" w:rsidR="00174CEF" w:rsidRPr="009D0264" w:rsidRDefault="0001360E">
      <w:pPr>
        <w:numPr>
          <w:ilvl w:val="0"/>
          <w:numId w:val="4"/>
        </w:numPr>
        <w:spacing w:line="360" w:lineRule="auto"/>
        <w:ind w:left="567" w:right="900" w:hanging="283"/>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La vinculación directa con las actividades que realiza la autoridad en el procedimiento de fiscalización.</w:t>
      </w:r>
    </w:p>
    <w:p w14:paraId="3662E3D8" w14:textId="77777777" w:rsidR="00174CEF" w:rsidRPr="009D0264" w:rsidRDefault="0001360E">
      <w:pPr>
        <w:numPr>
          <w:ilvl w:val="0"/>
          <w:numId w:val="4"/>
        </w:numPr>
        <w:spacing w:line="360" w:lineRule="auto"/>
        <w:ind w:left="567" w:right="900" w:hanging="283"/>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Que la difusión de la información impida u obstaculice las actividades de inspección, supervisión o vigilancia que realicen las autoridades en el proceso de fiscalización.</w:t>
      </w:r>
    </w:p>
    <w:p w14:paraId="0ACBADBD"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42D4DE16"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En ese contexto, de la interpretación de la causal de reserva en análisis, este Instituto estima que consiste en proteger la oportunidad de la autoridad verificadora de</w:t>
      </w:r>
      <w:r w:rsidRPr="009D0264">
        <w:rPr>
          <w:rFonts w:ascii="Palatino Linotype" w:eastAsia="Palatino Linotype" w:hAnsi="Palatino Linotype" w:cs="Palatino Linotype"/>
        </w:rPr>
        <w:t xml:space="preserve"> </w:t>
      </w:r>
      <w:r w:rsidRPr="009D0264">
        <w:rPr>
          <w:rFonts w:ascii="Palatino Linotype" w:eastAsia="Palatino Linotype" w:hAnsi="Palatino Linotype" w:cs="Palatino Linotype"/>
          <w:sz w:val="22"/>
          <w:szCs w:val="22"/>
        </w:rPr>
        <w:t>realizar las acciones materiales de fiscalización, sin que el sujeto verificado pueda alterar o modificar el escenario, objeto o circunstancias materia de fiscalización.</w:t>
      </w:r>
    </w:p>
    <w:p w14:paraId="7B58D532"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19F7CBE3"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Es decir, con dicha causal de reserva se procura permitir que las autoridades realicen las labores de verificación, inspección o auditoría del cumplimiento de las leyes, en su circunstancia natural, sin que el sujeto verificado, o bien, personas ajenas, puedan influir en el resultado, modificando los hechos, actos u omisiones a fiscalizar.</w:t>
      </w:r>
    </w:p>
    <w:p w14:paraId="52558C85"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36FCA7FA"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Así las cosas, a continuación, se analizarán cada uno de los requisitos señalados anteriormente, con la finalidad de verificar si se configura la hipótesis de reserva en estudio:</w:t>
      </w:r>
    </w:p>
    <w:p w14:paraId="15C4FD9C"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414210B4" w14:textId="77777777" w:rsidR="00174CEF" w:rsidRPr="009D0264" w:rsidRDefault="0001360E">
      <w:pPr>
        <w:numPr>
          <w:ilvl w:val="0"/>
          <w:numId w:val="1"/>
        </w:numPr>
        <w:spacing w:line="360" w:lineRule="auto"/>
        <w:jc w:val="both"/>
        <w:rPr>
          <w:rFonts w:ascii="Palatino Linotype" w:eastAsia="Palatino Linotype" w:hAnsi="Palatino Linotype" w:cs="Palatino Linotype"/>
          <w:b/>
          <w:sz w:val="22"/>
          <w:szCs w:val="22"/>
        </w:rPr>
      </w:pPr>
      <w:r w:rsidRPr="009D0264">
        <w:rPr>
          <w:rFonts w:ascii="Palatino Linotype" w:eastAsia="Palatino Linotype" w:hAnsi="Palatino Linotype" w:cs="Palatino Linotype"/>
          <w:b/>
          <w:sz w:val="22"/>
          <w:szCs w:val="22"/>
        </w:rPr>
        <w:t xml:space="preserve">La existencia de un procedimiento de fiscalización </w:t>
      </w:r>
    </w:p>
    <w:p w14:paraId="1E87AABA" w14:textId="77777777" w:rsidR="00174CEF" w:rsidRPr="009D0264" w:rsidRDefault="00174CEF">
      <w:pPr>
        <w:spacing w:line="360" w:lineRule="auto"/>
        <w:ind w:left="720"/>
        <w:jc w:val="both"/>
        <w:rPr>
          <w:rFonts w:ascii="Palatino Linotype" w:eastAsia="Palatino Linotype" w:hAnsi="Palatino Linotype" w:cs="Palatino Linotype"/>
          <w:b/>
          <w:sz w:val="22"/>
          <w:szCs w:val="22"/>
        </w:rPr>
      </w:pPr>
    </w:p>
    <w:p w14:paraId="55AD532C"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En ese contexto, el Ayuntamiento de Atizapán de Zaragoza, clasificó la información requerida, ya que la misma se encuentra glosada a los expedientes únicos de obra pública del ejercicio fiscal 2022, los cuales se encuentran sujetos a la Auditoría número AIF-024, practicada al amparo de la orden de auditoría contenida en el oficio </w:t>
      </w:r>
      <w:r w:rsidRPr="009D0264">
        <w:rPr>
          <w:rFonts w:ascii="Palatino Linotype" w:eastAsia="Palatino Linotype" w:hAnsi="Palatino Linotype" w:cs="Palatino Linotype"/>
          <w:sz w:val="22"/>
          <w:szCs w:val="22"/>
        </w:rPr>
        <w:lastRenderedPageBreak/>
        <w:t>OSFEM/AECFIF/507/2023 del nueve de junio de dos mil veintitrés, por el Órgano Fiscalizador del OSFEM; auditoría que se encuentra en desarrollo de cada una de sus etapas procedimentales, no existiendo sentencia definitiva firme; y, cuya divulgación refiere el ente público que generaría un riesgo real, demostrable e identificable, ya que cualquier persona ajena al asunto podría acceder a las constancias de auditoría en trámite, afectando el proceso fiscalizador y el resultado final del mismo, a saber:</w:t>
      </w:r>
    </w:p>
    <w:p w14:paraId="755CA243" w14:textId="77777777" w:rsidR="00174CEF" w:rsidRPr="009D0264" w:rsidRDefault="00174CEF">
      <w:pPr>
        <w:spacing w:line="360" w:lineRule="auto"/>
        <w:jc w:val="both"/>
        <w:rPr>
          <w:rFonts w:ascii="Palatino Linotype" w:eastAsia="Palatino Linotype" w:hAnsi="Palatino Linotype" w:cs="Palatino Linotype"/>
          <w:sz w:val="10"/>
          <w:szCs w:val="10"/>
        </w:rPr>
      </w:pPr>
    </w:p>
    <w:p w14:paraId="7DC9D807"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noProof/>
          <w:sz w:val="22"/>
          <w:szCs w:val="22"/>
        </w:rPr>
        <w:drawing>
          <wp:inline distT="0" distB="0" distL="0" distR="0" wp14:anchorId="306D3019" wp14:editId="67DAE986">
            <wp:extent cx="5657185" cy="1589459"/>
            <wp:effectExtent l="3175" t="3175" r="3175" b="3175"/>
            <wp:docPr id="14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657185" cy="1589459"/>
                    </a:xfrm>
                    <a:prstGeom prst="rect">
                      <a:avLst/>
                    </a:prstGeom>
                    <a:ln w="3175">
                      <a:solidFill>
                        <a:srgbClr val="000000"/>
                      </a:solidFill>
                      <a:prstDash val="solid"/>
                    </a:ln>
                  </pic:spPr>
                </pic:pic>
              </a:graphicData>
            </a:graphic>
          </wp:inline>
        </w:drawing>
      </w:r>
    </w:p>
    <w:p w14:paraId="43716FC4" w14:textId="77777777" w:rsidR="00174CEF" w:rsidRPr="009D0264" w:rsidRDefault="0001360E">
      <w:pPr>
        <w:spacing w:line="360" w:lineRule="auto"/>
        <w:jc w:val="center"/>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w:t>
      </w:r>
    </w:p>
    <w:p w14:paraId="71D98958" w14:textId="77777777" w:rsidR="00174CEF" w:rsidRPr="009D0264" w:rsidRDefault="0001360E">
      <w:pPr>
        <w:spacing w:line="360" w:lineRule="auto"/>
        <w:rPr>
          <w:rFonts w:ascii="Palatino Linotype" w:eastAsia="Palatino Linotype" w:hAnsi="Palatino Linotype" w:cs="Palatino Linotype"/>
          <w:sz w:val="22"/>
          <w:szCs w:val="22"/>
        </w:rPr>
      </w:pPr>
      <w:r w:rsidRPr="009D0264">
        <w:rPr>
          <w:rFonts w:ascii="Palatino Linotype" w:eastAsia="Palatino Linotype" w:hAnsi="Palatino Linotype" w:cs="Palatino Linotype"/>
          <w:noProof/>
          <w:sz w:val="22"/>
          <w:szCs w:val="22"/>
        </w:rPr>
        <w:drawing>
          <wp:inline distT="0" distB="0" distL="0" distR="0" wp14:anchorId="543DAD98" wp14:editId="5D3979FB">
            <wp:extent cx="5627023" cy="1292220"/>
            <wp:effectExtent l="3175" t="3175" r="3175" b="3175"/>
            <wp:docPr id="1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627023" cy="1292220"/>
                    </a:xfrm>
                    <a:prstGeom prst="rect">
                      <a:avLst/>
                    </a:prstGeom>
                    <a:ln w="3175">
                      <a:solidFill>
                        <a:srgbClr val="000000"/>
                      </a:solidFill>
                      <a:prstDash val="solid"/>
                    </a:ln>
                  </pic:spPr>
                </pic:pic>
              </a:graphicData>
            </a:graphic>
          </wp:inline>
        </w:drawing>
      </w:r>
    </w:p>
    <w:p w14:paraId="4176D853"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Acreditándose con lo anterior, el primer requisito establecido en los Lineamientos Generales.</w:t>
      </w:r>
    </w:p>
    <w:p w14:paraId="0755BC9A"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7F310841" w14:textId="77777777" w:rsidR="00174CEF" w:rsidRPr="009D0264" w:rsidRDefault="0001360E">
      <w:pPr>
        <w:numPr>
          <w:ilvl w:val="0"/>
          <w:numId w:val="1"/>
        </w:numPr>
        <w:spacing w:line="360" w:lineRule="auto"/>
        <w:jc w:val="both"/>
        <w:rPr>
          <w:rFonts w:ascii="Palatino Linotype" w:eastAsia="Palatino Linotype" w:hAnsi="Palatino Linotype" w:cs="Palatino Linotype"/>
          <w:b/>
          <w:sz w:val="22"/>
          <w:szCs w:val="22"/>
        </w:rPr>
      </w:pPr>
      <w:r w:rsidRPr="009D0264">
        <w:rPr>
          <w:rFonts w:ascii="Palatino Linotype" w:eastAsia="Palatino Linotype" w:hAnsi="Palatino Linotype" w:cs="Palatino Linotype"/>
          <w:b/>
          <w:sz w:val="22"/>
          <w:szCs w:val="22"/>
        </w:rPr>
        <w:t>Que el procedimiento de fiscalización se encuentre en trámite</w:t>
      </w:r>
    </w:p>
    <w:p w14:paraId="17169B2E" w14:textId="77777777" w:rsidR="00174CEF" w:rsidRPr="009D0264" w:rsidRDefault="00174CEF">
      <w:pPr>
        <w:spacing w:line="360" w:lineRule="auto"/>
        <w:ind w:left="720"/>
        <w:jc w:val="both"/>
        <w:rPr>
          <w:rFonts w:ascii="Palatino Linotype" w:eastAsia="Palatino Linotype" w:hAnsi="Palatino Linotype" w:cs="Palatino Linotype"/>
          <w:b/>
          <w:sz w:val="22"/>
          <w:szCs w:val="22"/>
        </w:rPr>
      </w:pPr>
    </w:p>
    <w:p w14:paraId="594BE709"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Ahora bien, el </w:t>
      </w:r>
      <w:r w:rsidRPr="009D0264">
        <w:rPr>
          <w:rFonts w:ascii="Palatino Linotype" w:eastAsia="Palatino Linotype" w:hAnsi="Palatino Linotype" w:cs="Palatino Linotype"/>
          <w:b/>
          <w:sz w:val="22"/>
          <w:szCs w:val="22"/>
        </w:rPr>
        <w:t xml:space="preserve">Sujeto Obligado </w:t>
      </w:r>
      <w:r w:rsidRPr="009D0264">
        <w:rPr>
          <w:rFonts w:ascii="Palatino Linotype" w:eastAsia="Palatino Linotype" w:hAnsi="Palatino Linotype" w:cs="Palatino Linotype"/>
          <w:sz w:val="22"/>
          <w:szCs w:val="22"/>
        </w:rPr>
        <w:t xml:space="preserve">refirió que la auditoría se encontraba en proceso y no se habían emitido resultados, es decir, refirió que esta se encontraba en trámite y no había </w:t>
      </w:r>
      <w:r w:rsidRPr="009D0264">
        <w:rPr>
          <w:rFonts w:ascii="Palatino Linotype" w:eastAsia="Palatino Linotype" w:hAnsi="Palatino Linotype" w:cs="Palatino Linotype"/>
          <w:sz w:val="22"/>
          <w:szCs w:val="22"/>
        </w:rPr>
        <w:lastRenderedPageBreak/>
        <w:t>concluido, por lo que, se logra vislumbrar que acreditó el segundo de los requisitos establecidos en los Lineamientos Generales.</w:t>
      </w:r>
    </w:p>
    <w:p w14:paraId="4FEB2E5E"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0C5EADC9" w14:textId="77777777" w:rsidR="00174CEF" w:rsidRPr="009D0264" w:rsidRDefault="0001360E">
      <w:pPr>
        <w:numPr>
          <w:ilvl w:val="0"/>
          <w:numId w:val="1"/>
        </w:numPr>
        <w:spacing w:line="360" w:lineRule="auto"/>
        <w:ind w:left="567" w:right="49" w:hanging="283"/>
        <w:jc w:val="both"/>
        <w:rPr>
          <w:rFonts w:ascii="Palatino Linotype" w:eastAsia="Palatino Linotype" w:hAnsi="Palatino Linotype" w:cs="Palatino Linotype"/>
          <w:b/>
          <w:sz w:val="22"/>
          <w:szCs w:val="22"/>
        </w:rPr>
      </w:pPr>
      <w:r w:rsidRPr="009D0264">
        <w:rPr>
          <w:rFonts w:ascii="Palatino Linotype" w:eastAsia="Palatino Linotype" w:hAnsi="Palatino Linotype" w:cs="Palatino Linotype"/>
          <w:b/>
          <w:sz w:val="22"/>
          <w:szCs w:val="22"/>
        </w:rPr>
        <w:t>La vinculación directa con las actividades que realiza la autoridad en el en proceso de fiscalización.</w:t>
      </w:r>
    </w:p>
    <w:p w14:paraId="273D9F22" w14:textId="77777777" w:rsidR="00174CEF" w:rsidRPr="009D0264" w:rsidRDefault="00174CEF">
      <w:pPr>
        <w:spacing w:line="360" w:lineRule="auto"/>
        <w:jc w:val="both"/>
        <w:rPr>
          <w:rFonts w:ascii="Palatino Linotype" w:eastAsia="Palatino Linotype" w:hAnsi="Palatino Linotype" w:cs="Palatino Linotype"/>
          <w:b/>
          <w:sz w:val="22"/>
          <w:szCs w:val="22"/>
        </w:rPr>
      </w:pPr>
    </w:p>
    <w:p w14:paraId="020EAE27"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En el presente caso, caber señalar, que el </w:t>
      </w:r>
      <w:r w:rsidRPr="009D0264">
        <w:rPr>
          <w:rFonts w:ascii="Palatino Linotype" w:eastAsia="Palatino Linotype" w:hAnsi="Palatino Linotype" w:cs="Palatino Linotype"/>
          <w:b/>
          <w:sz w:val="22"/>
          <w:szCs w:val="22"/>
        </w:rPr>
        <w:t>Sujeto Obligado</w:t>
      </w:r>
      <w:r w:rsidRPr="009D0264">
        <w:rPr>
          <w:rFonts w:ascii="Palatino Linotype" w:eastAsia="Palatino Linotype" w:hAnsi="Palatino Linotype" w:cs="Palatino Linotype"/>
          <w:sz w:val="22"/>
          <w:szCs w:val="22"/>
        </w:rPr>
        <w:t xml:space="preserve"> refirió que la información solicitada se encontraba dentro de una Auditoría, sin embargo, omitió señalar porque la información solicitada tenía una vinculación directa con las actividades que realizaba la autoridad en el procedimiento.</w:t>
      </w:r>
    </w:p>
    <w:p w14:paraId="083BB6A2"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75DA1BA0"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Conforme a lo anterior, se logra observar que el Ayuntamiento de Atizapán de Zaragoza no proporcionó todos elementos necesarios para determinar si la información solicitada, se encontraba vinculada de manera directa con las actividades de realizadas por el Ente Auditor,  por lo tanto, no se acredita el tercero de los requisitos establecidos en los Lineamientos Generales; situación que se robustece, con el hecho de que la información no impide u obstaculiza las actividades realizadas por el Órgano Auditor, tal como se analizará a continuación.</w:t>
      </w:r>
    </w:p>
    <w:p w14:paraId="4B62B17E"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243FFA61" w14:textId="77777777" w:rsidR="00174CEF" w:rsidRPr="009D0264" w:rsidRDefault="0001360E">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9D0264">
        <w:rPr>
          <w:rFonts w:ascii="Palatino Linotype" w:eastAsia="Palatino Linotype" w:hAnsi="Palatino Linotype" w:cs="Palatino Linotype"/>
          <w:b/>
          <w:sz w:val="22"/>
          <w:szCs w:val="22"/>
        </w:rPr>
        <w:t>Que la difusión de la información impida u obstaculice las actividades de auditoría.</w:t>
      </w:r>
    </w:p>
    <w:p w14:paraId="45751947"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3857A1EB"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En principio, resulta indispensable precisar que los sujetos obligados deben distinguir claramente la información que documenta el proceso de auditoría; esto es, aquellas expresiones documentales, que reflejen las actividades de inspección y fiscalización realizadas por el Órgano Auditor, así como, que contengan el estudio, el análisis realizadas </w:t>
      </w:r>
      <w:r w:rsidRPr="009D0264">
        <w:rPr>
          <w:rFonts w:ascii="Palatino Linotype" w:eastAsia="Palatino Linotype" w:hAnsi="Palatino Linotype" w:cs="Palatino Linotype"/>
          <w:sz w:val="22"/>
          <w:szCs w:val="22"/>
        </w:rPr>
        <w:lastRenderedPageBreak/>
        <w:t xml:space="preserve">y las inconsistencias encontradas, por las autoridades auditoras; </w:t>
      </w:r>
      <w:r w:rsidRPr="009D0264">
        <w:rPr>
          <w:rFonts w:ascii="Palatino Linotype" w:eastAsia="Palatino Linotype" w:hAnsi="Palatino Linotype" w:cs="Palatino Linotype"/>
          <w:b/>
          <w:sz w:val="22"/>
          <w:szCs w:val="22"/>
        </w:rPr>
        <w:t xml:space="preserve">de aquellas otras, que corresponden a la generada por los auditados, en el presente caso, el Ayuntamiento de Atizapán de Zaragoza durante un ejercicio fiscal; esto es, la información generada por el Sujeto Obligado, durante un determinado tiempo, y que analizará la autoridad, </w:t>
      </w:r>
      <w:r w:rsidRPr="009D0264">
        <w:rPr>
          <w:rFonts w:ascii="Palatino Linotype" w:eastAsia="Palatino Linotype" w:hAnsi="Palatino Linotype" w:cs="Palatino Linotype"/>
          <w:sz w:val="22"/>
          <w:szCs w:val="22"/>
        </w:rPr>
        <w:t xml:space="preserve">lo cual corresponde a un insumo informativo o de apoyo, en el proceso de fiscalización. Por lo tanto, de un análisis a la naturaleza de la información solicitada, es dable afirmar que esta información adquiere un carácter de insumo informativo y no así de información vinculada generada por la auditoría. </w:t>
      </w:r>
    </w:p>
    <w:p w14:paraId="14EB8825"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2AD2A9C4" w14:textId="77777777" w:rsidR="00174CEF" w:rsidRPr="009D0264" w:rsidRDefault="0001360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Es por lo expuesto que se colige que el </w:t>
      </w:r>
      <w:r w:rsidRPr="009D0264">
        <w:rPr>
          <w:rFonts w:ascii="Palatino Linotype" w:eastAsia="Palatino Linotype" w:hAnsi="Palatino Linotype" w:cs="Palatino Linotype"/>
          <w:b/>
          <w:sz w:val="22"/>
          <w:szCs w:val="22"/>
        </w:rPr>
        <w:t>Sujeto Obligado</w:t>
      </w:r>
      <w:r w:rsidRPr="009D0264">
        <w:rPr>
          <w:rFonts w:ascii="Palatino Linotype" w:eastAsia="Palatino Linotype" w:hAnsi="Palatino Linotype" w:cs="Palatino Linotype"/>
          <w:sz w:val="22"/>
          <w:szCs w:val="22"/>
        </w:rPr>
        <w:t xml:space="preserve"> no acreditó los supuestos de reserva invocados pues únicamente se limitó a referir los fundamentos ello sin que obre la debida fundamentación sobre las causales que encuadren en algún supuesto de reserva.</w:t>
      </w:r>
    </w:p>
    <w:p w14:paraId="6EC79220" w14:textId="77777777" w:rsidR="00174CEF" w:rsidRPr="009D0264" w:rsidRDefault="00174CE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93DD23A" w14:textId="77777777" w:rsidR="00174CEF" w:rsidRPr="009D0264" w:rsidRDefault="0001360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Aunado a todo lo anteriormente expuesto, debe señalarse que en materia de transparencia, para que resulte procedente la entrega de la información que se solicite, es necesario que esta obre en cualquier documento que el </w:t>
      </w:r>
      <w:r w:rsidRPr="009D0264">
        <w:rPr>
          <w:rFonts w:ascii="Palatino Linotype" w:eastAsia="Palatino Linotype" w:hAnsi="Palatino Linotype" w:cs="Palatino Linotype"/>
          <w:b/>
          <w:sz w:val="22"/>
          <w:szCs w:val="22"/>
        </w:rPr>
        <w:t>Sujeto Obligado</w:t>
      </w:r>
      <w:r w:rsidRPr="009D0264">
        <w:rPr>
          <w:rFonts w:ascii="Palatino Linotype" w:eastAsia="Palatino Linotype" w:hAnsi="Palatino Linotype" w:cs="Palatino Linotype"/>
          <w:sz w:val="22"/>
          <w:szCs w:val="22"/>
        </w:rPr>
        <w:t>, genere, posea o administre, en consecuencia, los documentos como ya ha quedado establecido y como él mismo lo refirió en respuesta obran en sus archivos, lo que significa que ello no implica la generación de un documento sino sólo la entrega del que ya obre en su poder y que contenga la información que el Particular desea conocer.</w:t>
      </w:r>
    </w:p>
    <w:p w14:paraId="53B6FDF8" w14:textId="77777777" w:rsidR="00174CEF" w:rsidRPr="009D0264" w:rsidRDefault="00174CE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E39F986" w14:textId="77777777" w:rsidR="00174CEF" w:rsidRPr="009D0264" w:rsidRDefault="0001360E">
      <w:pPr>
        <w:pBdr>
          <w:top w:val="nil"/>
          <w:left w:val="nil"/>
          <w:bottom w:val="nil"/>
          <w:right w:val="nil"/>
          <w:between w:val="nil"/>
        </w:pBdr>
        <w:spacing w:line="360" w:lineRule="auto"/>
        <w:jc w:val="both"/>
        <w:rPr>
          <w:sz w:val="22"/>
          <w:szCs w:val="22"/>
        </w:rPr>
      </w:pPr>
      <w:r w:rsidRPr="009D0264">
        <w:rPr>
          <w:rFonts w:ascii="Palatino Linotype" w:eastAsia="Palatino Linotype" w:hAnsi="Palatino Linotype" w:cs="Palatino Linotype"/>
          <w:sz w:val="22"/>
          <w:szCs w:val="22"/>
        </w:rPr>
        <w:t xml:space="preserve">Por tanto, resulta poco garante reservar la información solicitada, pues el </w:t>
      </w:r>
      <w:r w:rsidRPr="009D0264">
        <w:rPr>
          <w:rFonts w:ascii="Palatino Linotype" w:eastAsia="Palatino Linotype" w:hAnsi="Palatino Linotype" w:cs="Palatino Linotype"/>
          <w:b/>
          <w:sz w:val="22"/>
          <w:szCs w:val="22"/>
        </w:rPr>
        <w:t>Sujeto Obligado</w:t>
      </w:r>
      <w:r w:rsidRPr="009D0264">
        <w:rPr>
          <w:rFonts w:ascii="Palatino Linotype" w:eastAsia="Palatino Linotype" w:hAnsi="Palatino Linotype" w:cs="Palatino Linotype"/>
          <w:sz w:val="22"/>
          <w:szCs w:val="22"/>
        </w:rPr>
        <w:t xml:space="preserve"> cuenta en sus archivos con diversos documentos que son públicos, por lo que solo se dilata la atención del derecho de acceso a la información pública de </w:t>
      </w:r>
      <w:r w:rsidRPr="009D0264">
        <w:rPr>
          <w:rFonts w:ascii="Palatino Linotype" w:eastAsia="Palatino Linotype" w:hAnsi="Palatino Linotype" w:cs="Palatino Linotype"/>
          <w:b/>
          <w:sz w:val="22"/>
          <w:szCs w:val="22"/>
        </w:rPr>
        <w:t>la parte Recurrente</w:t>
      </w:r>
      <w:r w:rsidRPr="009D0264">
        <w:rPr>
          <w:rFonts w:ascii="Palatino Linotype" w:eastAsia="Palatino Linotype" w:hAnsi="Palatino Linotype" w:cs="Palatino Linotype"/>
          <w:sz w:val="22"/>
          <w:szCs w:val="22"/>
        </w:rPr>
        <w:t xml:space="preserve">; y lo procedente es proporcionar los documentos que no sufren modificación alguna, además de que en caso de sufrir alguna modificación se debe generar otro documento, pero el primero </w:t>
      </w:r>
      <w:r w:rsidRPr="009D0264">
        <w:rPr>
          <w:rFonts w:ascii="Palatino Linotype" w:eastAsia="Palatino Linotype" w:hAnsi="Palatino Linotype" w:cs="Palatino Linotype"/>
          <w:sz w:val="22"/>
          <w:szCs w:val="22"/>
        </w:rPr>
        <w:lastRenderedPageBreak/>
        <w:t>al haber sido suscrito por el Ayuntamiento en ejercicio de sus funciones resulta ser público, ahora bien, resulta prudente tomar en consideración lo plasmado en el criterio 09/2004 emitido por la Suprema Corte de Justicia de la Nación, e incluso referido por el Particular en sus motivos de inconformidad cuya literalidad es la siguiente:</w:t>
      </w:r>
    </w:p>
    <w:p w14:paraId="012648C6" w14:textId="77777777" w:rsidR="00174CEF" w:rsidRPr="009D0264" w:rsidRDefault="00174CEF"/>
    <w:p w14:paraId="34C28529" w14:textId="77777777" w:rsidR="00174CEF" w:rsidRPr="009D0264" w:rsidRDefault="0001360E">
      <w:pPr>
        <w:pBdr>
          <w:top w:val="nil"/>
          <w:left w:val="nil"/>
          <w:bottom w:val="nil"/>
          <w:right w:val="nil"/>
          <w:between w:val="nil"/>
        </w:pBdr>
        <w:spacing w:line="276" w:lineRule="auto"/>
        <w:ind w:left="567" w:right="539"/>
        <w:jc w:val="both"/>
        <w:rPr>
          <w:sz w:val="28"/>
          <w:szCs w:val="28"/>
        </w:rPr>
      </w:pPr>
      <w:r w:rsidRPr="009D0264">
        <w:rPr>
          <w:rFonts w:ascii="Palatino Linotype" w:eastAsia="Palatino Linotype" w:hAnsi="Palatino Linotype" w:cs="Palatino Linotype"/>
          <w:i/>
          <w:sz w:val="22"/>
          <w:szCs w:val="22"/>
        </w:rPr>
        <w:t>"</w:t>
      </w:r>
      <w:r w:rsidRPr="009D0264">
        <w:rPr>
          <w:rFonts w:ascii="Palatino Linotype" w:eastAsia="Palatino Linotype" w:hAnsi="Palatino Linotype" w:cs="Palatino Linotype"/>
          <w:b/>
          <w:i/>
          <w:sz w:val="22"/>
          <w:szCs w:val="22"/>
        </w:rPr>
        <w:t>INFORMACIÓN SUJETA A REVISIÓN. SI YA CONSTA EN UN DOCUMENTO DEFINITIVO, DEBE PERMITIRSE EL ACCESO A ÉSTE</w:t>
      </w:r>
      <w:r w:rsidRPr="009D0264">
        <w:rPr>
          <w:rFonts w:ascii="Palatino Linotype" w:eastAsia="Palatino Linotype" w:hAnsi="Palatino Linotype" w:cs="Palatino Linotype"/>
          <w:i/>
          <w:sz w:val="22"/>
          <w:szCs w:val="22"/>
        </w:rPr>
        <w:t>.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 </w:t>
      </w:r>
    </w:p>
    <w:p w14:paraId="257B3656" w14:textId="77777777" w:rsidR="00174CEF" w:rsidRPr="009D0264" w:rsidRDefault="0001360E">
      <w:pPr>
        <w:pBdr>
          <w:top w:val="nil"/>
          <w:left w:val="nil"/>
          <w:bottom w:val="nil"/>
          <w:right w:val="nil"/>
          <w:between w:val="nil"/>
        </w:pBdr>
        <w:spacing w:line="276" w:lineRule="auto"/>
        <w:ind w:left="567" w:right="539"/>
        <w:jc w:val="both"/>
        <w:rPr>
          <w:sz w:val="28"/>
          <w:szCs w:val="28"/>
        </w:rPr>
      </w:pPr>
      <w:r w:rsidRPr="009D0264">
        <w:rPr>
          <w:rFonts w:ascii="Palatino Linotype" w:eastAsia="Palatino Linotype" w:hAnsi="Palatino Linotype" w:cs="Palatino Linotype"/>
          <w:i/>
          <w:sz w:val="22"/>
          <w:szCs w:val="22"/>
        </w:rPr>
        <w:t>Clasificación de la información 10/2004-J, 19 de mayo de 2004.</w:t>
      </w:r>
    </w:p>
    <w:p w14:paraId="02E04851" w14:textId="77777777" w:rsidR="00174CEF" w:rsidRPr="009D0264" w:rsidRDefault="0001360E">
      <w:pPr>
        <w:pBdr>
          <w:top w:val="nil"/>
          <w:left w:val="nil"/>
          <w:bottom w:val="nil"/>
          <w:right w:val="nil"/>
          <w:between w:val="nil"/>
        </w:pBdr>
        <w:spacing w:line="276" w:lineRule="auto"/>
        <w:ind w:left="567" w:right="539"/>
        <w:jc w:val="both"/>
        <w:rPr>
          <w:sz w:val="28"/>
          <w:szCs w:val="28"/>
        </w:rPr>
      </w:pPr>
      <w:r w:rsidRPr="009D0264">
        <w:rPr>
          <w:rFonts w:ascii="Palatino Linotype" w:eastAsia="Palatino Linotype" w:hAnsi="Palatino Linotype" w:cs="Palatino Linotype"/>
          <w:i/>
          <w:sz w:val="22"/>
          <w:szCs w:val="22"/>
        </w:rPr>
        <w:t>Unanimidad de votos"</w:t>
      </w:r>
    </w:p>
    <w:p w14:paraId="7142F6B2" w14:textId="77777777" w:rsidR="00174CEF" w:rsidRPr="009D0264" w:rsidRDefault="00174CEF"/>
    <w:p w14:paraId="30FEF3C1" w14:textId="77777777" w:rsidR="00174CEF" w:rsidRPr="009D0264" w:rsidRDefault="0001360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Del anterior criterio se puede deducir que para el caso de acceso sobre documentos que se encuentren en un proceso de revisión deberá permitirse el acceso a los mismos, por lo tanto, no es procedente el argumento del </w:t>
      </w:r>
      <w:r w:rsidRPr="009D0264">
        <w:rPr>
          <w:rFonts w:ascii="Palatino Linotype" w:eastAsia="Palatino Linotype" w:hAnsi="Palatino Linotype" w:cs="Palatino Linotype"/>
          <w:b/>
          <w:sz w:val="22"/>
          <w:szCs w:val="22"/>
        </w:rPr>
        <w:t>Sujeto Obligado</w:t>
      </w:r>
      <w:r w:rsidRPr="009D0264">
        <w:rPr>
          <w:rFonts w:ascii="Palatino Linotype" w:eastAsia="Palatino Linotype" w:hAnsi="Palatino Linotype" w:cs="Palatino Linotype"/>
          <w:sz w:val="22"/>
          <w:szCs w:val="22"/>
        </w:rPr>
        <w:t xml:space="preserve"> en el sentido de restringir el acceso a la información derivado de una auditoría.</w:t>
      </w:r>
    </w:p>
    <w:p w14:paraId="3FDA0742" w14:textId="77777777" w:rsidR="00174CEF" w:rsidRPr="009D0264" w:rsidRDefault="00174CE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A554825" w14:textId="77777777" w:rsidR="00174CEF" w:rsidRPr="009D0264" w:rsidRDefault="0001360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Aunado a que, en el presente caso el </w:t>
      </w:r>
      <w:r w:rsidRPr="009D0264">
        <w:rPr>
          <w:rFonts w:ascii="Palatino Linotype" w:eastAsia="Palatino Linotype" w:hAnsi="Palatino Linotype" w:cs="Palatino Linotype"/>
          <w:b/>
          <w:sz w:val="22"/>
          <w:szCs w:val="22"/>
        </w:rPr>
        <w:t xml:space="preserve">Sujeto Obligado </w:t>
      </w:r>
      <w:r w:rsidRPr="009D0264">
        <w:rPr>
          <w:rFonts w:ascii="Palatino Linotype" w:eastAsia="Palatino Linotype" w:hAnsi="Palatino Linotype" w:cs="Palatino Linotype"/>
          <w:sz w:val="22"/>
          <w:szCs w:val="22"/>
        </w:rPr>
        <w:t>fue omiso en indicar el tipo de documental que daría atención a lo requerido por el particular, y que se encuentra glosado a los expedientes únicos de obra pública que están siendo auditados y por los que llevó a cabo la reserva de la información.</w:t>
      </w:r>
    </w:p>
    <w:p w14:paraId="24BD6CC3" w14:textId="77777777" w:rsidR="00174CEF" w:rsidRPr="009D0264" w:rsidRDefault="00174CE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2024CF5" w14:textId="77777777" w:rsidR="00174CEF" w:rsidRPr="009D0264" w:rsidRDefault="0001360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lastRenderedPageBreak/>
        <w:t>Además de que inicialmente, sólo se pronunció el Director General de Obras Públicas, haciendo falta el pronunciamiento del Tesorero Municipal quien también cuenta con atribuciones para conocer de la información requerida, ya que interviene en la elaboración de la documental que puede dar atención a lo requerido y que fue hasta informe justificado que señaló que la información requerida se encontraba publicada en la página oficial del ente público, proporcionando los links correspondientes en formato cerrado, así como los pasos para accesar específicamente al Estado Comparativo Presupuestal de Egresos del 2023, como se expondrá más adelante.</w:t>
      </w:r>
    </w:p>
    <w:p w14:paraId="7D4F1DDB" w14:textId="77777777" w:rsidR="00174CEF" w:rsidRPr="009D0264" w:rsidRDefault="00174CE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F394601" w14:textId="77777777" w:rsidR="00174CEF" w:rsidRPr="009D0264" w:rsidRDefault="0001360E">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9D0264">
        <w:rPr>
          <w:rFonts w:ascii="Palatino Linotype" w:eastAsia="Palatino Linotype" w:hAnsi="Palatino Linotype" w:cs="Palatino Linotype"/>
          <w:b/>
          <w:sz w:val="22"/>
          <w:szCs w:val="22"/>
        </w:rPr>
        <w:t>b) De la naturaleza de la información</w:t>
      </w:r>
    </w:p>
    <w:p w14:paraId="333F807C" w14:textId="77777777" w:rsidR="00174CEF" w:rsidRPr="009D0264" w:rsidRDefault="00174CE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630F302" w14:textId="77777777" w:rsidR="00174CEF" w:rsidRPr="009D0264" w:rsidRDefault="0001360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Acotado lo anterior, y una vez establecida la improcedencia de la reserva de la información hecha valer por el </w:t>
      </w:r>
      <w:r w:rsidRPr="009D0264">
        <w:rPr>
          <w:rFonts w:ascii="Palatino Linotype" w:eastAsia="Palatino Linotype" w:hAnsi="Palatino Linotype" w:cs="Palatino Linotype"/>
          <w:b/>
          <w:sz w:val="22"/>
          <w:szCs w:val="22"/>
        </w:rPr>
        <w:t>Sujeto Obligado</w:t>
      </w:r>
      <w:r w:rsidRPr="009D0264">
        <w:rPr>
          <w:rFonts w:ascii="Palatino Linotype" w:eastAsia="Palatino Linotype" w:hAnsi="Palatino Linotype" w:cs="Palatino Linotype"/>
          <w:sz w:val="22"/>
          <w:szCs w:val="22"/>
        </w:rPr>
        <w:t>, resulta pertinente entrar al análisis del punto requerido en la solicitud:</w:t>
      </w:r>
    </w:p>
    <w:p w14:paraId="3EE76506" w14:textId="77777777" w:rsidR="00174CEF" w:rsidRPr="009D0264" w:rsidRDefault="00174CE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E1B7417" w14:textId="77777777" w:rsidR="00174CEF" w:rsidRPr="009D0264" w:rsidRDefault="0001360E">
      <w:pPr>
        <w:numPr>
          <w:ilvl w:val="0"/>
          <w:numId w:val="7"/>
        </w:numPr>
        <w:pBdr>
          <w:top w:val="nil"/>
          <w:left w:val="nil"/>
          <w:bottom w:val="nil"/>
          <w:right w:val="nil"/>
          <w:between w:val="nil"/>
        </w:pBdr>
        <w:spacing w:line="360" w:lineRule="auto"/>
        <w:ind w:left="426" w:right="49"/>
        <w:jc w:val="both"/>
        <w:rPr>
          <w:rFonts w:ascii="Palatino Linotype" w:eastAsia="Palatino Linotype" w:hAnsi="Palatino Linotype" w:cs="Palatino Linotype"/>
          <w:b/>
          <w:sz w:val="22"/>
          <w:szCs w:val="22"/>
        </w:rPr>
      </w:pPr>
      <w:r w:rsidRPr="009D0264">
        <w:rPr>
          <w:rFonts w:ascii="Palatino Linotype" w:eastAsia="Palatino Linotype" w:hAnsi="Palatino Linotype" w:cs="Palatino Linotype"/>
          <w:b/>
          <w:sz w:val="22"/>
          <w:szCs w:val="22"/>
        </w:rPr>
        <w:t>Evidencia documental de las amortizaciones realizadas en la cuenta 6000 “Inversión Pública del ejercicio 2022, por concepto del pago de anticipos de 18 obras públicas.</w:t>
      </w:r>
    </w:p>
    <w:p w14:paraId="0E417930" w14:textId="77777777" w:rsidR="00174CEF" w:rsidRPr="009D0264" w:rsidRDefault="00174CE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0D2F052" w14:textId="77777777" w:rsidR="00174CEF" w:rsidRPr="009D0264" w:rsidRDefault="0001360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Al respecto, resulta oportuno traer a contexto el contenido de los artículos 12.38, primer párrafo, y 12.44, fracciones I, II y VI del Libro Décimo Segundo del Código Administrativo del Estado de México, que disponen lo siguiente:</w:t>
      </w:r>
    </w:p>
    <w:p w14:paraId="375A3103" w14:textId="77777777" w:rsidR="00174CEF" w:rsidRPr="009D0264" w:rsidRDefault="00174CEF">
      <w:pPr>
        <w:pBdr>
          <w:top w:val="nil"/>
          <w:left w:val="nil"/>
          <w:bottom w:val="nil"/>
          <w:right w:val="nil"/>
          <w:between w:val="nil"/>
        </w:pBdr>
        <w:spacing w:line="360" w:lineRule="auto"/>
        <w:jc w:val="both"/>
        <w:rPr>
          <w:rFonts w:ascii="Palatino Linotype" w:eastAsia="Palatino Linotype" w:hAnsi="Palatino Linotype" w:cs="Palatino Linotype"/>
          <w:sz w:val="12"/>
          <w:szCs w:val="12"/>
        </w:rPr>
      </w:pPr>
    </w:p>
    <w:p w14:paraId="1A1714EA" w14:textId="77777777" w:rsidR="00174CEF" w:rsidRPr="009D0264" w:rsidRDefault="0001360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“Artículo 12.38.-</w:t>
      </w:r>
      <w:r w:rsidRPr="009D0264">
        <w:rPr>
          <w:rFonts w:ascii="Palatino Linotype" w:eastAsia="Palatino Linotype" w:hAnsi="Palatino Linotype" w:cs="Palatino Linotype"/>
          <w:i/>
          <w:sz w:val="22"/>
          <w:szCs w:val="22"/>
        </w:rPr>
        <w:t xml:space="preserve"> La adjudicación de la obra o servicios relacionados con la misma obligará a la dependencia, entidad o ayuntamiento y a la persona en que hubiere recaído, a suscribir el contrato respectivo dentro de los diez días hábiles siguientes al de la notificación del fallo.</w:t>
      </w:r>
    </w:p>
    <w:p w14:paraId="028A0544" w14:textId="77777777" w:rsidR="00174CEF" w:rsidRPr="009D0264" w:rsidRDefault="0001360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i/>
          <w:sz w:val="22"/>
          <w:szCs w:val="22"/>
        </w:rPr>
        <w:t>[…]”</w:t>
      </w:r>
    </w:p>
    <w:p w14:paraId="03F8B449" w14:textId="77777777" w:rsidR="00174CEF" w:rsidRPr="009D0264" w:rsidRDefault="0001360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i/>
          <w:sz w:val="22"/>
          <w:szCs w:val="22"/>
        </w:rPr>
        <w:lastRenderedPageBreak/>
        <w:t xml:space="preserve">Artículo 12.44.- </w:t>
      </w:r>
      <w:r w:rsidRPr="009D0264">
        <w:rPr>
          <w:rFonts w:ascii="Palatino Linotype" w:eastAsia="Palatino Linotype" w:hAnsi="Palatino Linotype" w:cs="Palatino Linotype"/>
          <w:b/>
          <w:i/>
          <w:sz w:val="22"/>
          <w:szCs w:val="22"/>
        </w:rPr>
        <w:t>El otorgamiento y amortización del anticipo se deberá pactar en los contratos, conforme a las reglas siguientes:</w:t>
      </w:r>
    </w:p>
    <w:p w14:paraId="7728F8EF" w14:textId="77777777" w:rsidR="00174CEF" w:rsidRPr="009D0264" w:rsidRDefault="00174CEF">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14:paraId="79E2E44B" w14:textId="77777777" w:rsidR="00174CEF" w:rsidRPr="009D0264" w:rsidRDefault="0001360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I. El anticipo será entregado al contratista antes de la fecha pactada para el inicio de los trabajos;</w:t>
      </w:r>
      <w:r w:rsidRPr="009D0264">
        <w:rPr>
          <w:rFonts w:ascii="Palatino Linotype" w:eastAsia="Palatino Linotype" w:hAnsi="Palatino Linotype" w:cs="Palatino Linotype"/>
          <w:i/>
          <w:sz w:val="22"/>
          <w:szCs w:val="22"/>
        </w:rPr>
        <w:t xml:space="preserve"> el atraso en la entrega del anticipo será motivo para diferir en igual plazo el programa de ejecución pactado; </w:t>
      </w:r>
    </w:p>
    <w:p w14:paraId="105D0F81" w14:textId="77777777" w:rsidR="00174CEF" w:rsidRPr="009D0264" w:rsidRDefault="00174CEF">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14:paraId="5D287DE3" w14:textId="77777777" w:rsidR="00174CEF" w:rsidRPr="009D0264" w:rsidRDefault="0001360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u w:val="single"/>
        </w:rPr>
        <w:t>II. El anticipo no podrá exceder del veinte por ciento del importe del contrato o de la asignación presupuestal aprobada,</w:t>
      </w:r>
      <w:r w:rsidRPr="009D0264">
        <w:rPr>
          <w:rFonts w:ascii="Palatino Linotype" w:eastAsia="Palatino Linotype" w:hAnsi="Palatino Linotype" w:cs="Palatino Linotype"/>
          <w:i/>
          <w:sz w:val="22"/>
          <w:szCs w:val="22"/>
        </w:rPr>
        <w:t xml:space="preserve"> cuando la ejecución de las obras exceda de un ejercicio fiscal, para que el contratista, según sea el caso, realice en el sitio de los trabajos la construcción de sus oficinas, almacenes, bodegas e instalaciones, gastos de traslado de maquinaria y equipo de construcción e inicio de los trabajos. Adicionalmente deberá otorgarse un anticipo que no podrá exceder del treinta</w:t>
      </w:r>
      <w:r w:rsidRPr="009D0264">
        <w:rPr>
          <w:i/>
        </w:rPr>
        <w:t xml:space="preserve"> </w:t>
      </w:r>
      <w:r w:rsidRPr="009D0264">
        <w:rPr>
          <w:rFonts w:ascii="Palatino Linotype" w:eastAsia="Palatino Linotype" w:hAnsi="Palatino Linotype" w:cs="Palatino Linotype"/>
          <w:i/>
          <w:sz w:val="22"/>
          <w:szCs w:val="22"/>
        </w:rPr>
        <w:t>por ciento del importe del contrato o de la asignación presupuestal aprobada, para la compra y producción de materiales de construcción, adquisición de equipo que se instale permanentemente y demás insumos que se deban suministrar;</w:t>
      </w:r>
      <w:r w:rsidRPr="009D0264">
        <w:rPr>
          <w:rFonts w:ascii="Palatino Linotype" w:eastAsia="Palatino Linotype" w:hAnsi="Palatino Linotype" w:cs="Palatino Linotype"/>
          <w:i/>
          <w:sz w:val="22"/>
          <w:szCs w:val="22"/>
        </w:rPr>
        <w:br/>
        <w:t>[…]</w:t>
      </w:r>
    </w:p>
    <w:p w14:paraId="757245E1" w14:textId="77777777" w:rsidR="00174CEF" w:rsidRPr="009D0264" w:rsidRDefault="0001360E">
      <w:pPr>
        <w:pBdr>
          <w:top w:val="nil"/>
          <w:left w:val="nil"/>
          <w:bottom w:val="nil"/>
          <w:right w:val="nil"/>
          <w:between w:val="nil"/>
        </w:pBdr>
        <w:spacing w:line="276" w:lineRule="auto"/>
        <w:ind w:left="567" w:right="616"/>
        <w:jc w:val="both"/>
        <w:rPr>
          <w:rFonts w:ascii="Palatino Linotype" w:eastAsia="Palatino Linotype" w:hAnsi="Palatino Linotype" w:cs="Palatino Linotype"/>
          <w:b/>
          <w:i/>
          <w:sz w:val="22"/>
          <w:szCs w:val="22"/>
        </w:rPr>
      </w:pPr>
      <w:r w:rsidRPr="009D0264">
        <w:rPr>
          <w:rFonts w:ascii="Palatino Linotype" w:eastAsia="Palatino Linotype" w:hAnsi="Palatino Linotype" w:cs="Palatino Linotype"/>
          <w:b/>
          <w:i/>
          <w:sz w:val="22"/>
          <w:szCs w:val="22"/>
        </w:rPr>
        <w:t>VI. El anticipo otorgado se amortizará mediante la deducción de un porcentaje igual al porcentaje que sirvió de base para determinar el anticipo, la que se aplicará sobre el importe de cada una de las estimaciones, que por trabajos ejecutados presente para su pago el contratista;”</w:t>
      </w:r>
    </w:p>
    <w:p w14:paraId="3BEFAF77" w14:textId="77777777" w:rsidR="00174CEF" w:rsidRPr="009D0264" w:rsidRDefault="00174CEF">
      <w:pPr>
        <w:pBdr>
          <w:top w:val="nil"/>
          <w:left w:val="nil"/>
          <w:bottom w:val="nil"/>
          <w:right w:val="nil"/>
          <w:between w:val="nil"/>
        </w:pBdr>
        <w:spacing w:line="276" w:lineRule="auto"/>
        <w:ind w:left="567" w:right="616"/>
        <w:jc w:val="both"/>
        <w:rPr>
          <w:rFonts w:ascii="Palatino Linotype" w:eastAsia="Palatino Linotype" w:hAnsi="Palatino Linotype" w:cs="Palatino Linotype"/>
          <w:b/>
          <w:i/>
          <w:sz w:val="22"/>
          <w:szCs w:val="22"/>
        </w:rPr>
      </w:pPr>
    </w:p>
    <w:p w14:paraId="752B4344" w14:textId="77777777" w:rsidR="00174CEF" w:rsidRPr="009D0264" w:rsidRDefault="0001360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i/>
          <w:sz w:val="22"/>
          <w:szCs w:val="22"/>
        </w:rPr>
        <w:t>“Artículo 12.52.- Las dependencias, entidades y ayuntamientos contratantes, formularán y autorizarán, las estimaciones de los trabajos ejecutados.</w:t>
      </w:r>
    </w:p>
    <w:p w14:paraId="17C07C25" w14:textId="77777777" w:rsidR="00174CEF" w:rsidRPr="009D0264" w:rsidRDefault="00174CEF">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14:paraId="4E675568" w14:textId="77777777" w:rsidR="00174CEF" w:rsidRPr="009D0264" w:rsidRDefault="0001360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i/>
          <w:sz w:val="22"/>
          <w:szCs w:val="22"/>
        </w:rPr>
        <w:t xml:space="preserve">Las estimaciones serán pagadas por: </w:t>
      </w:r>
    </w:p>
    <w:p w14:paraId="6D4458EF" w14:textId="77777777" w:rsidR="00174CEF" w:rsidRPr="009D0264" w:rsidRDefault="0001360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i/>
          <w:sz w:val="22"/>
          <w:szCs w:val="22"/>
        </w:rPr>
        <w:t>[…]</w:t>
      </w:r>
    </w:p>
    <w:p w14:paraId="7214C713" w14:textId="77777777" w:rsidR="00174CEF" w:rsidRPr="009D0264" w:rsidRDefault="0001360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9D0264">
        <w:rPr>
          <w:rFonts w:ascii="Palatino Linotype" w:eastAsia="Palatino Linotype" w:hAnsi="Palatino Linotype" w:cs="Palatino Linotype"/>
          <w:b/>
          <w:i/>
          <w:sz w:val="22"/>
          <w:szCs w:val="22"/>
        </w:rPr>
        <w:t>III. La tesorería municipal, cuando sean autorizadas por los ayuntamientos</w:t>
      </w:r>
      <w:r w:rsidRPr="009D0264">
        <w:rPr>
          <w:rFonts w:ascii="Palatino Linotype" w:eastAsia="Palatino Linotype" w:hAnsi="Palatino Linotype" w:cs="Palatino Linotype"/>
          <w:i/>
          <w:sz w:val="22"/>
          <w:szCs w:val="22"/>
        </w:rPr>
        <w:t>.”</w:t>
      </w:r>
    </w:p>
    <w:p w14:paraId="222626A8" w14:textId="77777777" w:rsidR="00174CEF" w:rsidRPr="009D0264" w:rsidRDefault="00174CEF">
      <w:pPr>
        <w:pBdr>
          <w:top w:val="nil"/>
          <w:left w:val="nil"/>
          <w:bottom w:val="nil"/>
          <w:right w:val="nil"/>
          <w:between w:val="nil"/>
        </w:pBdr>
        <w:spacing w:line="276" w:lineRule="auto"/>
        <w:ind w:left="567" w:right="616"/>
        <w:jc w:val="both"/>
        <w:rPr>
          <w:rFonts w:ascii="Palatino Linotype" w:eastAsia="Palatino Linotype" w:hAnsi="Palatino Linotype" w:cs="Palatino Linotype"/>
          <w:b/>
          <w:i/>
          <w:sz w:val="22"/>
          <w:szCs w:val="22"/>
        </w:rPr>
      </w:pPr>
    </w:p>
    <w:p w14:paraId="2CA5AD29" w14:textId="77777777" w:rsidR="00174CEF" w:rsidRPr="009D0264" w:rsidRDefault="0001360E">
      <w:pPr>
        <w:pBdr>
          <w:top w:val="nil"/>
          <w:left w:val="nil"/>
          <w:bottom w:val="nil"/>
          <w:right w:val="nil"/>
          <w:between w:val="nil"/>
        </w:pBdr>
        <w:spacing w:line="276" w:lineRule="auto"/>
        <w:ind w:left="567" w:right="616"/>
        <w:jc w:val="right"/>
        <w:rPr>
          <w:rFonts w:ascii="Palatino Linotype" w:eastAsia="Palatino Linotype" w:hAnsi="Palatino Linotype" w:cs="Palatino Linotype"/>
          <w:i/>
          <w:sz w:val="22"/>
          <w:szCs w:val="22"/>
        </w:rPr>
      </w:pPr>
      <w:r w:rsidRPr="009D0264">
        <w:rPr>
          <w:rFonts w:ascii="Palatino Linotype" w:eastAsia="Palatino Linotype" w:hAnsi="Palatino Linotype" w:cs="Palatino Linotype"/>
          <w:i/>
          <w:sz w:val="22"/>
          <w:szCs w:val="22"/>
        </w:rPr>
        <w:t>(Énfasis añadido)</w:t>
      </w:r>
    </w:p>
    <w:p w14:paraId="6AF0C539" w14:textId="77777777" w:rsidR="00174CEF" w:rsidRPr="009D0264" w:rsidRDefault="00174CE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1CB18EA" w14:textId="77777777" w:rsidR="00174CEF" w:rsidRPr="009D0264" w:rsidRDefault="0001360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lastRenderedPageBreak/>
        <w:t>De los preceptos legales citados, se desprende que toda obra pública que se adjudique al contratista conlleva la suscripción con el ente público -ayuntamiento-, del contrato respectivo dentro de los diez días hábiles siguientes al de la notificación del fallo.</w:t>
      </w:r>
    </w:p>
    <w:p w14:paraId="57879090" w14:textId="77777777" w:rsidR="00174CEF" w:rsidRPr="009D0264" w:rsidRDefault="00174CE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6C1D010" w14:textId="77777777" w:rsidR="00174CEF" w:rsidRPr="009D0264" w:rsidRDefault="0001360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Asimismo, el otorgamiento y amortización del anticipo de la obra, se debe pactar en los contratos conforme las reglas establecidas en el ordenamiento de mérito, que consistente en entregar el anticipo al contratista antes de la fecha pactada para el inicio de los trabajos, el cual no podrá exceder del veinte por ciento del importe del contrato o de la asignación presupuestal aprobada; anticipo otorgado que se amortizará mediante la deducción de un porcentaje igual al porcentaje que sirvió de base para determinar el anticipo, la que se aplicará sobre el importe de cada una de las estimaciones, que por trabajos ejecutados presente para su pago el contratista; estimaciones que son pagadas por la Tesorería Municipal.</w:t>
      </w:r>
    </w:p>
    <w:p w14:paraId="5457B0EE" w14:textId="77777777" w:rsidR="00174CEF" w:rsidRPr="009D0264" w:rsidRDefault="00174CE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32B805D" w14:textId="77777777" w:rsidR="00174CEF" w:rsidRPr="009D0264" w:rsidRDefault="0001360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De esta manera, podemos entender a la amortización de un anticipo por contrato de obra pública, a la reducción gradual del valor de un anticipo que se entrega al contratista para la ejecución de una obra, que se realiza de acuerdo con lo establecido en el contrato y se aplicará sobre el importe de cada una de las estimaciones -documentación comprobatoria de la aplicación de las condiciones de pago establecidas en el contrato-</w:t>
      </w:r>
      <w:r w:rsidRPr="009D0264">
        <w:t xml:space="preserve"> </w:t>
      </w:r>
      <w:r w:rsidRPr="009D0264">
        <w:rPr>
          <w:rFonts w:ascii="Palatino Linotype" w:eastAsia="Palatino Linotype" w:hAnsi="Palatino Linotype" w:cs="Palatino Linotype"/>
          <w:sz w:val="22"/>
          <w:szCs w:val="22"/>
        </w:rPr>
        <w:t>que por trabajos ejecutados presente para su pago el contratista.</w:t>
      </w:r>
    </w:p>
    <w:p w14:paraId="76E84AD2" w14:textId="77777777" w:rsidR="00174CEF" w:rsidRPr="009D0264" w:rsidRDefault="00174CE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88B4EBA" w14:textId="77777777" w:rsidR="00174CEF" w:rsidRPr="009D0264" w:rsidRDefault="0001360E">
      <w:pPr>
        <w:spacing w:line="360" w:lineRule="auto"/>
        <w:ind w:right="-93"/>
        <w:jc w:val="both"/>
        <w:rPr>
          <w:rFonts w:ascii="Palatino Linotype" w:eastAsia="Palatino Linotype" w:hAnsi="Palatino Linotype" w:cs="Palatino Linotype"/>
          <w:b/>
          <w:sz w:val="22"/>
          <w:szCs w:val="22"/>
          <w:u w:val="single"/>
        </w:rPr>
      </w:pPr>
      <w:r w:rsidRPr="009D0264">
        <w:rPr>
          <w:rFonts w:ascii="Palatino Linotype" w:eastAsia="Palatino Linotype" w:hAnsi="Palatino Linotype" w:cs="Palatino Linotype"/>
          <w:sz w:val="22"/>
          <w:szCs w:val="22"/>
        </w:rPr>
        <w:t xml:space="preserve">A mayor abundamiento, y con la finalidad de puntualizar los documentos que pudieran colmar de manera enunciativa más no limitativa la pretensión de la persona solicitante, es de indicar que conforme los </w:t>
      </w:r>
      <w:r w:rsidRPr="009D0264">
        <w:rPr>
          <w:rFonts w:ascii="Palatino Linotype" w:eastAsia="Palatino Linotype" w:hAnsi="Palatino Linotype" w:cs="Palatino Linotype"/>
          <w:b/>
          <w:sz w:val="22"/>
          <w:szCs w:val="22"/>
        </w:rPr>
        <w:t>Lineamientos para la integración y entrega de los informes trimestrales municipales vigente en 2022</w:t>
      </w:r>
      <w:r w:rsidRPr="009D0264">
        <w:rPr>
          <w:rFonts w:ascii="Palatino Linotype" w:eastAsia="Palatino Linotype" w:hAnsi="Palatino Linotype" w:cs="Palatino Linotype"/>
          <w:sz w:val="22"/>
          <w:szCs w:val="22"/>
        </w:rPr>
        <w:t xml:space="preserve">, se establece que los informes trimestrales municipales que deben entregar los Ayuntamientos ante el Órgano Superior de Fiscalización </w:t>
      </w:r>
      <w:r w:rsidRPr="009D0264">
        <w:rPr>
          <w:rFonts w:ascii="Palatino Linotype" w:eastAsia="Palatino Linotype" w:hAnsi="Palatino Linotype" w:cs="Palatino Linotype"/>
          <w:sz w:val="22"/>
          <w:szCs w:val="22"/>
        </w:rPr>
        <w:lastRenderedPageBreak/>
        <w:t xml:space="preserve">del Estado de México, están integrados por cuatro Módulos; que a su vez se dividen en submódulos; y para el adecuado cumplimiento de la presentación de los Informes, cada submódulo contará con “Instructivos” y “Formatos para el llenado” de los documentos, según corresponda, mismos que se deberán consultar en el sitio web del OSFEM </w:t>
      </w:r>
      <w:r w:rsidRPr="009D0264">
        <w:rPr>
          <w:rFonts w:ascii="Palatino Linotype" w:eastAsia="Palatino Linotype" w:hAnsi="Palatino Linotype" w:cs="Palatino Linotype"/>
          <w:b/>
          <w:sz w:val="22"/>
          <w:szCs w:val="22"/>
          <w:u w:val="single"/>
        </w:rPr>
        <w:t>www.osfem.gob.mx.</w:t>
      </w:r>
    </w:p>
    <w:p w14:paraId="235819E7" w14:textId="77777777" w:rsidR="00174CEF" w:rsidRPr="009D0264" w:rsidRDefault="00174CEF">
      <w:pPr>
        <w:spacing w:line="360" w:lineRule="auto"/>
        <w:ind w:right="-93"/>
        <w:jc w:val="both"/>
        <w:rPr>
          <w:rFonts w:ascii="Palatino Linotype" w:eastAsia="Palatino Linotype" w:hAnsi="Palatino Linotype" w:cs="Palatino Linotype"/>
          <w:sz w:val="22"/>
          <w:szCs w:val="22"/>
        </w:rPr>
      </w:pPr>
    </w:p>
    <w:p w14:paraId="05E66EB7" w14:textId="77777777" w:rsidR="00174CEF" w:rsidRPr="009D0264" w:rsidRDefault="0001360E">
      <w:pPr>
        <w:spacing w:line="360" w:lineRule="auto"/>
        <w:ind w:right="-93"/>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De lo anterior, es de especial atención el </w:t>
      </w:r>
      <w:r w:rsidRPr="009D0264">
        <w:rPr>
          <w:rFonts w:ascii="Palatino Linotype" w:eastAsia="Palatino Linotype" w:hAnsi="Palatino Linotype" w:cs="Palatino Linotype"/>
          <w:b/>
          <w:sz w:val="22"/>
          <w:szCs w:val="22"/>
        </w:rPr>
        <w:t>Módulo 1</w:t>
      </w:r>
      <w:r w:rsidRPr="009D0264">
        <w:rPr>
          <w:rFonts w:ascii="Palatino Linotype" w:eastAsia="Palatino Linotype" w:hAnsi="Palatino Linotype" w:cs="Palatino Linotype"/>
          <w:sz w:val="22"/>
          <w:szCs w:val="22"/>
        </w:rPr>
        <w:t xml:space="preserve"> relativo a la Información Contable y Financiera, en cuya matriz de documentos, firmas y archivos que el Municipio correspondiente debe entregar, se consideran dentro del tipo de información a la </w:t>
      </w:r>
      <w:r w:rsidRPr="009D0264">
        <w:rPr>
          <w:rFonts w:ascii="Palatino Linotype" w:eastAsia="Palatino Linotype" w:hAnsi="Palatino Linotype" w:cs="Palatino Linotype"/>
          <w:b/>
          <w:sz w:val="22"/>
          <w:szCs w:val="22"/>
        </w:rPr>
        <w:t xml:space="preserve">“Conciliación de obra pública”, </w:t>
      </w:r>
      <w:r w:rsidRPr="009D0264">
        <w:rPr>
          <w:rFonts w:ascii="Palatino Linotype" w:eastAsia="Palatino Linotype" w:hAnsi="Palatino Linotype" w:cs="Palatino Linotype"/>
          <w:sz w:val="22"/>
          <w:szCs w:val="22"/>
        </w:rPr>
        <w:t>cuya periodicidad se realiza de manera mensual, como a continuación se muestra:</w:t>
      </w:r>
    </w:p>
    <w:p w14:paraId="74321401" w14:textId="77777777" w:rsidR="00174CEF" w:rsidRPr="009D0264" w:rsidRDefault="00174CEF">
      <w:pPr>
        <w:spacing w:line="360" w:lineRule="auto"/>
        <w:ind w:right="-93"/>
        <w:jc w:val="both"/>
        <w:rPr>
          <w:rFonts w:ascii="Palatino Linotype" w:eastAsia="Palatino Linotype" w:hAnsi="Palatino Linotype" w:cs="Palatino Linotype"/>
          <w:sz w:val="22"/>
          <w:szCs w:val="22"/>
        </w:rPr>
      </w:pPr>
    </w:p>
    <w:p w14:paraId="40366D0A" w14:textId="77777777" w:rsidR="00174CEF" w:rsidRPr="009D0264" w:rsidRDefault="0001360E">
      <w:pPr>
        <w:spacing w:line="360" w:lineRule="auto"/>
        <w:ind w:right="-93"/>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noProof/>
          <w:sz w:val="22"/>
          <w:szCs w:val="22"/>
        </w:rPr>
        <w:drawing>
          <wp:inline distT="0" distB="0" distL="0" distR="0" wp14:anchorId="01098341" wp14:editId="64FD0BC2">
            <wp:extent cx="5610225" cy="2686050"/>
            <wp:effectExtent l="3175" t="3175" r="3175" b="3175"/>
            <wp:docPr id="1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610225" cy="2686050"/>
                    </a:xfrm>
                    <a:prstGeom prst="rect">
                      <a:avLst/>
                    </a:prstGeom>
                    <a:ln w="3175">
                      <a:solidFill>
                        <a:srgbClr val="000000"/>
                      </a:solidFill>
                      <a:prstDash val="solid"/>
                    </a:ln>
                  </pic:spPr>
                </pic:pic>
              </a:graphicData>
            </a:graphic>
          </wp:inline>
        </w:drawing>
      </w:r>
    </w:p>
    <w:p w14:paraId="0301EA15" w14:textId="77777777" w:rsidR="00174CEF" w:rsidRPr="009D0264" w:rsidRDefault="00174CEF">
      <w:pPr>
        <w:spacing w:line="360" w:lineRule="auto"/>
        <w:ind w:right="-93"/>
        <w:jc w:val="both"/>
        <w:rPr>
          <w:rFonts w:ascii="Palatino Linotype" w:eastAsia="Palatino Linotype" w:hAnsi="Palatino Linotype" w:cs="Palatino Linotype"/>
          <w:sz w:val="22"/>
          <w:szCs w:val="22"/>
        </w:rPr>
      </w:pPr>
    </w:p>
    <w:p w14:paraId="7B7DEC1C" w14:textId="77777777" w:rsidR="00174CEF" w:rsidRPr="009D0264" w:rsidRDefault="0001360E">
      <w:pPr>
        <w:spacing w:line="360" w:lineRule="auto"/>
        <w:ind w:right="-93"/>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Al respecto, es de indicar que en el caso, la </w:t>
      </w:r>
      <w:r w:rsidRPr="009D0264">
        <w:rPr>
          <w:rFonts w:ascii="Palatino Linotype" w:eastAsia="Palatino Linotype" w:hAnsi="Palatino Linotype" w:cs="Palatino Linotype"/>
          <w:b/>
          <w:sz w:val="22"/>
          <w:szCs w:val="22"/>
        </w:rPr>
        <w:t xml:space="preserve">“Conciliación de obra pública”, </w:t>
      </w:r>
      <w:r w:rsidRPr="009D0264">
        <w:rPr>
          <w:rFonts w:ascii="Palatino Linotype" w:eastAsia="Palatino Linotype" w:hAnsi="Palatino Linotype" w:cs="Palatino Linotype"/>
          <w:sz w:val="22"/>
          <w:szCs w:val="22"/>
        </w:rPr>
        <w:t xml:space="preserve">resulta relevante pues dicho formato permite identificar si la inversión en obra pública que ejercen los Entes Públicos Municipales es coherente con los registros contables que integran de manera </w:t>
      </w:r>
      <w:r w:rsidRPr="009D0264">
        <w:rPr>
          <w:rFonts w:ascii="Palatino Linotype" w:eastAsia="Palatino Linotype" w:hAnsi="Palatino Linotype" w:cs="Palatino Linotype"/>
          <w:sz w:val="22"/>
          <w:szCs w:val="22"/>
        </w:rPr>
        <w:lastRenderedPageBreak/>
        <w:t>mensual en los Estados Financieros para desarrollar las actividades de fiscalización de manera eficaz y transparente; y es de elaboración mensual.</w:t>
      </w:r>
    </w:p>
    <w:p w14:paraId="28D7EF21" w14:textId="77777777" w:rsidR="00174CEF" w:rsidRPr="009D0264" w:rsidRDefault="00174CEF">
      <w:pPr>
        <w:spacing w:line="360" w:lineRule="auto"/>
        <w:ind w:right="-93"/>
        <w:jc w:val="both"/>
        <w:rPr>
          <w:rFonts w:ascii="Palatino Linotype" w:eastAsia="Palatino Linotype" w:hAnsi="Palatino Linotype" w:cs="Palatino Linotype"/>
          <w:sz w:val="22"/>
          <w:szCs w:val="22"/>
        </w:rPr>
      </w:pPr>
    </w:p>
    <w:p w14:paraId="7EFD8041" w14:textId="77777777" w:rsidR="00174CEF" w:rsidRPr="009D0264" w:rsidRDefault="0001360E">
      <w:pPr>
        <w:spacing w:line="360" w:lineRule="auto"/>
        <w:ind w:right="-93"/>
        <w:jc w:val="both"/>
        <w:rPr>
          <w:rFonts w:ascii="Palatino Linotype" w:eastAsia="Palatino Linotype" w:hAnsi="Palatino Linotype" w:cs="Palatino Linotype"/>
          <w:sz w:val="22"/>
          <w:szCs w:val="22"/>
          <w:u w:val="single"/>
        </w:rPr>
      </w:pPr>
      <w:r w:rsidRPr="009D0264">
        <w:rPr>
          <w:rFonts w:ascii="Palatino Linotype" w:eastAsia="Palatino Linotype" w:hAnsi="Palatino Linotype" w:cs="Palatino Linotype"/>
          <w:sz w:val="22"/>
          <w:szCs w:val="22"/>
        </w:rPr>
        <w:t xml:space="preserve">Lo anterior, pues de acuerdo a la información que obra en el </w:t>
      </w:r>
      <w:r w:rsidRPr="009D0264">
        <w:rPr>
          <w:rFonts w:ascii="Palatino Linotype" w:eastAsia="Palatino Linotype" w:hAnsi="Palatino Linotype" w:cs="Palatino Linotype"/>
          <w:b/>
          <w:sz w:val="22"/>
          <w:szCs w:val="22"/>
          <w:u w:val="single"/>
        </w:rPr>
        <w:t xml:space="preserve">Conciliación de obra pública, </w:t>
      </w:r>
      <w:r w:rsidRPr="009D0264">
        <w:rPr>
          <w:rFonts w:ascii="Palatino Linotype" w:eastAsia="Palatino Linotype" w:hAnsi="Palatino Linotype" w:cs="Palatino Linotype"/>
          <w:sz w:val="22"/>
          <w:szCs w:val="22"/>
        </w:rPr>
        <w:t>conforme el instructivo del Módulo 1 de los Lineamientos en mención, se advierte que dicho formato contiene datos como:</w:t>
      </w:r>
      <w:r w:rsidRPr="009D0264">
        <w:t xml:space="preserve"> </w:t>
      </w:r>
      <w:r w:rsidRPr="009D0264">
        <w:rPr>
          <w:rFonts w:ascii="Palatino Linotype" w:eastAsia="Palatino Linotype" w:hAnsi="Palatino Linotype" w:cs="Palatino Linotype"/>
          <w:b/>
          <w:sz w:val="22"/>
          <w:szCs w:val="22"/>
          <w:u w:val="single"/>
        </w:rPr>
        <w:t>el importe correspondiente al subtotal de las amortizaciones de anticipos aplicadas en las estimaciones de obra pública por contrato, así como el importe correspondiente al IVA de las amortizaciones de anticipos aplicadas en las estimaciones de obra pública por contrato</w:t>
      </w:r>
      <w:r w:rsidRPr="009D0264">
        <w:rPr>
          <w:rFonts w:ascii="Palatino Linotype" w:eastAsia="Palatino Linotype" w:hAnsi="Palatino Linotype" w:cs="Palatino Linotype"/>
          <w:sz w:val="22"/>
          <w:szCs w:val="22"/>
        </w:rPr>
        <w:t>; esto de cada obra ejecutada por el ente público, en el caso, el Ayuntamiento de Atizapán de Zaragoza.</w:t>
      </w:r>
    </w:p>
    <w:p w14:paraId="5E2E3173" w14:textId="77777777" w:rsidR="00174CEF" w:rsidRPr="009D0264" w:rsidRDefault="00174CEF">
      <w:pPr>
        <w:spacing w:line="360" w:lineRule="auto"/>
        <w:ind w:right="-93"/>
        <w:jc w:val="both"/>
        <w:rPr>
          <w:rFonts w:ascii="Palatino Linotype" w:eastAsia="Palatino Linotype" w:hAnsi="Palatino Linotype" w:cs="Palatino Linotype"/>
          <w:sz w:val="22"/>
          <w:szCs w:val="22"/>
        </w:rPr>
      </w:pPr>
    </w:p>
    <w:p w14:paraId="2D2C0216" w14:textId="77777777" w:rsidR="00174CEF" w:rsidRPr="009D0264" w:rsidRDefault="0001360E">
      <w:pPr>
        <w:spacing w:line="360" w:lineRule="auto"/>
        <w:ind w:right="-93"/>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Al efecto, sirve insertar el formato en versión PDF, </w:t>
      </w:r>
      <w:r w:rsidRPr="009D0264">
        <w:rPr>
          <w:rFonts w:ascii="Palatino Linotype" w:eastAsia="Palatino Linotype" w:hAnsi="Palatino Linotype" w:cs="Palatino Linotype"/>
          <w:b/>
          <w:sz w:val="22"/>
          <w:szCs w:val="22"/>
        </w:rPr>
        <w:t>de la conciliación de obra pública que es el documento en el que obra la información a la que pretende acceder el particular</w:t>
      </w:r>
      <w:r w:rsidRPr="009D0264">
        <w:rPr>
          <w:rFonts w:ascii="Palatino Linotype" w:eastAsia="Palatino Linotype" w:hAnsi="Palatino Linotype" w:cs="Palatino Linotype"/>
          <w:sz w:val="22"/>
          <w:szCs w:val="22"/>
        </w:rPr>
        <w:t>:</w:t>
      </w:r>
    </w:p>
    <w:p w14:paraId="0C58E2C2" w14:textId="77777777" w:rsidR="00174CEF" w:rsidRPr="009D0264" w:rsidRDefault="0001360E">
      <w:pPr>
        <w:spacing w:line="360" w:lineRule="auto"/>
        <w:ind w:right="-93"/>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noProof/>
          <w:sz w:val="22"/>
          <w:szCs w:val="22"/>
        </w:rPr>
        <w:drawing>
          <wp:inline distT="0" distB="0" distL="0" distR="0" wp14:anchorId="5AB905B1" wp14:editId="071C320B">
            <wp:extent cx="5625782" cy="3195455"/>
            <wp:effectExtent l="6350" t="6350" r="6350" b="6350"/>
            <wp:docPr id="14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625782" cy="3195455"/>
                    </a:xfrm>
                    <a:prstGeom prst="rect">
                      <a:avLst/>
                    </a:prstGeom>
                    <a:ln w="6350">
                      <a:solidFill>
                        <a:srgbClr val="000000"/>
                      </a:solidFill>
                      <a:prstDash val="solid"/>
                    </a:ln>
                  </pic:spPr>
                </pic:pic>
              </a:graphicData>
            </a:graphic>
          </wp:inline>
        </w:drawing>
      </w:r>
    </w:p>
    <w:p w14:paraId="48FFDB02" w14:textId="77777777" w:rsidR="00174CEF" w:rsidRPr="009D0264" w:rsidRDefault="0001360E">
      <w:pPr>
        <w:spacing w:line="360" w:lineRule="auto"/>
        <w:ind w:right="-93"/>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noProof/>
          <w:sz w:val="22"/>
          <w:szCs w:val="22"/>
        </w:rPr>
        <w:lastRenderedPageBreak/>
        <w:drawing>
          <wp:inline distT="0" distB="0" distL="0" distR="0" wp14:anchorId="5FB88232" wp14:editId="4467ACD4">
            <wp:extent cx="5574540" cy="3714929"/>
            <wp:effectExtent l="3175" t="3175" r="3175" b="3175"/>
            <wp:docPr id="1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574540" cy="3714929"/>
                    </a:xfrm>
                    <a:prstGeom prst="rect">
                      <a:avLst/>
                    </a:prstGeom>
                    <a:ln w="3175">
                      <a:solidFill>
                        <a:srgbClr val="000000"/>
                      </a:solidFill>
                      <a:prstDash val="solid"/>
                    </a:ln>
                  </pic:spPr>
                </pic:pic>
              </a:graphicData>
            </a:graphic>
          </wp:inline>
        </w:drawing>
      </w:r>
    </w:p>
    <w:p w14:paraId="1A81ADDA" w14:textId="77777777" w:rsidR="00174CEF" w:rsidRPr="009D0264" w:rsidRDefault="0001360E">
      <w:pPr>
        <w:spacing w:line="360" w:lineRule="auto"/>
        <w:ind w:right="-93"/>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noProof/>
          <w:sz w:val="22"/>
          <w:szCs w:val="22"/>
        </w:rPr>
        <w:drawing>
          <wp:inline distT="0" distB="0" distL="0" distR="0" wp14:anchorId="585E13BC" wp14:editId="2C280185">
            <wp:extent cx="5641999" cy="3115485"/>
            <wp:effectExtent l="3175" t="3175" r="3175" b="3175"/>
            <wp:docPr id="1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641999" cy="3115485"/>
                    </a:xfrm>
                    <a:prstGeom prst="rect">
                      <a:avLst/>
                    </a:prstGeom>
                    <a:ln w="3175">
                      <a:solidFill>
                        <a:srgbClr val="000000"/>
                      </a:solidFill>
                      <a:prstDash val="solid"/>
                    </a:ln>
                  </pic:spPr>
                </pic:pic>
              </a:graphicData>
            </a:graphic>
          </wp:inline>
        </w:drawing>
      </w:r>
    </w:p>
    <w:p w14:paraId="7BF73AAA" w14:textId="77777777" w:rsidR="00174CEF" w:rsidRPr="009D0264" w:rsidRDefault="0001360E">
      <w:pPr>
        <w:spacing w:line="360" w:lineRule="auto"/>
        <w:ind w:right="-93"/>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noProof/>
          <w:sz w:val="22"/>
          <w:szCs w:val="22"/>
        </w:rPr>
        <w:lastRenderedPageBreak/>
        <w:drawing>
          <wp:inline distT="0" distB="0" distL="0" distR="0" wp14:anchorId="15CF0637" wp14:editId="422E169D">
            <wp:extent cx="5626753" cy="3434514"/>
            <wp:effectExtent l="3175" t="3175" r="3175" b="3175"/>
            <wp:docPr id="1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626753" cy="3434514"/>
                    </a:xfrm>
                    <a:prstGeom prst="rect">
                      <a:avLst/>
                    </a:prstGeom>
                    <a:ln w="3175">
                      <a:solidFill>
                        <a:srgbClr val="000000"/>
                      </a:solidFill>
                      <a:prstDash val="solid"/>
                    </a:ln>
                  </pic:spPr>
                </pic:pic>
              </a:graphicData>
            </a:graphic>
          </wp:inline>
        </w:drawing>
      </w:r>
      <w:r w:rsidRPr="009D0264">
        <w:rPr>
          <w:noProof/>
        </w:rPr>
        <mc:AlternateContent>
          <mc:Choice Requires="wpg">
            <w:drawing>
              <wp:anchor distT="0" distB="0" distL="114300" distR="114300" simplePos="0" relativeHeight="251658240" behindDoc="0" locked="0" layoutInCell="1" hidden="0" allowOverlap="1" wp14:anchorId="7D266C6F" wp14:editId="461AD1A4">
                <wp:simplePos x="0" y="0"/>
                <wp:positionH relativeFrom="column">
                  <wp:posOffset>12701</wp:posOffset>
                </wp:positionH>
                <wp:positionV relativeFrom="paragraph">
                  <wp:posOffset>0</wp:posOffset>
                </wp:positionV>
                <wp:extent cx="5648277" cy="660021"/>
                <wp:effectExtent l="0" t="0" r="0" b="0"/>
                <wp:wrapNone/>
                <wp:docPr id="134" name="Rectángulo 134"/>
                <wp:cNvGraphicFramePr/>
                <a:graphic xmlns:a="http://schemas.openxmlformats.org/drawingml/2006/main">
                  <a:graphicData uri="http://schemas.microsoft.com/office/word/2010/wordprocessingShape">
                    <wps:wsp>
                      <wps:cNvSpPr/>
                      <wps:spPr>
                        <a:xfrm>
                          <a:off x="2534562" y="3462690"/>
                          <a:ext cx="5622877" cy="634621"/>
                        </a:xfrm>
                        <a:prstGeom prst="rect">
                          <a:avLst/>
                        </a:prstGeom>
                        <a:noFill/>
                        <a:ln w="25400" cap="flat" cmpd="sng">
                          <a:solidFill>
                            <a:schemeClr val="accent2"/>
                          </a:solidFill>
                          <a:prstDash val="solid"/>
                          <a:round/>
                          <a:headEnd type="none" w="sm" len="sm"/>
                          <a:tailEnd type="none" w="sm" len="sm"/>
                        </a:ln>
                      </wps:spPr>
                      <wps:txbx>
                        <w:txbxContent>
                          <w:p w14:paraId="65B40FB3" w14:textId="77777777" w:rsidR="00174CEF" w:rsidRDefault="00174CE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5648277" cy="660021"/>
                <wp:effectExtent b="0" l="0" r="0" t="0"/>
                <wp:wrapNone/>
                <wp:docPr id="134" name="image13.png"/>
                <a:graphic>
                  <a:graphicData uri="http://schemas.openxmlformats.org/drawingml/2006/picture">
                    <pic:pic>
                      <pic:nvPicPr>
                        <pic:cNvPr id="0" name="image13.png"/>
                        <pic:cNvPicPr preferRelativeResize="0"/>
                      </pic:nvPicPr>
                      <pic:blipFill>
                        <a:blip r:embed="rId18"/>
                        <a:srcRect/>
                        <a:stretch>
                          <a:fillRect/>
                        </a:stretch>
                      </pic:blipFill>
                      <pic:spPr>
                        <a:xfrm>
                          <a:off x="0" y="0"/>
                          <a:ext cx="5648277" cy="660021"/>
                        </a:xfrm>
                        <a:prstGeom prst="rect"/>
                        <a:ln/>
                      </pic:spPr>
                    </pic:pic>
                  </a:graphicData>
                </a:graphic>
              </wp:anchor>
            </w:drawing>
          </mc:Fallback>
        </mc:AlternateContent>
      </w:r>
    </w:p>
    <w:p w14:paraId="56928DFB" w14:textId="77777777" w:rsidR="00174CEF" w:rsidRPr="009D0264" w:rsidRDefault="00174CEF">
      <w:pPr>
        <w:spacing w:line="360" w:lineRule="auto"/>
        <w:ind w:right="-93"/>
        <w:jc w:val="both"/>
        <w:rPr>
          <w:rFonts w:ascii="Palatino Linotype" w:eastAsia="Palatino Linotype" w:hAnsi="Palatino Linotype" w:cs="Palatino Linotype"/>
          <w:sz w:val="22"/>
          <w:szCs w:val="22"/>
        </w:rPr>
      </w:pPr>
    </w:p>
    <w:p w14:paraId="4F5DCAB2" w14:textId="77777777" w:rsidR="00174CEF" w:rsidRPr="009D0264" w:rsidRDefault="0001360E">
      <w:pPr>
        <w:spacing w:line="360" w:lineRule="auto"/>
        <w:ind w:right="-93"/>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Ahora, no pasa por inadvertido que el particular en su solicitud de información hizo referencia a que requería la evidencia documental de las amortizaciones realizadas en la cuenta 6000 “Inversión Pública” del ejercicio 2022; al respecto, dicha cuenta corresponde a un capítulo de gasto a través del cual se asigna el presupuesto de egresos.</w:t>
      </w:r>
    </w:p>
    <w:p w14:paraId="5C35F9CF" w14:textId="77777777" w:rsidR="00174CEF" w:rsidRPr="009D0264" w:rsidRDefault="00174CEF">
      <w:pPr>
        <w:spacing w:line="360" w:lineRule="auto"/>
        <w:ind w:right="-93"/>
        <w:jc w:val="both"/>
        <w:rPr>
          <w:rFonts w:ascii="Palatino Linotype" w:eastAsia="Palatino Linotype" w:hAnsi="Palatino Linotype" w:cs="Palatino Linotype"/>
          <w:sz w:val="22"/>
          <w:szCs w:val="22"/>
        </w:rPr>
      </w:pPr>
    </w:p>
    <w:p w14:paraId="1DBD70AA" w14:textId="77777777" w:rsidR="00174CEF" w:rsidRPr="009D0264" w:rsidRDefault="0001360E">
      <w:pPr>
        <w:spacing w:line="360" w:lineRule="auto"/>
        <w:ind w:right="-93"/>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Lo anterior, pues conforme el Manual para la Planeación, Programación y Presupuesto de Egresos Municipal para el ejercicio fiscal 2024, el Capítulo del Gasto 6000 “Inversión Pública” se refiere a las asignaciones destinadas a obras por contrato y proyectos productivos y acciones de fomento, que incluye los gastos en estudios de pre‐inversión y preparación del proyecto; cuyos subcapítulos se refieren a edificaciones (habitacional, no habitacional) u obras estatales o municipales, a saber:</w:t>
      </w:r>
    </w:p>
    <w:p w14:paraId="0797E3E8" w14:textId="77777777" w:rsidR="00174CEF" w:rsidRPr="009D0264" w:rsidRDefault="0001360E">
      <w:pPr>
        <w:spacing w:line="360" w:lineRule="auto"/>
        <w:ind w:right="-93"/>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noProof/>
          <w:sz w:val="22"/>
          <w:szCs w:val="22"/>
        </w:rPr>
        <w:lastRenderedPageBreak/>
        <w:drawing>
          <wp:inline distT="0" distB="0" distL="0" distR="0" wp14:anchorId="0DE9490A" wp14:editId="49A3AA8C">
            <wp:extent cx="5608955" cy="4721860"/>
            <wp:effectExtent l="3175" t="3175" r="3175" b="3175"/>
            <wp:docPr id="1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608955" cy="4721860"/>
                    </a:xfrm>
                    <a:prstGeom prst="rect">
                      <a:avLst/>
                    </a:prstGeom>
                    <a:ln w="3175">
                      <a:solidFill>
                        <a:srgbClr val="000000"/>
                      </a:solidFill>
                      <a:prstDash val="solid"/>
                    </a:ln>
                  </pic:spPr>
                </pic:pic>
              </a:graphicData>
            </a:graphic>
          </wp:inline>
        </w:drawing>
      </w:r>
    </w:p>
    <w:p w14:paraId="690EECF5" w14:textId="77777777" w:rsidR="00174CEF" w:rsidRPr="009D0264" w:rsidRDefault="00174CEF">
      <w:pPr>
        <w:spacing w:line="360" w:lineRule="auto"/>
        <w:ind w:right="-93"/>
        <w:jc w:val="both"/>
        <w:rPr>
          <w:rFonts w:ascii="Palatino Linotype" w:eastAsia="Palatino Linotype" w:hAnsi="Palatino Linotype" w:cs="Palatino Linotype"/>
          <w:sz w:val="22"/>
          <w:szCs w:val="22"/>
        </w:rPr>
      </w:pPr>
    </w:p>
    <w:p w14:paraId="7CA55D40" w14:textId="77777777" w:rsidR="00174CEF" w:rsidRPr="009D0264" w:rsidRDefault="0001360E">
      <w:pPr>
        <w:spacing w:line="360" w:lineRule="auto"/>
        <w:ind w:right="-93"/>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De esta manera, si bien el particular hace referencia al capítulo de gasto de mérito, ello se debe a que de dicho capítulo del gasto previsto en el presupuesto de egresos para el ejercicio correspondiente del Ayuntamiento de Atizapán de Zaragoza se aplica para la contratación de obra pública; por lo que, atendiendo la materia de la revisión se advierte que de dicho capitulo proviene de manera enunciativa el presupuesto que se asigna a las obras públicas y por ende el pago de anticipos a los contratistas.</w:t>
      </w:r>
    </w:p>
    <w:p w14:paraId="6EF74FD1" w14:textId="77777777" w:rsidR="00174CEF" w:rsidRPr="009D0264" w:rsidRDefault="00174CEF">
      <w:pPr>
        <w:spacing w:line="360" w:lineRule="auto"/>
        <w:ind w:right="-93"/>
        <w:jc w:val="both"/>
        <w:rPr>
          <w:rFonts w:ascii="Palatino Linotype" w:eastAsia="Palatino Linotype" w:hAnsi="Palatino Linotype" w:cs="Palatino Linotype"/>
          <w:sz w:val="22"/>
          <w:szCs w:val="22"/>
        </w:rPr>
      </w:pPr>
    </w:p>
    <w:p w14:paraId="20BDF09A" w14:textId="77777777" w:rsidR="00174CEF" w:rsidRPr="009D0264" w:rsidRDefault="0001360E">
      <w:pPr>
        <w:spacing w:line="360" w:lineRule="auto"/>
        <w:ind w:right="-7"/>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lastRenderedPageBreak/>
        <w:t>Acotado lo anterior, ahora por cuanto hace al ámbito competencial del Sujeto Obligado para conocer de la información requerida, como se advirtió del formato inserto relativo a la conciliación de obra pública, las áreas encargadas de su llenado son la Tesorería Municipal y la Dirección de Obras Públicas; áreas que conforme las constancias que obran en el SAIMEX con motivo del medio de impugnación que nos ocupa fueron las que se pronunciaron sobre la información requerida.</w:t>
      </w:r>
    </w:p>
    <w:p w14:paraId="31C3F82C" w14:textId="77777777" w:rsidR="00174CEF" w:rsidRPr="009D0264" w:rsidRDefault="00174CEF">
      <w:pPr>
        <w:spacing w:line="360" w:lineRule="auto"/>
        <w:ind w:right="-7"/>
        <w:jc w:val="both"/>
        <w:rPr>
          <w:rFonts w:ascii="Palatino Linotype" w:eastAsia="Palatino Linotype" w:hAnsi="Palatino Linotype" w:cs="Palatino Linotype"/>
          <w:sz w:val="22"/>
          <w:szCs w:val="22"/>
        </w:rPr>
      </w:pPr>
    </w:p>
    <w:p w14:paraId="46147A9D" w14:textId="77777777" w:rsidR="00174CEF" w:rsidRPr="009D0264" w:rsidRDefault="0001360E">
      <w:pPr>
        <w:spacing w:line="360" w:lineRule="auto"/>
        <w:ind w:right="141"/>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De lo anterior, se desprende que la Titular de la Unidad de Transparencia dio cumplimiento con el requisito de turnar la solicitud de información a las unidades administrativas que conforme sus atribuciones pueden contar con la información requerida.</w:t>
      </w:r>
    </w:p>
    <w:p w14:paraId="1AB0AF94" w14:textId="77777777" w:rsidR="00174CEF" w:rsidRPr="009D0264" w:rsidRDefault="00174CEF">
      <w:pPr>
        <w:spacing w:line="360" w:lineRule="auto"/>
        <w:ind w:right="141"/>
        <w:jc w:val="both"/>
        <w:rPr>
          <w:rFonts w:ascii="Palatino Linotype" w:eastAsia="Palatino Linotype" w:hAnsi="Palatino Linotype" w:cs="Palatino Linotype"/>
          <w:sz w:val="22"/>
          <w:szCs w:val="22"/>
        </w:rPr>
      </w:pPr>
    </w:p>
    <w:p w14:paraId="074C92BE" w14:textId="77777777" w:rsidR="00174CEF" w:rsidRPr="009D0264" w:rsidRDefault="0001360E">
      <w:pPr>
        <w:widowControl w:val="0"/>
        <w:tabs>
          <w:tab w:val="left" w:pos="1701"/>
          <w:tab w:val="left" w:pos="1843"/>
        </w:tabs>
        <w:spacing w:line="360" w:lineRule="auto"/>
        <w:ind w:right="49"/>
        <w:jc w:val="both"/>
        <w:rPr>
          <w:sz w:val="22"/>
          <w:szCs w:val="22"/>
        </w:rPr>
      </w:pPr>
      <w:r w:rsidRPr="009D0264">
        <w:rPr>
          <w:rFonts w:ascii="Palatino Linotype" w:eastAsia="Palatino Linotype" w:hAnsi="Palatino Linotype" w:cs="Palatino Linotype"/>
          <w:sz w:val="22"/>
          <w:szCs w:val="22"/>
        </w:rPr>
        <w:t>Al efecto, el  procedimiento para la atención a las solicitudes de acceso a la información, establecido en los artículos 151, 159, 160, 162, 163, 164, 165 y 166, de la Ley de Transparencia y Acceso a la Información Pública del Estado de México y Municipios, es el siguiente:</w:t>
      </w:r>
    </w:p>
    <w:p w14:paraId="1FA62B90" w14:textId="77777777" w:rsidR="00174CEF" w:rsidRPr="009D0264" w:rsidRDefault="00174CEF">
      <w:pPr>
        <w:spacing w:line="360" w:lineRule="auto"/>
        <w:rPr>
          <w:sz w:val="22"/>
          <w:szCs w:val="22"/>
        </w:rPr>
      </w:pPr>
    </w:p>
    <w:p w14:paraId="44E1F10E" w14:textId="77777777" w:rsidR="00174CEF" w:rsidRPr="009D0264" w:rsidRDefault="0001360E">
      <w:pPr>
        <w:numPr>
          <w:ilvl w:val="0"/>
          <w:numId w:val="9"/>
        </w:numPr>
        <w:spacing w:line="276"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2AE97357" w14:textId="77777777" w:rsidR="00174CEF" w:rsidRPr="009D0264" w:rsidRDefault="00174CEF">
      <w:pPr>
        <w:spacing w:line="276" w:lineRule="auto"/>
        <w:ind w:left="360"/>
        <w:jc w:val="both"/>
        <w:rPr>
          <w:rFonts w:ascii="Palatino Linotype" w:eastAsia="Palatino Linotype" w:hAnsi="Palatino Linotype" w:cs="Palatino Linotype"/>
          <w:sz w:val="22"/>
          <w:szCs w:val="22"/>
        </w:rPr>
      </w:pPr>
    </w:p>
    <w:p w14:paraId="58FA8E7F" w14:textId="77777777" w:rsidR="00174CEF" w:rsidRPr="009D0264" w:rsidRDefault="0001360E">
      <w:pPr>
        <w:numPr>
          <w:ilvl w:val="0"/>
          <w:numId w:val="9"/>
        </w:numPr>
        <w:spacing w:line="276"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1F397954" w14:textId="77777777" w:rsidR="00174CEF" w:rsidRPr="009D0264" w:rsidRDefault="00174CEF">
      <w:pPr>
        <w:spacing w:line="276" w:lineRule="auto"/>
        <w:ind w:left="720"/>
        <w:rPr>
          <w:rFonts w:ascii="Palatino Linotype" w:eastAsia="Palatino Linotype" w:hAnsi="Palatino Linotype" w:cs="Palatino Linotype"/>
          <w:sz w:val="22"/>
          <w:szCs w:val="22"/>
        </w:rPr>
      </w:pPr>
    </w:p>
    <w:p w14:paraId="7AF04129" w14:textId="77777777" w:rsidR="00174CEF" w:rsidRPr="009D0264" w:rsidRDefault="0001360E">
      <w:pPr>
        <w:numPr>
          <w:ilvl w:val="0"/>
          <w:numId w:val="9"/>
        </w:numPr>
        <w:spacing w:line="276"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lastRenderedPageBreak/>
        <w:t xml:space="preserve">Las respuestas a los requerimientos informativos deberán notificarse al interesado en el menor tiempo posible, que no podrá exceder </w:t>
      </w:r>
      <w:r w:rsidRPr="009D0264">
        <w:rPr>
          <w:rFonts w:ascii="Palatino Linotype" w:eastAsia="Palatino Linotype" w:hAnsi="Palatino Linotype" w:cs="Palatino Linotype"/>
          <w:b/>
          <w:sz w:val="22"/>
          <w:szCs w:val="22"/>
        </w:rPr>
        <w:t>quince días, contados a partir del día siguiente a la presentación de ésta.</w:t>
      </w:r>
      <w:r w:rsidRPr="009D0264">
        <w:rPr>
          <w:rFonts w:ascii="Palatino Linotype" w:eastAsia="Palatino Linotype" w:hAnsi="Palatino Linotype" w:cs="Palatino Linotype"/>
          <w:sz w:val="22"/>
          <w:szCs w:val="22"/>
        </w:rPr>
        <w:t xml:space="preserve"> Excepcionalmente, el plazo referido podrá ampliarse por siete días hábiles más, cuando existan razones fundadas y motivadas, a través del Comité de Transparencia;</w:t>
      </w:r>
    </w:p>
    <w:p w14:paraId="6E00C431" w14:textId="77777777" w:rsidR="00174CEF" w:rsidRPr="009D0264" w:rsidRDefault="00174CEF">
      <w:pPr>
        <w:spacing w:line="276" w:lineRule="auto"/>
        <w:ind w:left="720"/>
        <w:rPr>
          <w:rFonts w:ascii="Palatino Linotype" w:eastAsia="Palatino Linotype" w:hAnsi="Palatino Linotype" w:cs="Palatino Linotype"/>
          <w:sz w:val="22"/>
          <w:szCs w:val="22"/>
        </w:rPr>
      </w:pPr>
    </w:p>
    <w:p w14:paraId="2E738736" w14:textId="77777777" w:rsidR="00174CEF" w:rsidRPr="009D0264" w:rsidRDefault="0001360E">
      <w:pPr>
        <w:numPr>
          <w:ilvl w:val="0"/>
          <w:numId w:val="9"/>
        </w:numPr>
        <w:spacing w:line="276" w:lineRule="auto"/>
        <w:jc w:val="both"/>
        <w:rPr>
          <w:rFonts w:ascii="Palatino Linotype" w:eastAsia="Palatino Linotype" w:hAnsi="Palatino Linotype" w:cs="Palatino Linotype"/>
          <w:b/>
          <w:sz w:val="22"/>
          <w:szCs w:val="22"/>
          <w:u w:val="single"/>
        </w:rPr>
      </w:pPr>
      <w:r w:rsidRPr="009D0264">
        <w:rPr>
          <w:rFonts w:ascii="Palatino Linotype" w:eastAsia="Palatino Linotype" w:hAnsi="Palatino Linotype" w:cs="Palatino Linotype"/>
          <w:b/>
          <w:sz w:val="22"/>
          <w:szCs w:val="22"/>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2116DC64" w14:textId="77777777" w:rsidR="00174CEF" w:rsidRPr="009D0264" w:rsidRDefault="00174CEF">
      <w:pPr>
        <w:spacing w:line="276" w:lineRule="auto"/>
        <w:ind w:left="720"/>
        <w:rPr>
          <w:rFonts w:ascii="Palatino Linotype" w:eastAsia="Palatino Linotype" w:hAnsi="Palatino Linotype" w:cs="Palatino Linotype"/>
          <w:b/>
          <w:sz w:val="22"/>
          <w:szCs w:val="22"/>
          <w:u w:val="single"/>
        </w:rPr>
      </w:pPr>
    </w:p>
    <w:p w14:paraId="05119D88" w14:textId="77777777" w:rsidR="00174CEF" w:rsidRPr="009D0264" w:rsidRDefault="0001360E">
      <w:pPr>
        <w:numPr>
          <w:ilvl w:val="0"/>
          <w:numId w:val="9"/>
        </w:numPr>
        <w:spacing w:line="276" w:lineRule="auto"/>
        <w:jc w:val="both"/>
        <w:rPr>
          <w:rFonts w:ascii="Palatino Linotype" w:eastAsia="Palatino Linotype" w:hAnsi="Palatino Linotype" w:cs="Palatino Linotype"/>
          <w:b/>
          <w:sz w:val="22"/>
          <w:szCs w:val="22"/>
        </w:rPr>
      </w:pPr>
      <w:r w:rsidRPr="009D0264">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0FD51C89" w14:textId="77777777" w:rsidR="00174CEF" w:rsidRPr="009D0264" w:rsidRDefault="00174CEF">
      <w:pPr>
        <w:spacing w:line="276" w:lineRule="auto"/>
        <w:ind w:left="360"/>
        <w:jc w:val="both"/>
        <w:rPr>
          <w:rFonts w:ascii="Palatino Linotype" w:eastAsia="Palatino Linotype" w:hAnsi="Palatino Linotype" w:cs="Palatino Linotype"/>
          <w:b/>
          <w:sz w:val="22"/>
          <w:szCs w:val="22"/>
        </w:rPr>
      </w:pPr>
    </w:p>
    <w:p w14:paraId="7DB47B19" w14:textId="77777777" w:rsidR="00174CEF" w:rsidRPr="009D0264" w:rsidRDefault="0001360E">
      <w:pPr>
        <w:numPr>
          <w:ilvl w:val="0"/>
          <w:numId w:val="9"/>
        </w:numPr>
        <w:spacing w:line="276" w:lineRule="auto"/>
        <w:jc w:val="both"/>
        <w:rPr>
          <w:rFonts w:ascii="Palatino Linotype" w:eastAsia="Palatino Linotype" w:hAnsi="Palatino Linotype" w:cs="Palatino Linotype"/>
          <w:b/>
          <w:sz w:val="22"/>
          <w:szCs w:val="22"/>
        </w:rPr>
      </w:pPr>
      <w:r w:rsidRPr="009D0264">
        <w:rPr>
          <w:rFonts w:ascii="Palatino Linotype" w:eastAsia="Palatino Linotype" w:hAnsi="Palatino Linotype" w:cs="Palatino Linotype"/>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0FE36B4A" w14:textId="77777777" w:rsidR="00174CEF" w:rsidRPr="009D0264" w:rsidRDefault="00174CEF">
      <w:pPr>
        <w:spacing w:line="360" w:lineRule="auto"/>
        <w:rPr>
          <w:sz w:val="22"/>
          <w:szCs w:val="22"/>
        </w:rPr>
      </w:pPr>
    </w:p>
    <w:p w14:paraId="2297BD71" w14:textId="77777777" w:rsidR="00174CEF" w:rsidRPr="009D0264" w:rsidRDefault="0001360E">
      <w:pPr>
        <w:spacing w:line="360" w:lineRule="auto"/>
        <w:ind w:right="49"/>
        <w:jc w:val="both"/>
        <w:rPr>
          <w:rFonts w:ascii="Palatino Linotype" w:eastAsia="Palatino Linotype" w:hAnsi="Palatino Linotype" w:cs="Palatino Linotype"/>
          <w:b/>
          <w:sz w:val="22"/>
          <w:szCs w:val="22"/>
          <w:u w:val="single"/>
        </w:rPr>
      </w:pPr>
      <w:r w:rsidRPr="009D0264">
        <w:rPr>
          <w:rFonts w:ascii="Palatino Linotype" w:eastAsia="Palatino Linotype" w:hAnsi="Palatino Linotype" w:cs="Palatino Linotype"/>
          <w:sz w:val="22"/>
          <w:szCs w:val="22"/>
        </w:rPr>
        <w:t xml:space="preserve">En ese sentido, se tiene que, </w:t>
      </w:r>
      <w:r w:rsidRPr="009D0264">
        <w:rPr>
          <w:rFonts w:ascii="Palatino Linotype" w:eastAsia="Palatino Linotype" w:hAnsi="Palatino Linotype" w:cs="Palatino Linotype"/>
          <w:b/>
          <w:sz w:val="22"/>
          <w:szCs w:val="22"/>
          <w:u w:val="single"/>
        </w:rPr>
        <w:t>el procedimiento de búsqueda de la información se tiene por atendido.</w:t>
      </w:r>
    </w:p>
    <w:p w14:paraId="324B5D6F" w14:textId="77777777" w:rsidR="00174CEF" w:rsidRPr="009D0264" w:rsidRDefault="00174CEF">
      <w:pPr>
        <w:spacing w:line="360" w:lineRule="auto"/>
        <w:ind w:right="49"/>
        <w:jc w:val="both"/>
        <w:rPr>
          <w:rFonts w:ascii="Palatino Linotype" w:eastAsia="Palatino Linotype" w:hAnsi="Palatino Linotype" w:cs="Palatino Linotype"/>
          <w:b/>
          <w:sz w:val="22"/>
          <w:szCs w:val="22"/>
          <w:u w:val="single"/>
        </w:rPr>
      </w:pPr>
    </w:p>
    <w:p w14:paraId="104C4CCF" w14:textId="77777777" w:rsidR="00174CEF" w:rsidRPr="009D0264" w:rsidRDefault="0001360E">
      <w:pPr>
        <w:spacing w:line="360" w:lineRule="auto"/>
        <w:ind w:right="-7"/>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No obstante, si bien en el caso se pronunciaron las unidades administrativas competentes, no se puede tener por colmado el derecho de acceso a la información pública del particular, en virtud de que, resulta incongruente que la Dirección General de Obras Públicas reserve </w:t>
      </w:r>
      <w:r w:rsidRPr="009D0264">
        <w:rPr>
          <w:rFonts w:ascii="Palatino Linotype" w:eastAsia="Palatino Linotype" w:hAnsi="Palatino Linotype" w:cs="Palatino Linotype"/>
          <w:sz w:val="22"/>
          <w:szCs w:val="22"/>
        </w:rPr>
        <w:lastRenderedPageBreak/>
        <w:t xml:space="preserve">la información requerida (la cual quedó desvirtuada en el apartado anterior) y la Tesorería Municipal pretenda hacer entrega de la misma. </w:t>
      </w:r>
    </w:p>
    <w:p w14:paraId="5A2B60BD" w14:textId="77777777" w:rsidR="00174CEF" w:rsidRPr="009D0264" w:rsidRDefault="00174CEF">
      <w:pPr>
        <w:spacing w:line="360" w:lineRule="auto"/>
        <w:ind w:right="-7"/>
        <w:jc w:val="both"/>
        <w:rPr>
          <w:rFonts w:ascii="Palatino Linotype" w:eastAsia="Palatino Linotype" w:hAnsi="Palatino Linotype" w:cs="Palatino Linotype"/>
          <w:sz w:val="22"/>
          <w:szCs w:val="22"/>
        </w:rPr>
      </w:pPr>
    </w:p>
    <w:p w14:paraId="4D2B0DB3" w14:textId="77777777" w:rsidR="00174CEF" w:rsidRPr="009D0264" w:rsidRDefault="0001360E">
      <w:pPr>
        <w:spacing w:line="360" w:lineRule="auto"/>
        <w:ind w:right="-7"/>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Máxime que en el caso, retomando la información proporcionada por la Tesorería Municipal vía informe justificado, se advierte que esta no colma el requerimiento de información por las siguientes consideraciones:</w:t>
      </w:r>
    </w:p>
    <w:p w14:paraId="07B95A1B" w14:textId="77777777" w:rsidR="00174CEF" w:rsidRPr="009D0264" w:rsidRDefault="00174CEF">
      <w:pPr>
        <w:spacing w:line="360" w:lineRule="auto"/>
        <w:ind w:right="-7"/>
        <w:jc w:val="both"/>
        <w:rPr>
          <w:rFonts w:ascii="Palatino Linotype" w:eastAsia="Palatino Linotype" w:hAnsi="Palatino Linotype" w:cs="Palatino Linotype"/>
          <w:sz w:val="22"/>
          <w:szCs w:val="22"/>
        </w:rPr>
      </w:pPr>
    </w:p>
    <w:p w14:paraId="6CC27B9F" w14:textId="77777777" w:rsidR="00174CEF" w:rsidRPr="009D0264" w:rsidRDefault="0001360E">
      <w:pPr>
        <w:spacing w:line="360" w:lineRule="auto"/>
        <w:ind w:right="-7"/>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En primer lugar, porque si bien la Tesorería Municipal asumió que cuenta con la información, tan es así que hizo entrega de las ligas electrónicas en formato cerrado, que a su decir remiten a la información solicitada por el particular. </w:t>
      </w:r>
    </w:p>
    <w:p w14:paraId="7C0D7D57" w14:textId="77777777" w:rsidR="00174CEF" w:rsidRPr="009D0264" w:rsidRDefault="00174CEF">
      <w:pPr>
        <w:spacing w:line="360" w:lineRule="auto"/>
        <w:ind w:right="-7"/>
        <w:jc w:val="both"/>
        <w:rPr>
          <w:rFonts w:ascii="Palatino Linotype" w:eastAsia="Palatino Linotype" w:hAnsi="Palatino Linotype" w:cs="Palatino Linotype"/>
          <w:sz w:val="22"/>
          <w:szCs w:val="22"/>
        </w:rPr>
      </w:pPr>
    </w:p>
    <w:p w14:paraId="2C8E791A"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Respecto a ello, este Organismo Garante considera que dichos enlaces no pueden tenerse por válidos, toda vez que los enlaces electrónicos deben ser precisos y directos, del caso concreto al corresponder a un documento PDF en formato de imagen no editable, pierde su característica de ser </w:t>
      </w:r>
      <w:r w:rsidRPr="009D0264">
        <w:rPr>
          <w:rFonts w:ascii="Palatino Linotype" w:eastAsia="Palatino Linotype" w:hAnsi="Palatino Linotype" w:cs="Palatino Linotype"/>
          <w:b/>
          <w:sz w:val="22"/>
          <w:szCs w:val="22"/>
        </w:rPr>
        <w:t>directo</w:t>
      </w:r>
      <w:r w:rsidRPr="009D0264">
        <w:rPr>
          <w:rFonts w:ascii="Palatino Linotype" w:eastAsia="Palatino Linotype" w:hAnsi="Palatino Linotype" w:cs="Palatino Linotype"/>
          <w:sz w:val="22"/>
          <w:szCs w:val="22"/>
        </w:rPr>
        <w:t>.</w:t>
      </w:r>
    </w:p>
    <w:p w14:paraId="70C8B614"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5EFE2316"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Asimismo, al ser extensos los números de caracteres que conforman los enlaces, por corresponder no sólo al URL sino que además está conformada por una </w:t>
      </w:r>
      <w:r w:rsidRPr="009D0264">
        <w:rPr>
          <w:rFonts w:ascii="Palatino Linotype" w:eastAsia="Palatino Linotype" w:hAnsi="Palatino Linotype" w:cs="Palatino Linotype"/>
          <w:b/>
          <w:sz w:val="22"/>
          <w:szCs w:val="22"/>
        </w:rPr>
        <w:t>cadena de encriptación</w:t>
      </w:r>
      <w:r w:rsidRPr="009D0264">
        <w:rPr>
          <w:rFonts w:ascii="Palatino Linotype" w:eastAsia="Palatino Linotype" w:hAnsi="Palatino Linotype" w:cs="Palatino Linotype"/>
          <w:sz w:val="22"/>
          <w:szCs w:val="22"/>
        </w:rPr>
        <w:t xml:space="preserve">, la cual corresponde a una serie de caracteres cifrados o codificados que se utilizan para proteger la información transmitida a través de una URL, en general, la encriptación de una URL se utiliza para proteger </w:t>
      </w:r>
      <w:r w:rsidRPr="009D0264">
        <w:rPr>
          <w:rFonts w:ascii="Palatino Linotype" w:eastAsia="Palatino Linotype" w:hAnsi="Palatino Linotype" w:cs="Palatino Linotype"/>
          <w:b/>
          <w:sz w:val="22"/>
          <w:szCs w:val="22"/>
        </w:rPr>
        <w:t>datos sensibles</w:t>
      </w:r>
      <w:r w:rsidRPr="009D0264">
        <w:rPr>
          <w:rFonts w:ascii="Palatino Linotype" w:eastAsia="Palatino Linotype" w:hAnsi="Palatino Linotype" w:cs="Palatino Linotype"/>
          <w:sz w:val="22"/>
          <w:szCs w:val="22"/>
        </w:rPr>
        <w:t>, como información de inicio de sesión, datos personales o cualquier otra información.</w:t>
      </w:r>
    </w:p>
    <w:p w14:paraId="5694ECB7"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2A4A0DA3"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Cuando se encripta una URL, los datos en la dirección web se convierten en una cadena de caracteres </w:t>
      </w:r>
      <w:r w:rsidRPr="009D0264">
        <w:rPr>
          <w:rFonts w:ascii="Palatino Linotype" w:eastAsia="Palatino Linotype" w:hAnsi="Palatino Linotype" w:cs="Palatino Linotype"/>
          <w:b/>
          <w:sz w:val="22"/>
          <w:szCs w:val="22"/>
        </w:rPr>
        <w:t>que no es fácilmente comprensible para cualquier persona que intercepte la transmisión de datos</w:t>
      </w:r>
      <w:r w:rsidRPr="009D0264">
        <w:rPr>
          <w:rFonts w:ascii="Palatino Linotype" w:eastAsia="Palatino Linotype" w:hAnsi="Palatino Linotype" w:cs="Palatino Linotype"/>
          <w:sz w:val="22"/>
          <w:szCs w:val="22"/>
        </w:rPr>
        <w:t xml:space="preserve"> ya que esto es para proteger la privacidad y la seguridad de la </w:t>
      </w:r>
      <w:r w:rsidRPr="009D0264">
        <w:rPr>
          <w:rFonts w:ascii="Palatino Linotype" w:eastAsia="Palatino Linotype" w:hAnsi="Palatino Linotype" w:cs="Palatino Linotype"/>
          <w:sz w:val="22"/>
          <w:szCs w:val="22"/>
        </w:rPr>
        <w:lastRenderedPageBreak/>
        <w:t>información transmitida, luego entonces intentar transcribir, carácter por carácter existe una alta posibilidad que dicha tarea no sea exitosa.</w:t>
      </w:r>
    </w:p>
    <w:p w14:paraId="75F9E1EE"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0E5D5EC0" w14:textId="77777777" w:rsidR="00174CEF" w:rsidRPr="009D0264" w:rsidRDefault="0001360E">
      <w:pPr>
        <w:spacing w:line="360" w:lineRule="auto"/>
        <w:jc w:val="both"/>
        <w:rPr>
          <w:rFonts w:ascii="Palatino Linotype" w:eastAsia="Palatino Linotype" w:hAnsi="Palatino Linotype" w:cs="Palatino Linotype"/>
          <w:sz w:val="20"/>
          <w:szCs w:val="20"/>
        </w:rPr>
      </w:pPr>
      <w:r w:rsidRPr="009D0264">
        <w:rPr>
          <w:rFonts w:ascii="Palatino Linotype" w:eastAsia="Palatino Linotype" w:hAnsi="Palatino Linotype" w:cs="Palatino Linotype"/>
          <w:sz w:val="22"/>
          <w:szCs w:val="22"/>
        </w:rPr>
        <w:t>Por tanto, al corresponder a una tarea ardua su captura, para posteriormente insertarlo en el navegador de Internet de manera manual, sin ningún tipo de error en su captura, se colige que deja de ser</w:t>
      </w:r>
      <w:r w:rsidRPr="009D0264">
        <w:rPr>
          <w:rFonts w:ascii="Palatino Linotype" w:eastAsia="Palatino Linotype" w:hAnsi="Palatino Linotype" w:cs="Palatino Linotype"/>
          <w:b/>
          <w:sz w:val="22"/>
          <w:szCs w:val="22"/>
        </w:rPr>
        <w:t xml:space="preserve"> preciso</w:t>
      </w:r>
      <w:r w:rsidRPr="009D0264">
        <w:rPr>
          <w:rFonts w:ascii="Palatino Linotype" w:eastAsia="Palatino Linotype" w:hAnsi="Palatino Linotype" w:cs="Palatino Linotype"/>
          <w:sz w:val="22"/>
          <w:szCs w:val="22"/>
        </w:rPr>
        <w:t>, como lo establece la ley de la materia, por tanto son improcedentes, situación diferente acontece, cuando del mismo documento si es posible su captura mediante la selección del texto o mediante clic en el enlace cuando se remite en datos abierto, contexto que en el caso concreto no ocurre.</w:t>
      </w:r>
    </w:p>
    <w:p w14:paraId="2F08A5D2"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79CE3A5C"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A mayor abundamiento, es conveniente precisar que cuando una liga electrónica se encuentre en formato cerrado, es decir, que no se puede copiar y pegar para tener acceso; sobre el tema, Trujillo, Humberto (2019), en el “Diccionario de Transparencia y Acceso a la Información Pública”, precisa que cuando un </w:t>
      </w:r>
      <w:r w:rsidRPr="009D0264">
        <w:rPr>
          <w:rFonts w:ascii="Palatino Linotype" w:eastAsia="Palatino Linotype" w:hAnsi="Palatino Linotype" w:cs="Palatino Linotype"/>
          <w:b/>
          <w:sz w:val="22"/>
          <w:szCs w:val="22"/>
        </w:rPr>
        <w:t xml:space="preserve">Sujeto Obligado </w:t>
      </w:r>
      <w:r w:rsidRPr="009D0264">
        <w:rPr>
          <w:rFonts w:ascii="Palatino Linotype" w:eastAsia="Palatino Linotype" w:hAnsi="Palatino Linotype" w:cs="Palatino Linotype"/>
          <w:sz w:val="22"/>
          <w:szCs w:val="22"/>
        </w:rPr>
        <w:t>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77A1C9CA"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14C739A7"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Asimismo, establece que al proporcionar información pública es necesario que sea en un formato que no tenga ninguna restricción en el acceso o reutilización, por lo que, es necesario que los datos digitales (como ligas electrónicas), se proporcionen en un formato abierto. </w:t>
      </w:r>
    </w:p>
    <w:p w14:paraId="39FB8B78"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02223F3B"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En ese contexto, el artículo 3°, fracción VI y X, de la Ley General de Transparencia y Acceso a la Información Pública, con relación, al diverso 3°, fracciones VIII y XVI de la Ley de </w:t>
      </w:r>
      <w:r w:rsidRPr="009D0264">
        <w:rPr>
          <w:rFonts w:ascii="Palatino Linotype" w:eastAsia="Palatino Linotype" w:hAnsi="Palatino Linotype" w:cs="Palatino Linotype"/>
          <w:sz w:val="22"/>
          <w:szCs w:val="22"/>
        </w:rPr>
        <w:lastRenderedPageBreak/>
        <w:t>Transparencia y Acceso a la Información Pública del Estado de México y Municipios, precisan lo siguiente:</w:t>
      </w:r>
    </w:p>
    <w:p w14:paraId="76E07C98"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 </w:t>
      </w:r>
    </w:p>
    <w:p w14:paraId="1D18BBF9" w14:textId="77777777" w:rsidR="00174CEF" w:rsidRPr="009D0264" w:rsidRDefault="0001360E">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b/>
          <w:sz w:val="22"/>
          <w:szCs w:val="22"/>
        </w:rPr>
        <w:t>Dato abierto:</w:t>
      </w:r>
      <w:r w:rsidRPr="009D0264">
        <w:rPr>
          <w:rFonts w:ascii="Palatino Linotype" w:eastAsia="Palatino Linotype" w:hAnsi="Palatino Linotype" w:cs="Palatino Linotype"/>
          <w:sz w:val="22"/>
          <w:szCs w:val="22"/>
        </w:rPr>
        <w:t xml:space="preserve">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58F00776" w14:textId="77777777" w:rsidR="00174CEF" w:rsidRPr="009D0264" w:rsidRDefault="00174CEF">
      <w:pPr>
        <w:spacing w:line="360" w:lineRule="auto"/>
        <w:ind w:firstLine="60"/>
        <w:jc w:val="both"/>
        <w:rPr>
          <w:rFonts w:ascii="Palatino Linotype" w:eastAsia="Palatino Linotype" w:hAnsi="Palatino Linotype" w:cs="Palatino Linotype"/>
          <w:sz w:val="22"/>
          <w:szCs w:val="22"/>
        </w:rPr>
      </w:pPr>
    </w:p>
    <w:p w14:paraId="0B5B2910" w14:textId="77777777" w:rsidR="00174CEF" w:rsidRPr="009D0264" w:rsidRDefault="0001360E">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b/>
          <w:sz w:val="22"/>
          <w:szCs w:val="22"/>
        </w:rPr>
        <w:t xml:space="preserve">Formato accesible: </w:t>
      </w:r>
      <w:r w:rsidRPr="009D0264">
        <w:rPr>
          <w:rFonts w:ascii="Palatino Linotype" w:eastAsia="Palatino Linotype" w:hAnsi="Palatino Linotype" w:cs="Palatino Linotype"/>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43431391"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7F5289D3"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Conforme a lo anterior, se considera que en el caso de que la información peticionada obre en ligas electrónicas, el </w:t>
      </w:r>
      <w:r w:rsidRPr="009D0264">
        <w:rPr>
          <w:rFonts w:ascii="Palatino Linotype" w:eastAsia="Palatino Linotype" w:hAnsi="Palatino Linotype" w:cs="Palatino Linotype"/>
          <w:b/>
          <w:sz w:val="22"/>
          <w:szCs w:val="22"/>
        </w:rPr>
        <w:t>Sujeto Obligado</w:t>
      </w:r>
      <w:r w:rsidRPr="009D0264">
        <w:rPr>
          <w:rFonts w:ascii="Palatino Linotype" w:eastAsia="Palatino Linotype" w:hAnsi="Palatino Linotype" w:cs="Palatino Linotype"/>
          <w:sz w:val="22"/>
          <w:szCs w:val="22"/>
        </w:rPr>
        <w:t xml:space="preserve"> deberá privilegiar la entrega de estas, en datos abiertos, es decir, en un formato que permita la accesibilidad y facilidad a los Particulares, para obtener la información contenida en estas.</w:t>
      </w:r>
    </w:p>
    <w:p w14:paraId="1C7E4FED" w14:textId="77777777" w:rsidR="00174CEF" w:rsidRPr="009D0264" w:rsidRDefault="00174CEF">
      <w:pPr>
        <w:spacing w:line="360" w:lineRule="auto"/>
        <w:ind w:right="-7"/>
        <w:jc w:val="both"/>
        <w:rPr>
          <w:rFonts w:ascii="Palatino Linotype" w:eastAsia="Palatino Linotype" w:hAnsi="Palatino Linotype" w:cs="Palatino Linotype"/>
          <w:sz w:val="22"/>
          <w:szCs w:val="22"/>
        </w:rPr>
      </w:pPr>
    </w:p>
    <w:p w14:paraId="34CCFCB5" w14:textId="77777777" w:rsidR="00174CEF" w:rsidRPr="009D0264" w:rsidRDefault="0001360E">
      <w:pPr>
        <w:spacing w:line="360" w:lineRule="auto"/>
        <w:ind w:right="-7"/>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No obstante lo anterior, no escapa de la óptica de este Instituto que las ligas electrónicas que proporcionó el </w:t>
      </w:r>
      <w:r w:rsidRPr="009D0264">
        <w:rPr>
          <w:rFonts w:ascii="Palatino Linotype" w:eastAsia="Palatino Linotype" w:hAnsi="Palatino Linotype" w:cs="Palatino Linotype"/>
          <w:b/>
          <w:sz w:val="22"/>
          <w:szCs w:val="22"/>
        </w:rPr>
        <w:t xml:space="preserve">Sujeto Obligado </w:t>
      </w:r>
      <w:r w:rsidRPr="009D0264">
        <w:rPr>
          <w:rFonts w:ascii="Palatino Linotype" w:eastAsia="Palatino Linotype" w:hAnsi="Palatino Linotype" w:cs="Palatino Linotype"/>
          <w:sz w:val="22"/>
          <w:szCs w:val="22"/>
        </w:rPr>
        <w:t>por conducto de la Tesorería Municipal pretendían remitir al formato denominado “</w:t>
      </w:r>
      <w:r w:rsidRPr="009D0264">
        <w:rPr>
          <w:rFonts w:ascii="Palatino Linotype" w:eastAsia="Palatino Linotype" w:hAnsi="Palatino Linotype" w:cs="Palatino Linotype"/>
          <w:b/>
          <w:i/>
          <w:sz w:val="22"/>
          <w:szCs w:val="22"/>
        </w:rPr>
        <w:t>Estado Comparativo Presupuestal de Egresos del 2023</w:t>
      </w:r>
      <w:r w:rsidRPr="009D0264">
        <w:rPr>
          <w:rFonts w:ascii="Palatino Linotype" w:eastAsia="Palatino Linotype" w:hAnsi="Palatino Linotype" w:cs="Palatino Linotype"/>
          <w:sz w:val="22"/>
          <w:szCs w:val="22"/>
        </w:rPr>
        <w:t xml:space="preserve">”; formato que si bien, conforme el Instructivo del Módulo 2 de los lineamientos para la integración y entrega de los informes trimestrales municipales vigente en 2022, da a conocer el comportamiento del presupuesto modificado y ejercido en forma mensual por capítulo del gasto del ente, durante el ejercicio; no resulta ser el documento que de atención al </w:t>
      </w:r>
      <w:r w:rsidRPr="009D0264">
        <w:rPr>
          <w:rFonts w:ascii="Palatino Linotype" w:eastAsia="Palatino Linotype" w:hAnsi="Palatino Linotype" w:cs="Palatino Linotype"/>
          <w:sz w:val="22"/>
          <w:szCs w:val="22"/>
        </w:rPr>
        <w:lastRenderedPageBreak/>
        <w:t>requerimiento del particular, pues no se incluye en el mismo lo relativo a los importes de las amortizaciones de anticipos aplicadas en las estimaciones de obra pública por contrato que es a lo que pretende acceder el particular.</w:t>
      </w:r>
    </w:p>
    <w:p w14:paraId="37077BC7" w14:textId="77777777" w:rsidR="00174CEF" w:rsidRPr="009D0264" w:rsidRDefault="00174CEF">
      <w:pPr>
        <w:spacing w:line="360" w:lineRule="auto"/>
        <w:ind w:right="-7"/>
        <w:jc w:val="both"/>
        <w:rPr>
          <w:rFonts w:ascii="Palatino Linotype" w:eastAsia="Palatino Linotype" w:hAnsi="Palatino Linotype" w:cs="Palatino Linotype"/>
          <w:sz w:val="22"/>
          <w:szCs w:val="22"/>
        </w:rPr>
      </w:pPr>
    </w:p>
    <w:p w14:paraId="35245AD5" w14:textId="77777777" w:rsidR="00174CEF" w:rsidRPr="009D0264" w:rsidRDefault="0001360E">
      <w:pPr>
        <w:spacing w:line="360" w:lineRule="auto"/>
        <w:ind w:right="-7"/>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En esa tesitura, a consideración de este Órgano Garante los motivos de inconformidad de la parte</w:t>
      </w:r>
      <w:r w:rsidRPr="009D0264">
        <w:rPr>
          <w:rFonts w:ascii="Palatino Linotype" w:eastAsia="Palatino Linotype" w:hAnsi="Palatino Linotype" w:cs="Palatino Linotype"/>
          <w:b/>
          <w:sz w:val="22"/>
          <w:szCs w:val="22"/>
        </w:rPr>
        <w:t xml:space="preserve"> Recurrente </w:t>
      </w:r>
      <w:r w:rsidRPr="009D0264">
        <w:rPr>
          <w:rFonts w:ascii="Palatino Linotype" w:eastAsia="Palatino Linotype" w:hAnsi="Palatino Linotype" w:cs="Palatino Linotype"/>
          <w:sz w:val="22"/>
          <w:szCs w:val="22"/>
        </w:rPr>
        <w:t xml:space="preserve">esgrimidos en su recurso de revisión </w:t>
      </w:r>
      <w:r w:rsidRPr="009D0264">
        <w:rPr>
          <w:rFonts w:ascii="Palatino Linotype" w:eastAsia="Palatino Linotype" w:hAnsi="Palatino Linotype" w:cs="Palatino Linotype"/>
          <w:b/>
          <w:sz w:val="22"/>
          <w:szCs w:val="22"/>
        </w:rPr>
        <w:t xml:space="preserve">01924/INFOEM/IP/RR/2024 </w:t>
      </w:r>
      <w:r w:rsidRPr="009D0264">
        <w:rPr>
          <w:rFonts w:ascii="Palatino Linotype" w:eastAsia="Palatino Linotype" w:hAnsi="Palatino Linotype" w:cs="Palatino Linotype"/>
          <w:sz w:val="22"/>
          <w:szCs w:val="22"/>
        </w:rPr>
        <w:t xml:space="preserve">devienen </w:t>
      </w:r>
      <w:r w:rsidRPr="009D0264">
        <w:rPr>
          <w:rFonts w:ascii="Palatino Linotype" w:eastAsia="Palatino Linotype" w:hAnsi="Palatino Linotype" w:cs="Palatino Linotype"/>
          <w:b/>
          <w:sz w:val="22"/>
          <w:szCs w:val="22"/>
        </w:rPr>
        <w:t>fundados,</w:t>
      </w:r>
      <w:r w:rsidRPr="009D0264">
        <w:rPr>
          <w:rFonts w:ascii="Palatino Linotype" w:eastAsia="Palatino Linotype" w:hAnsi="Palatino Linotype" w:cs="Palatino Linotype"/>
          <w:sz w:val="22"/>
          <w:szCs w:val="22"/>
        </w:rPr>
        <w:t xml:space="preserve"> siendo procedente </w:t>
      </w:r>
      <w:r w:rsidRPr="009D0264">
        <w:rPr>
          <w:rFonts w:ascii="Palatino Linotype" w:eastAsia="Palatino Linotype" w:hAnsi="Palatino Linotype" w:cs="Palatino Linotype"/>
          <w:b/>
          <w:sz w:val="22"/>
          <w:szCs w:val="22"/>
        </w:rPr>
        <w:t>Revocar</w:t>
      </w:r>
      <w:r w:rsidRPr="009D0264">
        <w:rPr>
          <w:rFonts w:ascii="Palatino Linotype" w:eastAsia="Palatino Linotype" w:hAnsi="Palatino Linotype" w:cs="Palatino Linotype"/>
          <w:i/>
          <w:sz w:val="22"/>
          <w:szCs w:val="22"/>
        </w:rPr>
        <w:t xml:space="preserve"> </w:t>
      </w:r>
      <w:r w:rsidRPr="009D0264">
        <w:rPr>
          <w:rFonts w:ascii="Palatino Linotype" w:eastAsia="Palatino Linotype" w:hAnsi="Palatino Linotype" w:cs="Palatino Linotype"/>
          <w:sz w:val="22"/>
          <w:szCs w:val="22"/>
        </w:rPr>
        <w:t>la respuesta proporcionada por el</w:t>
      </w:r>
      <w:r w:rsidRPr="009D0264">
        <w:rPr>
          <w:rFonts w:ascii="Palatino Linotype" w:eastAsia="Palatino Linotype" w:hAnsi="Palatino Linotype" w:cs="Palatino Linotype"/>
          <w:b/>
          <w:sz w:val="22"/>
          <w:szCs w:val="22"/>
        </w:rPr>
        <w:t xml:space="preserve"> Sujeto Obligado </w:t>
      </w:r>
      <w:r w:rsidRPr="009D0264">
        <w:rPr>
          <w:rFonts w:ascii="Palatino Linotype" w:eastAsia="Palatino Linotype" w:hAnsi="Palatino Linotype" w:cs="Palatino Linotype"/>
          <w:sz w:val="22"/>
          <w:szCs w:val="22"/>
        </w:rPr>
        <w:t>y ordenar, previa búsqueda exhaustiva y razonable, la entrega de la siguiente información:</w:t>
      </w:r>
    </w:p>
    <w:p w14:paraId="4EBD798A" w14:textId="77777777" w:rsidR="00174CEF" w:rsidRPr="009D0264" w:rsidRDefault="00174CEF">
      <w:pPr>
        <w:spacing w:line="360" w:lineRule="auto"/>
        <w:ind w:right="-7"/>
        <w:jc w:val="both"/>
        <w:rPr>
          <w:rFonts w:ascii="Palatino Linotype" w:eastAsia="Palatino Linotype" w:hAnsi="Palatino Linotype" w:cs="Palatino Linotype"/>
          <w:sz w:val="22"/>
          <w:szCs w:val="22"/>
        </w:rPr>
      </w:pPr>
    </w:p>
    <w:p w14:paraId="55EC8D01" w14:textId="77777777" w:rsidR="00174CEF" w:rsidRPr="009D0264" w:rsidRDefault="0001360E">
      <w:pPr>
        <w:numPr>
          <w:ilvl w:val="0"/>
          <w:numId w:val="7"/>
        </w:numPr>
        <w:pBdr>
          <w:top w:val="nil"/>
          <w:left w:val="nil"/>
          <w:bottom w:val="nil"/>
          <w:right w:val="nil"/>
          <w:between w:val="nil"/>
        </w:pBdr>
        <w:spacing w:line="276" w:lineRule="auto"/>
        <w:ind w:left="426" w:right="-7"/>
        <w:jc w:val="both"/>
        <w:rPr>
          <w:rFonts w:ascii="Palatino Linotype" w:eastAsia="Palatino Linotype" w:hAnsi="Palatino Linotype" w:cs="Palatino Linotype"/>
          <w:b/>
          <w:sz w:val="22"/>
          <w:szCs w:val="22"/>
        </w:rPr>
      </w:pPr>
      <w:r w:rsidRPr="009D0264">
        <w:rPr>
          <w:rFonts w:ascii="Palatino Linotype" w:eastAsia="Palatino Linotype" w:hAnsi="Palatino Linotype" w:cs="Palatino Linotype"/>
          <w:b/>
          <w:sz w:val="22"/>
          <w:szCs w:val="22"/>
        </w:rPr>
        <w:t xml:space="preserve">La conciliación de obra pública donde se visualizan las amortizaciones de anticipos aplicadas en las estimaciones de obra pública, con motivo de la ejecución del capítulo de gasto 6000 “Inversión pública” del presupuesto de egresos del ejercicio 2022. </w:t>
      </w:r>
    </w:p>
    <w:p w14:paraId="6EEA5273" w14:textId="77777777" w:rsidR="00174CEF" w:rsidRPr="009D0264" w:rsidRDefault="00174CE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E6A05FB" w14:textId="77777777" w:rsidR="00174CEF" w:rsidRPr="009D0264" w:rsidRDefault="0001360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Así,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34743FEE" w14:textId="77777777" w:rsidR="00174CEF" w:rsidRPr="009D0264" w:rsidRDefault="0001360E">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8" w:name="_heading=h.ijv98pntcd5s" w:colFirst="0" w:colLast="0"/>
      <w:bookmarkEnd w:id="8"/>
      <w:r w:rsidRPr="009D0264">
        <w:rPr>
          <w:rFonts w:ascii="Palatino Linotype" w:eastAsia="Palatino Linotype" w:hAnsi="Palatino Linotype" w:cs="Palatino Linotype"/>
          <w:b/>
          <w:sz w:val="22"/>
          <w:szCs w:val="22"/>
        </w:rPr>
        <w:t>III. R E S U E L V E</w:t>
      </w:r>
    </w:p>
    <w:p w14:paraId="6AC56DD1" w14:textId="77777777" w:rsidR="00174CEF" w:rsidRPr="009D0264" w:rsidRDefault="00174CEF">
      <w:pPr>
        <w:spacing w:line="360" w:lineRule="auto"/>
        <w:jc w:val="both"/>
        <w:rPr>
          <w:rFonts w:ascii="Palatino Linotype" w:eastAsia="Palatino Linotype" w:hAnsi="Palatino Linotype" w:cs="Palatino Linotype"/>
          <w:b/>
          <w:sz w:val="22"/>
          <w:szCs w:val="22"/>
        </w:rPr>
      </w:pPr>
      <w:bookmarkStart w:id="9" w:name="_heading=h.26in1rg" w:colFirst="0" w:colLast="0"/>
      <w:bookmarkEnd w:id="9"/>
    </w:p>
    <w:p w14:paraId="3312DB65" w14:textId="77777777" w:rsidR="00174CEF" w:rsidRPr="009D0264" w:rsidRDefault="0001360E">
      <w:pPr>
        <w:spacing w:line="360" w:lineRule="auto"/>
        <w:jc w:val="both"/>
        <w:rPr>
          <w:rFonts w:ascii="Palatino Linotype" w:eastAsia="Palatino Linotype" w:hAnsi="Palatino Linotype" w:cs="Palatino Linotype"/>
          <w:b/>
          <w:sz w:val="22"/>
          <w:szCs w:val="22"/>
        </w:rPr>
      </w:pPr>
      <w:r w:rsidRPr="009D0264">
        <w:rPr>
          <w:rFonts w:ascii="Palatino Linotype" w:eastAsia="Palatino Linotype" w:hAnsi="Palatino Linotype" w:cs="Palatino Linotype"/>
          <w:b/>
          <w:sz w:val="22"/>
          <w:szCs w:val="22"/>
        </w:rPr>
        <w:t xml:space="preserve">Primero. </w:t>
      </w:r>
      <w:r w:rsidRPr="009D0264">
        <w:rPr>
          <w:rFonts w:ascii="Palatino Linotype" w:eastAsia="Palatino Linotype" w:hAnsi="Palatino Linotype" w:cs="Palatino Linotype"/>
          <w:sz w:val="22"/>
          <w:szCs w:val="22"/>
        </w:rPr>
        <w:t>Resultan</w:t>
      </w:r>
      <w:r w:rsidRPr="009D0264">
        <w:rPr>
          <w:rFonts w:ascii="Palatino Linotype" w:eastAsia="Palatino Linotype" w:hAnsi="Palatino Linotype" w:cs="Palatino Linotype"/>
          <w:b/>
          <w:sz w:val="22"/>
          <w:szCs w:val="22"/>
        </w:rPr>
        <w:t xml:space="preserve"> fundados</w:t>
      </w:r>
      <w:r w:rsidRPr="009D0264">
        <w:rPr>
          <w:rFonts w:ascii="Palatino Linotype" w:eastAsia="Palatino Linotype" w:hAnsi="Palatino Linotype" w:cs="Palatino Linotype"/>
          <w:sz w:val="22"/>
          <w:szCs w:val="22"/>
        </w:rPr>
        <w:t xml:space="preserve"> los motivos de inconformidad hechos valer por la parte </w:t>
      </w:r>
      <w:r w:rsidRPr="009D0264">
        <w:rPr>
          <w:rFonts w:ascii="Palatino Linotype" w:eastAsia="Palatino Linotype" w:hAnsi="Palatino Linotype" w:cs="Palatino Linotype"/>
          <w:b/>
          <w:sz w:val="22"/>
          <w:szCs w:val="22"/>
        </w:rPr>
        <w:t xml:space="preserve">Recurrente </w:t>
      </w:r>
      <w:r w:rsidRPr="009D0264">
        <w:rPr>
          <w:rFonts w:ascii="Palatino Linotype" w:eastAsia="Palatino Linotype" w:hAnsi="Palatino Linotype" w:cs="Palatino Linotype"/>
          <w:sz w:val="22"/>
          <w:szCs w:val="22"/>
        </w:rPr>
        <w:t xml:space="preserve">en el recurso de revisión </w:t>
      </w:r>
      <w:r w:rsidRPr="009D0264">
        <w:rPr>
          <w:rFonts w:ascii="Palatino Linotype" w:eastAsia="Palatino Linotype" w:hAnsi="Palatino Linotype" w:cs="Palatino Linotype"/>
          <w:b/>
          <w:sz w:val="22"/>
          <w:szCs w:val="22"/>
        </w:rPr>
        <w:t xml:space="preserve">01924/INFOEM/IP/RR/2024, </w:t>
      </w:r>
      <w:r w:rsidRPr="009D0264">
        <w:rPr>
          <w:rFonts w:ascii="Palatino Linotype" w:eastAsia="Palatino Linotype" w:hAnsi="Palatino Linotype" w:cs="Palatino Linotype"/>
          <w:sz w:val="22"/>
          <w:szCs w:val="22"/>
        </w:rPr>
        <w:t xml:space="preserve">por lo que, en términos del Considerando </w:t>
      </w:r>
      <w:r w:rsidRPr="009D0264">
        <w:rPr>
          <w:rFonts w:ascii="Palatino Linotype" w:eastAsia="Palatino Linotype" w:hAnsi="Palatino Linotype" w:cs="Palatino Linotype"/>
          <w:b/>
          <w:sz w:val="22"/>
          <w:szCs w:val="22"/>
        </w:rPr>
        <w:t>Cuarto</w:t>
      </w:r>
      <w:r w:rsidRPr="009D0264">
        <w:rPr>
          <w:rFonts w:ascii="Palatino Linotype" w:eastAsia="Palatino Linotype" w:hAnsi="Palatino Linotype" w:cs="Palatino Linotype"/>
          <w:sz w:val="22"/>
          <w:szCs w:val="22"/>
        </w:rPr>
        <w:t xml:space="preserve"> de la presente resolución, se</w:t>
      </w:r>
      <w:r w:rsidRPr="009D0264">
        <w:rPr>
          <w:rFonts w:ascii="Palatino Linotype" w:eastAsia="Palatino Linotype" w:hAnsi="Palatino Linotype" w:cs="Palatino Linotype"/>
          <w:b/>
          <w:sz w:val="22"/>
          <w:szCs w:val="22"/>
        </w:rPr>
        <w:t xml:space="preserve"> Revoca </w:t>
      </w:r>
      <w:r w:rsidRPr="009D0264">
        <w:rPr>
          <w:rFonts w:ascii="Palatino Linotype" w:eastAsia="Palatino Linotype" w:hAnsi="Palatino Linotype" w:cs="Palatino Linotype"/>
          <w:sz w:val="22"/>
          <w:szCs w:val="22"/>
        </w:rPr>
        <w:t>la respuesta</w:t>
      </w:r>
      <w:r w:rsidRPr="009D0264">
        <w:rPr>
          <w:rFonts w:ascii="Palatino Linotype" w:eastAsia="Palatino Linotype" w:hAnsi="Palatino Linotype" w:cs="Palatino Linotype"/>
          <w:b/>
          <w:sz w:val="22"/>
          <w:szCs w:val="22"/>
        </w:rPr>
        <w:t xml:space="preserve"> </w:t>
      </w:r>
      <w:r w:rsidRPr="009D0264">
        <w:rPr>
          <w:rFonts w:ascii="Palatino Linotype" w:eastAsia="Palatino Linotype" w:hAnsi="Palatino Linotype" w:cs="Palatino Linotype"/>
          <w:sz w:val="22"/>
          <w:szCs w:val="22"/>
        </w:rPr>
        <w:t xml:space="preserve">del </w:t>
      </w:r>
      <w:r w:rsidRPr="009D0264">
        <w:rPr>
          <w:rFonts w:ascii="Palatino Linotype" w:eastAsia="Palatino Linotype" w:hAnsi="Palatino Linotype" w:cs="Palatino Linotype"/>
          <w:b/>
          <w:sz w:val="22"/>
          <w:szCs w:val="22"/>
        </w:rPr>
        <w:t>Sujeto Obligado.</w:t>
      </w:r>
    </w:p>
    <w:p w14:paraId="75777DE4" w14:textId="77777777" w:rsidR="00174CEF" w:rsidRPr="009D0264" w:rsidRDefault="00174CEF">
      <w:pPr>
        <w:spacing w:line="360" w:lineRule="auto"/>
        <w:jc w:val="both"/>
        <w:rPr>
          <w:rFonts w:ascii="Palatino Linotype" w:eastAsia="Palatino Linotype" w:hAnsi="Palatino Linotype" w:cs="Palatino Linotype"/>
          <w:b/>
          <w:sz w:val="22"/>
          <w:szCs w:val="22"/>
        </w:rPr>
      </w:pPr>
    </w:p>
    <w:p w14:paraId="0425899F" w14:textId="77777777" w:rsidR="00174CEF" w:rsidRPr="009D0264" w:rsidRDefault="0001360E">
      <w:pPr>
        <w:spacing w:line="360" w:lineRule="auto"/>
        <w:jc w:val="both"/>
        <w:rPr>
          <w:rFonts w:ascii="Palatino Linotype" w:eastAsia="Palatino Linotype" w:hAnsi="Palatino Linotype" w:cs="Palatino Linotype"/>
          <w:b/>
          <w:sz w:val="22"/>
          <w:szCs w:val="22"/>
        </w:rPr>
      </w:pPr>
      <w:r w:rsidRPr="009D0264">
        <w:rPr>
          <w:rFonts w:ascii="Palatino Linotype" w:eastAsia="Palatino Linotype" w:hAnsi="Palatino Linotype" w:cs="Palatino Linotype"/>
          <w:b/>
          <w:sz w:val="22"/>
          <w:szCs w:val="22"/>
        </w:rPr>
        <w:lastRenderedPageBreak/>
        <w:t xml:space="preserve">Segundo. </w:t>
      </w:r>
      <w:r w:rsidRPr="009D0264">
        <w:rPr>
          <w:rFonts w:ascii="Palatino Linotype" w:eastAsia="Palatino Linotype" w:hAnsi="Palatino Linotype" w:cs="Palatino Linotype"/>
          <w:sz w:val="22"/>
          <w:szCs w:val="22"/>
        </w:rPr>
        <w:t xml:space="preserve">Se </w:t>
      </w:r>
      <w:r w:rsidRPr="009D0264">
        <w:rPr>
          <w:rFonts w:ascii="Palatino Linotype" w:eastAsia="Palatino Linotype" w:hAnsi="Palatino Linotype" w:cs="Palatino Linotype"/>
          <w:b/>
          <w:sz w:val="22"/>
          <w:szCs w:val="22"/>
        </w:rPr>
        <w:t>Ordena</w:t>
      </w:r>
      <w:r w:rsidRPr="009D0264">
        <w:rPr>
          <w:rFonts w:ascii="Palatino Linotype" w:eastAsia="Palatino Linotype" w:hAnsi="Palatino Linotype" w:cs="Palatino Linotype"/>
          <w:sz w:val="22"/>
          <w:szCs w:val="22"/>
        </w:rPr>
        <w:t xml:space="preserve"> al </w:t>
      </w:r>
      <w:r w:rsidRPr="009D0264">
        <w:rPr>
          <w:rFonts w:ascii="Palatino Linotype" w:eastAsia="Palatino Linotype" w:hAnsi="Palatino Linotype" w:cs="Palatino Linotype"/>
          <w:b/>
          <w:sz w:val="22"/>
          <w:szCs w:val="22"/>
        </w:rPr>
        <w:t>Sujeto Obligado</w:t>
      </w:r>
      <w:r w:rsidRPr="009D0264">
        <w:rPr>
          <w:rFonts w:ascii="Palatino Linotype" w:eastAsia="Palatino Linotype" w:hAnsi="Palatino Linotype" w:cs="Palatino Linotype"/>
          <w:sz w:val="22"/>
          <w:szCs w:val="22"/>
        </w:rPr>
        <w:t xml:space="preserve">, en términos del Considerando </w:t>
      </w:r>
      <w:r w:rsidRPr="009D0264">
        <w:rPr>
          <w:rFonts w:ascii="Palatino Linotype" w:eastAsia="Palatino Linotype" w:hAnsi="Palatino Linotype" w:cs="Palatino Linotype"/>
          <w:b/>
          <w:sz w:val="22"/>
          <w:szCs w:val="22"/>
        </w:rPr>
        <w:t xml:space="preserve">Cuarto </w:t>
      </w:r>
      <w:r w:rsidRPr="009D0264">
        <w:rPr>
          <w:rFonts w:ascii="Palatino Linotype" w:eastAsia="Palatino Linotype" w:hAnsi="Palatino Linotype" w:cs="Palatino Linotype"/>
          <w:sz w:val="22"/>
          <w:szCs w:val="22"/>
        </w:rPr>
        <w:t xml:space="preserve">de esta resolución, </w:t>
      </w:r>
      <w:r w:rsidRPr="009D0264">
        <w:rPr>
          <w:rFonts w:ascii="Palatino Linotype" w:eastAsia="Palatino Linotype" w:hAnsi="Palatino Linotype" w:cs="Palatino Linotype"/>
          <w:b/>
          <w:sz w:val="22"/>
          <w:szCs w:val="22"/>
        </w:rPr>
        <w:t xml:space="preserve">haga entrega vía Sistema de Acceso a la Información Mexiquense (SAIMEX), </w:t>
      </w:r>
      <w:r w:rsidRPr="009D0264">
        <w:rPr>
          <w:rFonts w:ascii="Palatino Linotype" w:eastAsia="Palatino Linotype" w:hAnsi="Palatino Linotype" w:cs="Palatino Linotype"/>
          <w:sz w:val="22"/>
          <w:szCs w:val="22"/>
        </w:rPr>
        <w:t xml:space="preserve">previa búsqueda exhaustiva y razonable, </w:t>
      </w:r>
      <w:r w:rsidRPr="009D0264">
        <w:rPr>
          <w:rFonts w:ascii="Palatino Linotype" w:eastAsia="Palatino Linotype" w:hAnsi="Palatino Linotype" w:cs="Palatino Linotype"/>
          <w:b/>
          <w:sz w:val="22"/>
          <w:szCs w:val="22"/>
        </w:rPr>
        <w:t xml:space="preserve">lo siguiente: </w:t>
      </w:r>
    </w:p>
    <w:p w14:paraId="2F1D3A8E" w14:textId="77777777" w:rsidR="00174CEF" w:rsidRPr="009D0264" w:rsidRDefault="00174CEF">
      <w:pPr>
        <w:spacing w:line="360" w:lineRule="auto"/>
        <w:jc w:val="both"/>
        <w:rPr>
          <w:rFonts w:ascii="Palatino Linotype" w:eastAsia="Palatino Linotype" w:hAnsi="Palatino Linotype" w:cs="Palatino Linotype"/>
          <w:b/>
          <w:sz w:val="16"/>
          <w:szCs w:val="16"/>
        </w:rPr>
      </w:pPr>
    </w:p>
    <w:p w14:paraId="0F5C305B" w14:textId="77777777" w:rsidR="00174CEF" w:rsidRPr="009D0264" w:rsidRDefault="0001360E">
      <w:pPr>
        <w:numPr>
          <w:ilvl w:val="0"/>
          <w:numId w:val="7"/>
        </w:numPr>
        <w:pBdr>
          <w:top w:val="nil"/>
          <w:left w:val="nil"/>
          <w:bottom w:val="nil"/>
          <w:right w:val="nil"/>
          <w:between w:val="nil"/>
        </w:pBdr>
        <w:spacing w:line="276" w:lineRule="auto"/>
        <w:ind w:left="284" w:right="49" w:hanging="284"/>
        <w:jc w:val="both"/>
        <w:rPr>
          <w:rFonts w:ascii="Palatino Linotype" w:eastAsia="Palatino Linotype" w:hAnsi="Palatino Linotype" w:cs="Palatino Linotype"/>
          <w:b/>
          <w:sz w:val="22"/>
          <w:szCs w:val="22"/>
        </w:rPr>
      </w:pPr>
      <w:bookmarkStart w:id="10" w:name="_heading=h.1t3h5sf" w:colFirst="0" w:colLast="0"/>
      <w:bookmarkEnd w:id="10"/>
      <w:r w:rsidRPr="009D0264">
        <w:rPr>
          <w:rFonts w:ascii="Palatino Linotype" w:eastAsia="Palatino Linotype" w:hAnsi="Palatino Linotype" w:cs="Palatino Linotype"/>
          <w:b/>
          <w:sz w:val="22"/>
          <w:szCs w:val="22"/>
        </w:rPr>
        <w:t>La conciliación de obra pública donde se visualizan las amortizaciones de anticipos aplicadas en las estimaciones de obra pública, con motivo de la ejecución del capítulo de gasto 6000 “Inversión pública” del presupuesto de egresos del ejercicio 2022.</w:t>
      </w:r>
    </w:p>
    <w:p w14:paraId="5EB7D392" w14:textId="77777777" w:rsidR="00174CEF" w:rsidRPr="009D0264" w:rsidRDefault="00174CEF">
      <w:pPr>
        <w:pBdr>
          <w:top w:val="nil"/>
          <w:left w:val="nil"/>
          <w:bottom w:val="nil"/>
          <w:right w:val="nil"/>
          <w:between w:val="nil"/>
        </w:pBdr>
        <w:spacing w:line="276" w:lineRule="auto"/>
        <w:ind w:left="284" w:right="49"/>
        <w:jc w:val="both"/>
        <w:rPr>
          <w:rFonts w:ascii="Palatino Linotype" w:eastAsia="Palatino Linotype" w:hAnsi="Palatino Linotype" w:cs="Palatino Linotype"/>
          <w:b/>
          <w:sz w:val="22"/>
          <w:szCs w:val="22"/>
        </w:rPr>
      </w:pPr>
    </w:p>
    <w:p w14:paraId="4D3C70F0" w14:textId="77777777" w:rsidR="00174CEF" w:rsidRPr="009D0264" w:rsidRDefault="0001360E">
      <w:pPr>
        <w:spacing w:line="360" w:lineRule="auto"/>
        <w:jc w:val="both"/>
        <w:rPr>
          <w:rFonts w:ascii="Palatino Linotype" w:eastAsia="Palatino Linotype" w:hAnsi="Palatino Linotype" w:cs="Palatino Linotype"/>
          <w:sz w:val="22"/>
          <w:szCs w:val="22"/>
        </w:rPr>
      </w:pPr>
      <w:bookmarkStart w:id="11" w:name="_heading=h.35nkun2" w:colFirst="0" w:colLast="0"/>
      <w:bookmarkEnd w:id="11"/>
      <w:r w:rsidRPr="009D0264">
        <w:rPr>
          <w:rFonts w:ascii="Palatino Linotype" w:eastAsia="Palatino Linotype" w:hAnsi="Palatino Linotype" w:cs="Palatino Linotype"/>
          <w:b/>
          <w:sz w:val="22"/>
          <w:szCs w:val="22"/>
        </w:rPr>
        <w:t xml:space="preserve">Tercero.  Notifíquese vía SAIMEX, </w:t>
      </w:r>
      <w:r w:rsidRPr="009D0264">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2C58C6B"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0FA8A790"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b/>
          <w:sz w:val="22"/>
          <w:szCs w:val="22"/>
        </w:rPr>
        <w:t xml:space="preserve">Cuarto. </w:t>
      </w:r>
      <w:r w:rsidRPr="009D0264">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430E5C0"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72EAD78E"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b/>
          <w:sz w:val="22"/>
          <w:szCs w:val="22"/>
        </w:rPr>
        <w:t xml:space="preserve">Quinto. Notifíquese vía SAIMEX, </w:t>
      </w:r>
      <w:r w:rsidRPr="009D0264">
        <w:rPr>
          <w:rFonts w:ascii="Palatino Linotype" w:eastAsia="Palatino Linotype" w:hAnsi="Palatino Linotype" w:cs="Palatino Linotype"/>
          <w:sz w:val="22"/>
          <w:szCs w:val="22"/>
        </w:rPr>
        <w:t>a</w:t>
      </w:r>
      <w:r w:rsidRPr="009D0264">
        <w:rPr>
          <w:rFonts w:ascii="Palatino Linotype" w:eastAsia="Palatino Linotype" w:hAnsi="Palatino Linotype" w:cs="Palatino Linotype"/>
          <w:b/>
          <w:sz w:val="22"/>
          <w:szCs w:val="22"/>
        </w:rPr>
        <w:t xml:space="preserve"> la parte Recurrente</w:t>
      </w:r>
      <w:r w:rsidRPr="009D0264">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 </w:t>
      </w:r>
    </w:p>
    <w:p w14:paraId="365C5680"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0F6F4658" w14:textId="77777777" w:rsidR="00174CEF" w:rsidRPr="009D0264" w:rsidRDefault="0001360E">
      <w:pPr>
        <w:spacing w:line="360" w:lineRule="auto"/>
        <w:jc w:val="both"/>
        <w:rPr>
          <w:rFonts w:ascii="Palatino Linotype" w:eastAsia="Palatino Linotype" w:hAnsi="Palatino Linotype" w:cs="Palatino Linotype"/>
          <w:sz w:val="22"/>
          <w:szCs w:val="22"/>
        </w:rPr>
      </w:pPr>
      <w:r w:rsidRPr="009D0264">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CUARTA SESIÓN ORDINARIA, CELEBRADA EL VEINTICINCO DE SEPTIEMBRE DE DOS MIL VEINTICUATRO, ANTE EL SECRETARIO TÉCNICO DEL PLENO ALEXIS TAPIA RAMÍREZ. </w:t>
      </w:r>
    </w:p>
    <w:p w14:paraId="3AEA4947"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490A022F"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2002934D"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1DD9BCBA"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4529F78C"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760A96BD"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0F45CB8C"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039E6925"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6F345527"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45B3B985"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1AE10301"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453CEF1E"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4DAE1CC0"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2B91DD33"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15DFB323"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41E815BD"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7F96CD32"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574AF9B0"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7259BEF5"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77FFBE07" w14:textId="77777777" w:rsidR="00174CEF" w:rsidRPr="009D0264" w:rsidRDefault="00174CEF">
      <w:pPr>
        <w:spacing w:line="360" w:lineRule="auto"/>
        <w:jc w:val="both"/>
        <w:rPr>
          <w:rFonts w:ascii="Palatino Linotype" w:eastAsia="Palatino Linotype" w:hAnsi="Palatino Linotype" w:cs="Palatino Linotype"/>
          <w:sz w:val="22"/>
          <w:szCs w:val="22"/>
        </w:rPr>
      </w:pPr>
    </w:p>
    <w:p w14:paraId="292A0AA8" w14:textId="77777777" w:rsidR="00174CEF" w:rsidRPr="009D0264" w:rsidRDefault="00174CE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CE7891A" w14:textId="77777777" w:rsidR="00174CEF" w:rsidRPr="009D0264" w:rsidRDefault="00174CE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sectPr w:rsidR="00174CEF" w:rsidRPr="009D0264">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C84E0" w14:textId="77777777" w:rsidR="005F5CA8" w:rsidRDefault="005F5CA8">
      <w:r>
        <w:separator/>
      </w:r>
    </w:p>
  </w:endnote>
  <w:endnote w:type="continuationSeparator" w:id="0">
    <w:p w14:paraId="3D6095B3" w14:textId="77777777" w:rsidR="005F5CA8" w:rsidRDefault="005F5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66119" w14:textId="77777777" w:rsidR="00174CEF" w:rsidRDefault="0001360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101B7">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101B7">
      <w:rPr>
        <w:rFonts w:ascii="Palatino Linotype" w:eastAsia="Palatino Linotype" w:hAnsi="Palatino Linotype" w:cs="Palatino Linotype"/>
        <w:b/>
        <w:noProof/>
        <w:color w:val="000000"/>
        <w:sz w:val="20"/>
        <w:szCs w:val="20"/>
      </w:rPr>
      <w:t>59</w:t>
    </w:r>
    <w:r>
      <w:rPr>
        <w:rFonts w:ascii="Palatino Linotype" w:eastAsia="Palatino Linotype" w:hAnsi="Palatino Linotype" w:cs="Palatino Linotype"/>
        <w:b/>
        <w:color w:val="000000"/>
        <w:sz w:val="20"/>
        <w:szCs w:val="20"/>
      </w:rPr>
      <w:fldChar w:fldCharType="end"/>
    </w:r>
  </w:p>
  <w:p w14:paraId="040799FB" w14:textId="77777777" w:rsidR="00174CEF" w:rsidRDefault="00174CE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AE4FA" w14:textId="77777777" w:rsidR="00174CEF" w:rsidRDefault="0001360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D57B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D57BE">
      <w:rPr>
        <w:rFonts w:ascii="Palatino Linotype" w:eastAsia="Palatino Linotype" w:hAnsi="Palatino Linotype" w:cs="Palatino Linotype"/>
        <w:b/>
        <w:noProof/>
        <w:color w:val="000000"/>
        <w:sz w:val="20"/>
        <w:szCs w:val="20"/>
      </w:rPr>
      <w:t>59</w:t>
    </w:r>
    <w:r>
      <w:rPr>
        <w:rFonts w:ascii="Palatino Linotype" w:eastAsia="Palatino Linotype" w:hAnsi="Palatino Linotype" w:cs="Palatino Linotype"/>
        <w:b/>
        <w:color w:val="000000"/>
        <w:sz w:val="20"/>
        <w:szCs w:val="20"/>
      </w:rPr>
      <w:fldChar w:fldCharType="end"/>
    </w:r>
  </w:p>
  <w:p w14:paraId="297F227D" w14:textId="77777777" w:rsidR="00174CEF" w:rsidRDefault="00174CE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81C0A" w14:textId="77777777" w:rsidR="005F5CA8" w:rsidRDefault="005F5CA8">
      <w:r>
        <w:separator/>
      </w:r>
    </w:p>
  </w:footnote>
  <w:footnote w:type="continuationSeparator" w:id="0">
    <w:p w14:paraId="4D481E6C" w14:textId="77777777" w:rsidR="005F5CA8" w:rsidRDefault="005F5C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28B36" w14:textId="77777777" w:rsidR="00174CEF" w:rsidRDefault="0001360E">
    <w:pPr>
      <w:rPr>
        <w:rFonts w:ascii="Cambria" w:eastAsia="Cambria" w:hAnsi="Cambria" w:cs="Cambria"/>
        <w:color w:val="000000"/>
      </w:rPr>
    </w:pPr>
    <w:r>
      <w:rPr>
        <w:noProof/>
      </w:rPr>
      <w:drawing>
        <wp:anchor distT="0" distB="0" distL="0" distR="0" simplePos="0" relativeHeight="251658240" behindDoc="1" locked="0" layoutInCell="1" hidden="0" allowOverlap="1" wp14:anchorId="3DF2E505" wp14:editId="2A48D60C">
          <wp:simplePos x="0" y="0"/>
          <wp:positionH relativeFrom="column">
            <wp:posOffset>-1080110</wp:posOffset>
          </wp:positionH>
          <wp:positionV relativeFrom="paragraph">
            <wp:posOffset>-488285</wp:posOffset>
          </wp:positionV>
          <wp:extent cx="7809865" cy="10165715"/>
          <wp:effectExtent l="0" t="0" r="0" b="0"/>
          <wp:wrapNone/>
          <wp:docPr id="1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5"/>
      <w:tblW w:w="7087" w:type="dxa"/>
      <w:tblInd w:w="3261" w:type="dxa"/>
      <w:tblLayout w:type="fixed"/>
      <w:tblLook w:val="0400" w:firstRow="0" w:lastRow="0" w:firstColumn="0" w:lastColumn="0" w:noHBand="0" w:noVBand="1"/>
    </w:tblPr>
    <w:tblGrid>
      <w:gridCol w:w="2489"/>
      <w:gridCol w:w="4598"/>
    </w:tblGrid>
    <w:tr w:rsidR="00174CEF" w14:paraId="16B188EE" w14:textId="77777777">
      <w:tc>
        <w:tcPr>
          <w:tcW w:w="2489" w:type="dxa"/>
          <w:shd w:val="clear" w:color="auto" w:fill="auto"/>
        </w:tcPr>
        <w:p w14:paraId="10F3345E" w14:textId="77777777" w:rsidR="00174CEF" w:rsidRDefault="0001360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5D2CB1E5" w14:textId="77777777" w:rsidR="00174CEF" w:rsidRDefault="0001360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01924/INFOEM/IP/RR/2024</w:t>
          </w:r>
        </w:p>
      </w:tc>
    </w:tr>
    <w:tr w:rsidR="00174CEF" w14:paraId="1ADEAE6E" w14:textId="77777777">
      <w:trPr>
        <w:trHeight w:val="228"/>
      </w:trPr>
      <w:tc>
        <w:tcPr>
          <w:tcW w:w="2489" w:type="dxa"/>
          <w:shd w:val="clear" w:color="auto" w:fill="auto"/>
          <w:vAlign w:val="center"/>
        </w:tcPr>
        <w:p w14:paraId="33DECF74" w14:textId="77777777" w:rsidR="00174CEF" w:rsidRDefault="0001360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05C96970" w14:textId="77777777" w:rsidR="00174CEF" w:rsidRDefault="0001360E">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Atizapán de Zaragoza</w:t>
          </w:r>
        </w:p>
      </w:tc>
    </w:tr>
    <w:tr w:rsidR="00174CEF" w14:paraId="5FD0A575" w14:textId="77777777">
      <w:tc>
        <w:tcPr>
          <w:tcW w:w="2489" w:type="dxa"/>
          <w:shd w:val="clear" w:color="auto" w:fill="auto"/>
          <w:vAlign w:val="center"/>
        </w:tcPr>
        <w:p w14:paraId="6BD66309" w14:textId="77777777" w:rsidR="00174CEF" w:rsidRDefault="0001360E">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1AA24F80" w14:textId="77777777" w:rsidR="00174CEF" w:rsidRDefault="0001360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268700A" w14:textId="77777777" w:rsidR="00174CEF" w:rsidRDefault="0001360E">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3E223" w14:textId="77777777" w:rsidR="00174CEF" w:rsidRDefault="0001360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47484D0C" wp14:editId="3BC09229">
          <wp:simplePos x="0" y="0"/>
          <wp:positionH relativeFrom="column">
            <wp:posOffset>-1079488</wp:posOffset>
          </wp:positionH>
          <wp:positionV relativeFrom="paragraph">
            <wp:posOffset>-328917</wp:posOffset>
          </wp:positionV>
          <wp:extent cx="7809865" cy="10165715"/>
          <wp:effectExtent l="0" t="0" r="0" b="0"/>
          <wp:wrapNone/>
          <wp:docPr id="1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6"/>
      <w:tblW w:w="6945" w:type="dxa"/>
      <w:tblInd w:w="3261" w:type="dxa"/>
      <w:tblLayout w:type="fixed"/>
      <w:tblLook w:val="0400" w:firstRow="0" w:lastRow="0" w:firstColumn="0" w:lastColumn="0" w:noHBand="0" w:noVBand="1"/>
    </w:tblPr>
    <w:tblGrid>
      <w:gridCol w:w="2551"/>
      <w:gridCol w:w="4394"/>
    </w:tblGrid>
    <w:tr w:rsidR="00174CEF" w14:paraId="29EBE9A9" w14:textId="77777777">
      <w:tc>
        <w:tcPr>
          <w:tcW w:w="2551" w:type="dxa"/>
          <w:shd w:val="clear" w:color="auto" w:fill="auto"/>
          <w:vAlign w:val="center"/>
        </w:tcPr>
        <w:p w14:paraId="1E373524" w14:textId="77777777" w:rsidR="00174CEF" w:rsidRDefault="0001360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46FE6EC2" w14:textId="77777777" w:rsidR="00174CEF" w:rsidRDefault="0001360E">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01924/INFOEM/IP/RR/2024</w:t>
          </w:r>
        </w:p>
      </w:tc>
    </w:tr>
    <w:tr w:rsidR="00174CEF" w14:paraId="0891A30F" w14:textId="77777777">
      <w:trPr>
        <w:trHeight w:val="130"/>
      </w:trPr>
      <w:tc>
        <w:tcPr>
          <w:tcW w:w="2551" w:type="dxa"/>
          <w:shd w:val="clear" w:color="auto" w:fill="auto"/>
          <w:vAlign w:val="center"/>
        </w:tcPr>
        <w:p w14:paraId="5A6FC26C" w14:textId="77777777" w:rsidR="00174CEF" w:rsidRDefault="0001360E">
          <w:pPr>
            <w:rPr>
              <w:rFonts w:ascii="Palatino Linotype" w:eastAsia="Palatino Linotype" w:hAnsi="Palatino Linotype" w:cs="Palatino Linotype"/>
              <w:b/>
              <w:sz w:val="22"/>
              <w:szCs w:val="22"/>
            </w:rPr>
          </w:pPr>
          <w:bookmarkStart w:id="12" w:name="_Hlk178610189"/>
          <w:r>
            <w:rPr>
              <w:rFonts w:ascii="Palatino Linotype" w:eastAsia="Palatino Linotype" w:hAnsi="Palatino Linotype" w:cs="Palatino Linotype"/>
              <w:b/>
              <w:sz w:val="22"/>
              <w:szCs w:val="22"/>
            </w:rPr>
            <w:t>Recurrente:</w:t>
          </w:r>
        </w:p>
      </w:tc>
      <w:tc>
        <w:tcPr>
          <w:tcW w:w="4394" w:type="dxa"/>
          <w:shd w:val="clear" w:color="auto" w:fill="auto"/>
          <w:vAlign w:val="center"/>
        </w:tcPr>
        <w:p w14:paraId="0C8294C3" w14:textId="528EC82C" w:rsidR="00174CEF" w:rsidRDefault="00662A7A">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 XXX XXXXXXXXXX </w:t>
          </w:r>
        </w:p>
      </w:tc>
    </w:tr>
    <w:bookmarkEnd w:id="12"/>
    <w:tr w:rsidR="00174CEF" w14:paraId="29C4814B" w14:textId="77777777">
      <w:trPr>
        <w:trHeight w:val="228"/>
      </w:trPr>
      <w:tc>
        <w:tcPr>
          <w:tcW w:w="2551" w:type="dxa"/>
          <w:shd w:val="clear" w:color="auto" w:fill="auto"/>
          <w:vAlign w:val="center"/>
        </w:tcPr>
        <w:p w14:paraId="56291BFD" w14:textId="77777777" w:rsidR="00174CEF" w:rsidRDefault="0001360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022392D4" w14:textId="77777777" w:rsidR="00174CEF" w:rsidRDefault="0001360E">
          <w:pPr>
            <w:ind w:left="-45" w:right="144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Atizapán de Zaragoza</w:t>
          </w:r>
        </w:p>
      </w:tc>
    </w:tr>
    <w:tr w:rsidR="00174CEF" w14:paraId="717DAD1C" w14:textId="77777777">
      <w:tc>
        <w:tcPr>
          <w:tcW w:w="2551" w:type="dxa"/>
          <w:shd w:val="clear" w:color="auto" w:fill="auto"/>
          <w:vAlign w:val="center"/>
        </w:tcPr>
        <w:p w14:paraId="72A0EF84" w14:textId="77777777" w:rsidR="00174CEF" w:rsidRDefault="0001360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2311808F" w14:textId="77777777" w:rsidR="00174CEF" w:rsidRDefault="0001360E">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D671017" w14:textId="77777777" w:rsidR="00174CEF" w:rsidRDefault="00174CEF">
    <w:pPr>
      <w:pBdr>
        <w:top w:val="nil"/>
        <w:left w:val="nil"/>
        <w:bottom w:val="nil"/>
        <w:right w:val="nil"/>
        <w:between w:val="nil"/>
      </w:pBdr>
      <w:tabs>
        <w:tab w:val="center" w:pos="4252"/>
        <w:tab w:val="right" w:pos="8504"/>
      </w:tabs>
      <w:rPr>
        <w:rFonts w:ascii="Cambria" w:eastAsia="Cambria" w:hAnsi="Cambria" w:cs="Cambria"/>
        <w:color w:val="000000"/>
      </w:rPr>
    </w:pPr>
  </w:p>
  <w:p w14:paraId="75E14B8C" w14:textId="77777777" w:rsidR="00174CEF" w:rsidRDefault="00174C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408C2"/>
    <w:multiLevelType w:val="multilevel"/>
    <w:tmpl w:val="6F080E60"/>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 w15:restartNumberingAfterBreak="0">
    <w:nsid w:val="2073017E"/>
    <w:multiLevelType w:val="multilevel"/>
    <w:tmpl w:val="CD2A6956"/>
    <w:lvl w:ilvl="0">
      <w:start w:val="1"/>
      <w:numFmt w:val="decimal"/>
      <w:lvlText w:val="%1."/>
      <w:lvlJc w:val="left"/>
      <w:pPr>
        <w:ind w:left="786"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2F35AA5"/>
    <w:multiLevelType w:val="multilevel"/>
    <w:tmpl w:val="606EB448"/>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4E4628E0"/>
    <w:multiLevelType w:val="multilevel"/>
    <w:tmpl w:val="97447E62"/>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EB709E6"/>
    <w:multiLevelType w:val="multilevel"/>
    <w:tmpl w:val="E68899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5933509C"/>
    <w:multiLevelType w:val="multilevel"/>
    <w:tmpl w:val="60D690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CF85D34"/>
    <w:multiLevelType w:val="multilevel"/>
    <w:tmpl w:val="A648B6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13D2130"/>
    <w:multiLevelType w:val="multilevel"/>
    <w:tmpl w:val="D7B4A4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3964729"/>
    <w:multiLevelType w:val="multilevel"/>
    <w:tmpl w:val="5142BFF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AB44339"/>
    <w:multiLevelType w:val="multilevel"/>
    <w:tmpl w:val="417226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F335147"/>
    <w:multiLevelType w:val="multilevel"/>
    <w:tmpl w:val="C47EB2A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1" w15:restartNumberingAfterBreak="0">
    <w:nsid w:val="77B0665B"/>
    <w:multiLevelType w:val="multilevel"/>
    <w:tmpl w:val="FC8086CC"/>
    <w:lvl w:ilvl="0">
      <w:start w:val="1"/>
      <w:numFmt w:val="lowerLetter"/>
      <w:lvlText w:val="%1)"/>
      <w:lvlJc w:val="left"/>
      <w:pPr>
        <w:ind w:left="927" w:hanging="360"/>
      </w:pPr>
      <w:rPr>
        <w:b/>
        <w:i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5"/>
  </w:num>
  <w:num w:numId="2">
    <w:abstractNumId w:val="4"/>
  </w:num>
  <w:num w:numId="3">
    <w:abstractNumId w:val="6"/>
  </w:num>
  <w:num w:numId="4">
    <w:abstractNumId w:val="1"/>
  </w:num>
  <w:num w:numId="5">
    <w:abstractNumId w:val="2"/>
  </w:num>
  <w:num w:numId="6">
    <w:abstractNumId w:val="8"/>
  </w:num>
  <w:num w:numId="7">
    <w:abstractNumId w:val="0"/>
  </w:num>
  <w:num w:numId="8">
    <w:abstractNumId w:val="11"/>
  </w:num>
  <w:num w:numId="9">
    <w:abstractNumId w:val="10"/>
  </w:num>
  <w:num w:numId="10">
    <w:abstractNumId w:val="7"/>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CEF"/>
    <w:rsid w:val="000101B7"/>
    <w:rsid w:val="0001360E"/>
    <w:rsid w:val="00174CEF"/>
    <w:rsid w:val="002845E4"/>
    <w:rsid w:val="004E1FBF"/>
    <w:rsid w:val="005F5CA8"/>
    <w:rsid w:val="00631FCA"/>
    <w:rsid w:val="00662A7A"/>
    <w:rsid w:val="00847D7B"/>
    <w:rsid w:val="008D57BE"/>
    <w:rsid w:val="009D02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15180"/>
  <w15:docId w15:val="{57162E03-3593-45E4-84F3-2148EA984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422"/>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7"/>
    <w:tblPr>
      <w:tblStyleRowBandSize w:val="1"/>
      <w:tblStyleColBandSize w:val="1"/>
      <w:tblCellMar>
        <w:left w:w="115" w:type="dxa"/>
        <w:right w:w="115" w:type="dxa"/>
      </w:tblCellMar>
    </w:tblPr>
  </w:style>
  <w:style w:type="table" w:customStyle="1" w:styleId="a0">
    <w:basedOn w:val="TableNormal7"/>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a1">
    <w:basedOn w:val="TableNormal7"/>
    <w:tblPr>
      <w:tblStyleRowBandSize w:val="1"/>
      <w:tblStyleColBandSize w:val="1"/>
      <w:tblCellMar>
        <w:left w:w="115" w:type="dxa"/>
        <w:right w:w="115" w:type="dxa"/>
      </w:tblCellMar>
    </w:tblPr>
  </w:style>
  <w:style w:type="table" w:customStyle="1" w:styleId="a2">
    <w:basedOn w:val="TableNormal7"/>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a3">
    <w:basedOn w:val="TableNormal6"/>
    <w:tblPr>
      <w:tblStyleRowBandSize w:val="1"/>
      <w:tblStyleColBandSize w:val="1"/>
      <w:tblCellMar>
        <w:left w:w="115" w:type="dxa"/>
        <w:right w:w="115" w:type="dxa"/>
      </w:tblCellMar>
    </w:tblPr>
  </w:style>
  <w:style w:type="table" w:customStyle="1" w:styleId="a4">
    <w:basedOn w:val="TableNormal6"/>
    <w:tblPr>
      <w:tblStyleRowBandSize w:val="1"/>
      <w:tblStyleColBandSize w:val="1"/>
      <w:tblCellMar>
        <w:left w:w="115" w:type="dxa"/>
        <w:right w:w="115" w:type="dxa"/>
      </w:tblCellMar>
    </w:tblPr>
  </w:style>
  <w:style w:type="character" w:styleId="Hipervnculo">
    <w:name w:val="Hyperlink"/>
    <w:basedOn w:val="Fuentedeprrafopredeter"/>
    <w:uiPriority w:val="99"/>
    <w:semiHidden/>
    <w:unhideWhenUsed/>
    <w:rsid w:val="009C2C49"/>
    <w:rPr>
      <w:color w:val="0000FF"/>
      <w:u w:val="single"/>
    </w:rPr>
  </w:style>
  <w:style w:type="table" w:customStyle="1" w:styleId="a5">
    <w:basedOn w:val="TableNormal5"/>
    <w:tblPr>
      <w:tblStyleRowBandSize w:val="1"/>
      <w:tblStyleColBandSize w:val="1"/>
      <w:tblCellMar>
        <w:left w:w="115" w:type="dxa"/>
        <w:right w:w="115" w:type="dxa"/>
      </w:tblCellMar>
    </w:tblPr>
  </w:style>
  <w:style w:type="table" w:customStyle="1" w:styleId="a6">
    <w:basedOn w:val="TableNormal5"/>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table" w:customStyle="1" w:styleId="af1">
    <w:basedOn w:val="TableNormal2"/>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91475"/>
    <w:rPr>
      <w:lang w:val="es-ES"/>
    </w:r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63539C"/>
    <w:pPr>
      <w:numPr>
        <w:numId w:val="12"/>
      </w:numPr>
      <w:contextualSpacing/>
    </w:p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es0PSwmtx6CpVyg69OxY6LK5g==">CgMxLjAyCWguMWZvYjl0ZTIIaC5namRneHMyCWguM2R5NnZrbTIJaC4zMGowemxsMgloLjJzOGV5bzEyCGgudHlqY3d0MgloLjN6bnlzaDcyCWguMmV0OTJwMDIOaC5panY5OHBudGNkNXMyCWguMjZpbjFyZzIJaC4xdDNoNXNmMgloLjM1bmt1bjI4AHIhMWQ1QmtJemM3eG5WbjJ4UzQzVFZscnNBZ01EbFUwWkd4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59</Pages>
  <Words>14591</Words>
  <Characters>80256</Characters>
  <Application>Microsoft Office Word</Application>
  <DocSecurity>0</DocSecurity>
  <Lines>668</Lines>
  <Paragraphs>189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2024-09-27T03:17:00Z</cp:lastPrinted>
  <dcterms:created xsi:type="dcterms:W3CDTF">2024-09-30T23:38:00Z</dcterms:created>
  <dcterms:modified xsi:type="dcterms:W3CDTF">2024-09-30T23:38:00Z</dcterms:modified>
</cp:coreProperties>
</file>