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C74CD"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septiembre de dos mil veinticuatro. </w:t>
      </w:r>
    </w:p>
    <w:p w14:paraId="27697AD2"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VISTO</w:t>
      </w:r>
      <w:r w:rsidRPr="004E28E1">
        <w:rPr>
          <w:rFonts w:ascii="Palatino Linotype" w:eastAsia="Palatino Linotype" w:hAnsi="Palatino Linotype" w:cs="Palatino Linotype"/>
        </w:rPr>
        <w:t xml:space="preserve"> el expediente formado con motivo del recurso de revisión </w:t>
      </w:r>
      <w:r w:rsidRPr="004E28E1">
        <w:rPr>
          <w:rFonts w:ascii="Palatino Linotype" w:eastAsia="Palatino Linotype" w:hAnsi="Palatino Linotype" w:cs="Palatino Linotype"/>
          <w:b/>
        </w:rPr>
        <w:t>02224/INFOEM/IP/RR/2024</w:t>
      </w:r>
      <w:r w:rsidRPr="004E28E1">
        <w:rPr>
          <w:rFonts w:ascii="Palatino Linotype" w:eastAsia="Palatino Linotype" w:hAnsi="Palatino Linotype" w:cs="Palatino Linotype"/>
        </w:rPr>
        <w:t xml:space="preserve">, interpuesto por </w:t>
      </w:r>
      <w:r w:rsidRPr="004E28E1">
        <w:rPr>
          <w:rFonts w:ascii="Palatino Linotype" w:eastAsia="Palatino Linotype" w:hAnsi="Palatino Linotype" w:cs="Palatino Linotype"/>
          <w:b/>
        </w:rPr>
        <w:t>un particular que no proporcionó su nombre,</w:t>
      </w:r>
      <w:r w:rsidRPr="004E28E1">
        <w:rPr>
          <w:rFonts w:ascii="Palatino Linotype" w:eastAsia="Palatino Linotype" w:hAnsi="Palatino Linotype" w:cs="Palatino Linotype"/>
        </w:rPr>
        <w:t xml:space="preserve"> en lo sucesivo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en contra de la respuesta a su solicitud de información con número de folio</w:t>
      </w:r>
      <w:r w:rsidRPr="004E28E1">
        <w:rPr>
          <w:rFonts w:ascii="Palatino Linotype" w:eastAsia="Palatino Linotype" w:hAnsi="Palatino Linotype" w:cs="Palatino Linotype"/>
          <w:b/>
        </w:rPr>
        <w:t xml:space="preserve"> 00325/TLALNEPA/IP/2024, </w:t>
      </w:r>
      <w:r w:rsidRPr="004E28E1">
        <w:rPr>
          <w:rFonts w:ascii="Palatino Linotype" w:eastAsia="Palatino Linotype" w:hAnsi="Palatino Linotype" w:cs="Palatino Linotype"/>
        </w:rPr>
        <w:t xml:space="preserve">por parte del </w:t>
      </w:r>
      <w:r w:rsidRPr="004E28E1">
        <w:rPr>
          <w:rFonts w:ascii="Palatino Linotype" w:eastAsia="Palatino Linotype" w:hAnsi="Palatino Linotype" w:cs="Palatino Linotype"/>
          <w:b/>
        </w:rPr>
        <w:t xml:space="preserve">Ayuntamiento de Tlalnepantla de Baz, </w:t>
      </w:r>
      <w:r w:rsidRPr="004E28E1">
        <w:rPr>
          <w:rFonts w:ascii="Palatino Linotype" w:eastAsia="Palatino Linotype" w:hAnsi="Palatino Linotype" w:cs="Palatino Linotype"/>
        </w:rPr>
        <w:t xml:space="preserve">en lo sucesivo el </w:t>
      </w:r>
      <w:r w:rsidRPr="004E28E1">
        <w:rPr>
          <w:rFonts w:ascii="Palatino Linotype" w:eastAsia="Palatino Linotype" w:hAnsi="Palatino Linotype" w:cs="Palatino Linotype"/>
          <w:b/>
        </w:rPr>
        <w:t xml:space="preserve">SUJETO OBLIGADO, </w:t>
      </w:r>
      <w:r w:rsidRPr="004E28E1">
        <w:rPr>
          <w:rFonts w:ascii="Palatino Linotype" w:eastAsia="Palatino Linotype" w:hAnsi="Palatino Linotype" w:cs="Palatino Linotype"/>
        </w:rPr>
        <w:t xml:space="preserve">se procede a dictar la presente resolución con base en los siguientes: </w:t>
      </w:r>
    </w:p>
    <w:p w14:paraId="1499936C" w14:textId="77777777" w:rsidR="00996B51" w:rsidRPr="004E28E1" w:rsidRDefault="006D6A63">
      <w:pPr>
        <w:spacing w:before="240" w:after="240" w:line="360" w:lineRule="auto"/>
        <w:jc w:val="center"/>
        <w:rPr>
          <w:rFonts w:ascii="Palatino Linotype" w:eastAsia="Palatino Linotype" w:hAnsi="Palatino Linotype" w:cs="Palatino Linotype"/>
          <w:b/>
        </w:rPr>
      </w:pPr>
      <w:r w:rsidRPr="004E28E1">
        <w:rPr>
          <w:rFonts w:ascii="Palatino Linotype" w:eastAsia="Palatino Linotype" w:hAnsi="Palatino Linotype" w:cs="Palatino Linotype"/>
          <w:b/>
        </w:rPr>
        <w:t>I. A N T E C E D E N T E S</w:t>
      </w:r>
    </w:p>
    <w:p w14:paraId="62B96000"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1. Solicitud de acceso a la información.</w:t>
      </w:r>
      <w:r w:rsidRPr="004E28E1">
        <w:rPr>
          <w:rFonts w:ascii="Palatino Linotype" w:eastAsia="Palatino Linotype" w:hAnsi="Palatino Linotype" w:cs="Palatino Linotype"/>
        </w:rPr>
        <w:t xml:space="preserve"> Con fecha </w:t>
      </w:r>
      <w:r w:rsidRPr="004E28E1">
        <w:rPr>
          <w:rFonts w:ascii="Palatino Linotype" w:eastAsia="Palatino Linotype" w:hAnsi="Palatino Linotype" w:cs="Palatino Linotype"/>
          <w:b/>
        </w:rPr>
        <w:t>primero de abril de dos mil veinticuatro,</w:t>
      </w:r>
      <w:r w:rsidRPr="004E28E1">
        <w:rPr>
          <w:rFonts w:ascii="Palatino Linotype" w:eastAsia="Palatino Linotype" w:hAnsi="Palatino Linotype" w:cs="Palatino Linotype"/>
        </w:rPr>
        <w:t xml:space="preserve"> la parte </w:t>
      </w:r>
      <w:r w:rsidRPr="004E28E1">
        <w:rPr>
          <w:rFonts w:ascii="Palatino Linotype" w:eastAsia="Palatino Linotype" w:hAnsi="Palatino Linotype" w:cs="Palatino Linotype"/>
          <w:b/>
        </w:rPr>
        <w:t xml:space="preserve">RECURRENTE </w:t>
      </w:r>
      <w:r w:rsidRPr="004E28E1">
        <w:rPr>
          <w:rFonts w:ascii="Palatino Linotype" w:eastAsia="Palatino Linotype" w:hAnsi="Palatino Linotype" w:cs="Palatino Linotype"/>
        </w:rPr>
        <w:t xml:space="preserve">presentó, a través del Sistema de Acceso a la Información Mexiquense, en lo subsecuente el </w:t>
      </w:r>
      <w:r w:rsidRPr="004E28E1">
        <w:rPr>
          <w:rFonts w:ascii="Palatino Linotype" w:eastAsia="Palatino Linotype" w:hAnsi="Palatino Linotype" w:cs="Palatino Linotype"/>
          <w:b/>
        </w:rPr>
        <w:t>SAIMEX,</w:t>
      </w:r>
      <w:r w:rsidRPr="004E28E1">
        <w:rPr>
          <w:rFonts w:ascii="Palatino Linotype" w:eastAsia="Palatino Linotype" w:hAnsi="Palatino Linotype" w:cs="Palatino Linotype"/>
        </w:rPr>
        <w:t xml:space="preserve"> ante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la solicitud de acceso a la información pública, a la que se le asignó el número</w:t>
      </w:r>
      <w:r w:rsidRPr="004E28E1">
        <w:rPr>
          <w:rFonts w:ascii="Palatino Linotype" w:eastAsia="Palatino Linotype" w:hAnsi="Palatino Linotype" w:cs="Palatino Linotype"/>
          <w:b/>
        </w:rPr>
        <w:t xml:space="preserve"> 00325/TLALNEPA/IP/2024, </w:t>
      </w:r>
      <w:r w:rsidRPr="004E28E1">
        <w:rPr>
          <w:rFonts w:ascii="Palatino Linotype" w:eastAsia="Palatino Linotype" w:hAnsi="Palatino Linotype" w:cs="Palatino Linotype"/>
        </w:rPr>
        <w:t xml:space="preserve">mediante la cual requirió la información siguiente: </w:t>
      </w:r>
    </w:p>
    <w:p w14:paraId="7CA4C650" w14:textId="77777777" w:rsidR="00996B51" w:rsidRPr="004E28E1" w:rsidRDefault="006D6A63">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E28E1">
        <w:rPr>
          <w:rFonts w:ascii="Palatino Linotype" w:eastAsia="Palatino Linotype" w:hAnsi="Palatino Linotype" w:cs="Palatino Linotype"/>
          <w:i/>
          <w:sz w:val="22"/>
          <w:szCs w:val="22"/>
        </w:rPr>
        <w:t>“Expedientes laborales de todos los servidores públicos del Municipio Tlalnepantla” (Sic)</w:t>
      </w:r>
    </w:p>
    <w:p w14:paraId="5858D935" w14:textId="77777777" w:rsidR="00996B51" w:rsidRPr="004E28E1" w:rsidRDefault="00996B51">
      <w:pPr>
        <w:spacing w:before="240"/>
        <w:ind w:left="851" w:right="902"/>
        <w:jc w:val="both"/>
        <w:rPr>
          <w:rFonts w:ascii="Palatino Linotype" w:eastAsia="Palatino Linotype" w:hAnsi="Palatino Linotype" w:cs="Palatino Linotype"/>
          <w:i/>
          <w:sz w:val="22"/>
          <w:szCs w:val="22"/>
        </w:rPr>
      </w:pPr>
    </w:p>
    <w:p w14:paraId="6391A0B1"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Modalidad de Entrega:</w:t>
      </w:r>
      <w:r w:rsidRPr="004E28E1">
        <w:rPr>
          <w:rFonts w:ascii="Palatino Linotype" w:eastAsia="Palatino Linotype" w:hAnsi="Palatino Linotype" w:cs="Palatino Linotype"/>
        </w:rPr>
        <w:t xml:space="preserve"> A través de SAIMEX.</w:t>
      </w:r>
    </w:p>
    <w:p w14:paraId="64CE895B" w14:textId="77777777" w:rsidR="00996B51" w:rsidRPr="004E28E1" w:rsidRDefault="00996B51">
      <w:pPr>
        <w:spacing w:line="360" w:lineRule="auto"/>
        <w:jc w:val="both"/>
        <w:rPr>
          <w:rFonts w:ascii="Palatino Linotype" w:eastAsia="Palatino Linotype" w:hAnsi="Palatino Linotype" w:cs="Palatino Linotype"/>
        </w:rPr>
      </w:pPr>
    </w:p>
    <w:p w14:paraId="627846D7" w14:textId="77777777" w:rsidR="00996B51" w:rsidRPr="004E28E1" w:rsidRDefault="006D6A63">
      <w:pPr>
        <w:spacing w:after="240" w:line="360" w:lineRule="auto"/>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rPr>
        <w:lastRenderedPageBreak/>
        <w:t xml:space="preserve">2. Respuesta. </w:t>
      </w:r>
      <w:r w:rsidRPr="004E28E1">
        <w:rPr>
          <w:rFonts w:ascii="Palatino Linotype" w:eastAsia="Palatino Linotype" w:hAnsi="Palatino Linotype" w:cs="Palatino Linotype"/>
        </w:rPr>
        <w:t xml:space="preserve">Con fecha </w:t>
      </w:r>
      <w:r w:rsidRPr="004E28E1">
        <w:rPr>
          <w:rFonts w:ascii="Palatino Linotype" w:eastAsia="Palatino Linotype" w:hAnsi="Palatino Linotype" w:cs="Palatino Linotype"/>
          <w:b/>
        </w:rPr>
        <w:t>dieciocho de abril de dos mil veinticuatro</w:t>
      </w:r>
      <w:r w:rsidRPr="004E28E1">
        <w:rPr>
          <w:rFonts w:ascii="Palatino Linotype" w:eastAsia="Palatino Linotype" w:hAnsi="Palatino Linotype" w:cs="Palatino Linotype"/>
        </w:rPr>
        <w:t xml:space="preserve">, el </w:t>
      </w:r>
      <w:r w:rsidRPr="004E28E1">
        <w:rPr>
          <w:rFonts w:ascii="Palatino Linotype" w:eastAsia="Palatino Linotype" w:hAnsi="Palatino Linotype" w:cs="Palatino Linotype"/>
          <w:b/>
        </w:rPr>
        <w:t xml:space="preserve">SUJETO OBLIGADO </w:t>
      </w:r>
      <w:r w:rsidRPr="004E28E1">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4E28E1">
        <w:rPr>
          <w:rFonts w:ascii="Palatino Linotype" w:eastAsia="Palatino Linotype" w:hAnsi="Palatino Linotype" w:cs="Palatino Linotype"/>
          <w:i/>
          <w:sz w:val="22"/>
          <w:szCs w:val="22"/>
        </w:rPr>
        <w:t xml:space="preserve">  </w:t>
      </w:r>
    </w:p>
    <w:p w14:paraId="3B429DB1" w14:textId="77777777" w:rsidR="00996B51" w:rsidRPr="004E28E1" w:rsidRDefault="006D6A63">
      <w:pPr>
        <w:spacing w:before="240"/>
        <w:ind w:left="851" w:right="90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“…ENVIO ARCHIVO ELETRONICO CON RESPUESTA DEL SAIMEX 00325/TLALNEPA/IP/2024, DONDE SE APRUEBA EL CMABIO DE MODALIDAD POR PARTE DEL INFOEM ASI MISMO CUALQUIER DUDA ESTAMOS A SUS ORDENES EN LA UNIDAD DE TRANSPARENCIA DE LUNES A VIERNES DE 9:00 A 18:00 HORAS...” (Sic)</w:t>
      </w:r>
    </w:p>
    <w:p w14:paraId="05A8653F"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adjuntó a su respuesta el archivo electrónico siguiente:</w:t>
      </w:r>
    </w:p>
    <w:p w14:paraId="2840E27A" w14:textId="77777777" w:rsidR="00996B51" w:rsidRPr="004E28E1" w:rsidRDefault="006D6A63">
      <w:pPr>
        <w:spacing w:before="240" w:after="240" w:line="360" w:lineRule="auto"/>
        <w:ind w:right="49"/>
        <w:jc w:val="both"/>
        <w:rPr>
          <w:rFonts w:ascii="Palatino Linotype" w:eastAsia="Palatino Linotype" w:hAnsi="Palatino Linotype" w:cs="Palatino Linotype"/>
          <w:b/>
        </w:rPr>
      </w:pPr>
      <w:r w:rsidRPr="004E28E1">
        <w:rPr>
          <w:rFonts w:ascii="Palatino Linotype" w:eastAsia="Palatino Linotype" w:hAnsi="Palatino Linotype" w:cs="Palatino Linotype"/>
        </w:rPr>
        <w:t>“</w:t>
      </w:r>
      <w:hyperlink r:id="rId8">
        <w:r w:rsidRPr="004E28E1">
          <w:rPr>
            <w:rFonts w:ascii="Palatino Linotype" w:eastAsia="Palatino Linotype" w:hAnsi="Palatino Linotype" w:cs="Palatino Linotype"/>
          </w:rPr>
          <w:t>CAMBIO MODALIDAD ADMINISTRACION DA_1420.pdf</w:t>
        </w:r>
      </w:hyperlink>
      <w:r w:rsidRPr="004E28E1">
        <w:rPr>
          <w:rFonts w:ascii="Palatino Linotype" w:eastAsia="Palatino Linotype" w:hAnsi="Palatino Linotype" w:cs="Palatino Linotype"/>
        </w:rPr>
        <w:t xml:space="preserve">”, el cual contiene el oficio número DA/1420/2024, por medio del cual la Dirección de Administración informó al Titular de la Unidad de Transparencia ambos del Ayuntamiento de Tlalnepantla, que luego del análisis a la documentación con la que se dará respuesta a la solicitud número </w:t>
      </w:r>
      <w:r w:rsidRPr="004E28E1">
        <w:rPr>
          <w:rFonts w:ascii="Palatino Linotype" w:eastAsia="Palatino Linotype" w:hAnsi="Palatino Linotype" w:cs="Palatino Linotype"/>
          <w:b/>
        </w:rPr>
        <w:t xml:space="preserve">00325/TLALNEPA/IP/2024, tiene un peso de 21 GB, la cual quedo registrada con la incidencia técnica en la bitácora de incidencias del Instituto de Transparencia, Acceso a la Información Pública y Protección de Datos Personales del Estado de México y Municipios, la cual también anexó. </w:t>
      </w:r>
    </w:p>
    <w:p w14:paraId="5C3D2BD3"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consecuencia, determino hacer el cambio de modalidad a consulta directa, en la que se busca poner a disposición del solicitante la información que requirió y en si caso elaborar la versión pública en términos del fundamento legal que señalo. </w:t>
      </w:r>
    </w:p>
    <w:p w14:paraId="31C71EC3"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Por otro lado, indicó que para el cambio de modalidad de entrega de la información se sujetara a los siguientes argumentos:</w:t>
      </w:r>
    </w:p>
    <w:p w14:paraId="3EF3E1E7"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lastRenderedPageBreak/>
        <w:drawing>
          <wp:inline distT="0" distB="0" distL="0" distR="0" wp14:anchorId="3B7FFE63" wp14:editId="384EF894">
            <wp:extent cx="5612130" cy="1855470"/>
            <wp:effectExtent l="0" t="0" r="0" b="0"/>
            <wp:docPr id="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1855470"/>
                    </a:xfrm>
                    <a:prstGeom prst="rect">
                      <a:avLst/>
                    </a:prstGeom>
                    <a:ln/>
                  </pic:spPr>
                </pic:pic>
              </a:graphicData>
            </a:graphic>
          </wp:inline>
        </w:drawing>
      </w:r>
    </w:p>
    <w:p w14:paraId="2D2E2433"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drawing>
          <wp:inline distT="0" distB="0" distL="0" distR="0" wp14:anchorId="48A30CB9" wp14:editId="322BEF92">
            <wp:extent cx="5612130" cy="867410"/>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12130" cy="867410"/>
                    </a:xfrm>
                    <a:prstGeom prst="rect">
                      <a:avLst/>
                    </a:prstGeom>
                    <a:ln/>
                  </pic:spPr>
                </pic:pic>
              </a:graphicData>
            </a:graphic>
          </wp:inline>
        </w:drawing>
      </w:r>
    </w:p>
    <w:p w14:paraId="5E2F84BA"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También le indicó la programación de la consulta directa, la cual correspondió a la siguiente:</w:t>
      </w:r>
    </w:p>
    <w:p w14:paraId="6003C95B"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drawing>
          <wp:inline distT="0" distB="0" distL="0" distR="0" wp14:anchorId="5A929020" wp14:editId="43AFFE88">
            <wp:extent cx="5612130" cy="3003550"/>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3003550"/>
                    </a:xfrm>
                    <a:prstGeom prst="rect">
                      <a:avLst/>
                    </a:prstGeom>
                    <a:ln/>
                  </pic:spPr>
                </pic:pic>
              </a:graphicData>
            </a:graphic>
          </wp:inline>
        </w:drawing>
      </w:r>
    </w:p>
    <w:p w14:paraId="0C509695"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La cual corresponde a sólo siete días para realizar la consulta directa. </w:t>
      </w:r>
    </w:p>
    <w:p w14:paraId="0AAD8289"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Asimismo, señaló el horario y domicilio para consulta directa, el servidor público que lo atenderá para realizar la consulta directa, las medidas técnicas, físicas, administrativas y demás que resulten necesarias para garantizar la integridad de la información a consultar y la reglas a que se sujetará la consulta para garantizar la integridad de los documentos. </w:t>
      </w:r>
    </w:p>
    <w:p w14:paraId="3D758249"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Finalmente, informó que para el caso de que requiera la reproducción de la información o de parte de la misma en otra modalidad, le será otorgada previa pago de derechos correspondientes de conformidad con el artículo 148 del Código Financiero del Estado de México y Municipios, sin que sea necesario presente nueva solicitud de información. </w:t>
      </w:r>
    </w:p>
    <w:p w14:paraId="6013ED0E"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3. Interposición del recurso de revisión. </w:t>
      </w:r>
      <w:r w:rsidRPr="004E28E1">
        <w:rPr>
          <w:rFonts w:ascii="Palatino Linotype" w:eastAsia="Palatino Linotype" w:hAnsi="Palatino Linotype" w:cs="Palatino Linotype"/>
        </w:rPr>
        <w:t xml:space="preserve">Inconforme con los términos de la respuesta emitida por parte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el </w:t>
      </w:r>
      <w:r w:rsidRPr="004E28E1">
        <w:rPr>
          <w:rFonts w:ascii="Palatino Linotype" w:eastAsia="Palatino Linotype" w:hAnsi="Palatino Linotype" w:cs="Palatino Linotype"/>
          <w:b/>
        </w:rPr>
        <w:t>veinticinco de abril del dos mil veinticuatro,</w:t>
      </w:r>
      <w:r w:rsidRPr="004E28E1">
        <w:rPr>
          <w:rFonts w:ascii="Palatino Linotype" w:eastAsia="Palatino Linotype" w:hAnsi="Palatino Linotype" w:cs="Palatino Linotype"/>
        </w:rPr>
        <w:t xml:space="preserve"> la parte recurrente interpuso el recurso de revisión a través de </w:t>
      </w:r>
      <w:r w:rsidRPr="004E28E1">
        <w:rPr>
          <w:rFonts w:ascii="Palatino Linotype" w:eastAsia="Palatino Linotype" w:hAnsi="Palatino Linotype" w:cs="Palatino Linotype"/>
          <w:b/>
        </w:rPr>
        <w:t xml:space="preserve">SAIMEX, </w:t>
      </w:r>
      <w:r w:rsidRPr="004E28E1">
        <w:rPr>
          <w:rFonts w:ascii="Palatino Linotype" w:eastAsia="Palatino Linotype" w:hAnsi="Palatino Linotype" w:cs="Palatino Linotype"/>
        </w:rPr>
        <w:t>en donde se manifestó de la siguiente manera:</w:t>
      </w:r>
    </w:p>
    <w:p w14:paraId="777A1750" w14:textId="77777777" w:rsidR="00996B51" w:rsidRPr="004E28E1" w:rsidRDefault="006D6A63">
      <w:pPr>
        <w:tabs>
          <w:tab w:val="left" w:pos="2745"/>
        </w:tabs>
        <w:spacing w:before="240" w:after="240"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rPr>
        <w:t xml:space="preserve">Acto impugnado: </w:t>
      </w:r>
      <w:r w:rsidRPr="004E28E1">
        <w:rPr>
          <w:rFonts w:ascii="Palatino Linotype" w:eastAsia="Palatino Linotype" w:hAnsi="Palatino Linotype" w:cs="Palatino Linotype"/>
          <w:b/>
        </w:rPr>
        <w:tab/>
      </w:r>
    </w:p>
    <w:p w14:paraId="21DD411D" w14:textId="77777777" w:rsidR="00996B51" w:rsidRPr="004E28E1" w:rsidRDefault="006D6A63">
      <w:pPr>
        <w:ind w:left="851" w:right="90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“EL OFICIO DE RESPUESTA” (Sic)</w:t>
      </w:r>
    </w:p>
    <w:p w14:paraId="4017C27D" w14:textId="77777777" w:rsidR="00996B51" w:rsidRPr="004E28E1" w:rsidRDefault="00996B51">
      <w:pPr>
        <w:ind w:left="851" w:right="902"/>
        <w:jc w:val="both"/>
        <w:rPr>
          <w:rFonts w:ascii="Palatino Linotype" w:eastAsia="Palatino Linotype" w:hAnsi="Palatino Linotype" w:cs="Palatino Linotype"/>
          <w:i/>
          <w:sz w:val="22"/>
          <w:szCs w:val="22"/>
        </w:rPr>
      </w:pPr>
    </w:p>
    <w:p w14:paraId="6A8CFDCA"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Y Razones o motivos de inconformidad</w:t>
      </w:r>
      <w:r w:rsidRPr="004E28E1">
        <w:rPr>
          <w:rFonts w:ascii="Palatino Linotype" w:eastAsia="Palatino Linotype" w:hAnsi="Palatino Linotype" w:cs="Palatino Linotype"/>
        </w:rPr>
        <w:t>:</w:t>
      </w:r>
    </w:p>
    <w:p w14:paraId="3DF11A0E" w14:textId="77777777" w:rsidR="00996B51" w:rsidRPr="004E28E1" w:rsidRDefault="006D6A63">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4E28E1">
        <w:rPr>
          <w:rFonts w:ascii="Palatino Linotype" w:eastAsia="Palatino Linotype" w:hAnsi="Palatino Linotype" w:cs="Palatino Linotype"/>
          <w:i/>
          <w:sz w:val="22"/>
          <w:szCs w:val="22"/>
        </w:rPr>
        <w:t xml:space="preserve"> “SE NIEGA LA INFORMACION, CON UN SUPUESTO CAMBIO DE MODALIDAD QUE NO JUSTIFICAN SI” (Sic)</w:t>
      </w:r>
    </w:p>
    <w:p w14:paraId="65816599" w14:textId="77777777" w:rsidR="00996B51" w:rsidRPr="004E28E1" w:rsidRDefault="00996B51">
      <w:pPr>
        <w:ind w:left="851" w:right="902"/>
        <w:jc w:val="both"/>
        <w:rPr>
          <w:rFonts w:ascii="Palatino Linotype" w:eastAsia="Palatino Linotype" w:hAnsi="Palatino Linotype" w:cs="Palatino Linotype"/>
          <w:i/>
          <w:sz w:val="22"/>
          <w:szCs w:val="22"/>
        </w:rPr>
      </w:pPr>
    </w:p>
    <w:p w14:paraId="3023889B" w14:textId="77777777" w:rsidR="00996B51" w:rsidRPr="004E28E1" w:rsidRDefault="006D6A63">
      <w:pPr>
        <w:spacing w:line="360" w:lineRule="auto"/>
        <w:ind w:right="51"/>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4. Turno. </w:t>
      </w:r>
      <w:r w:rsidRPr="004E28E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4E28E1">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Pr="004E28E1">
        <w:rPr>
          <w:rFonts w:ascii="Palatino Linotype" w:eastAsia="Palatino Linotype" w:hAnsi="Palatino Linotype" w:cs="Palatino Linotype"/>
          <w:b/>
        </w:rPr>
        <w:t xml:space="preserve">Guadalupe Ramírez Peña, </w:t>
      </w:r>
      <w:r w:rsidRPr="004E28E1">
        <w:rPr>
          <w:rFonts w:ascii="Palatino Linotype" w:eastAsia="Palatino Linotype" w:hAnsi="Palatino Linotype" w:cs="Palatino Linotype"/>
        </w:rPr>
        <w:t xml:space="preserve">a efecto de que analizara sobre su admisión o su </w:t>
      </w:r>
      <w:proofErr w:type="spellStart"/>
      <w:r w:rsidRPr="004E28E1">
        <w:rPr>
          <w:rFonts w:ascii="Palatino Linotype" w:eastAsia="Palatino Linotype" w:hAnsi="Palatino Linotype" w:cs="Palatino Linotype"/>
        </w:rPr>
        <w:t>desechamiento</w:t>
      </w:r>
      <w:proofErr w:type="spellEnd"/>
      <w:r w:rsidRPr="004E28E1">
        <w:rPr>
          <w:rFonts w:ascii="Palatino Linotype" w:eastAsia="Palatino Linotype" w:hAnsi="Palatino Linotype" w:cs="Palatino Linotype"/>
        </w:rPr>
        <w:t>.</w:t>
      </w:r>
    </w:p>
    <w:p w14:paraId="5E3C7CF8" w14:textId="77777777" w:rsidR="00996B51" w:rsidRPr="004E28E1" w:rsidRDefault="00996B51">
      <w:pPr>
        <w:spacing w:line="360" w:lineRule="auto"/>
        <w:ind w:right="51"/>
        <w:jc w:val="both"/>
        <w:rPr>
          <w:rFonts w:ascii="Palatino Linotype" w:eastAsia="Palatino Linotype" w:hAnsi="Palatino Linotype" w:cs="Palatino Linotype"/>
        </w:rPr>
      </w:pPr>
    </w:p>
    <w:p w14:paraId="51932E0E"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5. Admisión del Recurso de revisión.</w:t>
      </w:r>
      <w:r w:rsidRPr="004E28E1">
        <w:rPr>
          <w:rFonts w:ascii="Palatino Linotype" w:eastAsia="Palatino Linotype" w:hAnsi="Palatino Linotype" w:cs="Palatino Linotype"/>
        </w:rPr>
        <w:t xml:space="preserve"> Con fecha</w:t>
      </w:r>
      <w:r w:rsidRPr="004E28E1">
        <w:rPr>
          <w:rFonts w:ascii="Palatino Linotype" w:eastAsia="Palatino Linotype" w:hAnsi="Palatino Linotype" w:cs="Palatino Linotype"/>
          <w:b/>
        </w:rPr>
        <w:t xml:space="preserve"> treinta de abril de dos mil veinticuatro, </w:t>
      </w:r>
      <w:r w:rsidRPr="004E28E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E28E1">
        <w:rPr>
          <w:rFonts w:ascii="Palatino Linotype" w:eastAsia="Palatino Linotype" w:hAnsi="Palatino Linotype" w:cs="Palatino Linotype"/>
          <w:b/>
        </w:rPr>
        <w:t xml:space="preserve">SUJETO OBLIGADO </w:t>
      </w:r>
      <w:r w:rsidRPr="004E28E1">
        <w:rPr>
          <w:rFonts w:ascii="Palatino Linotype" w:eastAsia="Palatino Linotype" w:hAnsi="Palatino Linotype" w:cs="Palatino Linotype"/>
        </w:rPr>
        <w:t>presentara su informe justificado.</w:t>
      </w:r>
    </w:p>
    <w:p w14:paraId="165AA183" w14:textId="77777777" w:rsidR="00996B51" w:rsidRPr="004E28E1" w:rsidRDefault="006D6A6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6. Manifestaciones</w:t>
      </w:r>
      <w:r w:rsidRPr="004E28E1">
        <w:rPr>
          <w:rFonts w:ascii="Palatino Linotype" w:eastAsia="Palatino Linotype" w:hAnsi="Palatino Linotype" w:cs="Palatino Linotype"/>
        </w:rPr>
        <w:t xml:space="preserve">. De las constancias que integran el expediente en que se actúa se advierte que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fue omisa en presentar sus alegatos o manifestación alguna.</w:t>
      </w:r>
    </w:p>
    <w:p w14:paraId="2DF2CA93"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Por su parte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en fecha ocho de mayo del año dos mil veinticuatro, adjuntó el archivo electrónico siguiente:</w:t>
      </w:r>
    </w:p>
    <w:p w14:paraId="565234C7" w14:textId="77777777" w:rsidR="00996B51" w:rsidRPr="004E28E1" w:rsidRDefault="00996B51">
      <w:pPr>
        <w:spacing w:line="360" w:lineRule="auto"/>
        <w:jc w:val="both"/>
        <w:rPr>
          <w:rFonts w:ascii="Palatino Linotype" w:eastAsia="Palatino Linotype" w:hAnsi="Palatino Linotype" w:cs="Palatino Linotype"/>
        </w:rPr>
      </w:pPr>
    </w:p>
    <w:p w14:paraId="2ABFAC2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w:t>
      </w:r>
      <w:hyperlink r:id="rId12">
        <w:r w:rsidRPr="004E28E1">
          <w:rPr>
            <w:rFonts w:ascii="Palatino Linotype" w:eastAsia="Palatino Linotype" w:hAnsi="Palatino Linotype" w:cs="Palatino Linotype"/>
          </w:rPr>
          <w:t>MANIFESTACIONES.zip</w:t>
        </w:r>
      </w:hyperlink>
      <w:r w:rsidRPr="004E28E1">
        <w:rPr>
          <w:rFonts w:ascii="Palatino Linotype" w:eastAsia="Palatino Linotype" w:hAnsi="Palatino Linotype" w:cs="Palatino Linotype"/>
        </w:rPr>
        <w:t>”, el cual a su vez contiene los siguientes archivos electrónicos:</w:t>
      </w:r>
    </w:p>
    <w:p w14:paraId="163C49A9" w14:textId="77777777" w:rsidR="00996B51" w:rsidRPr="004E28E1" w:rsidRDefault="00996B51">
      <w:pPr>
        <w:spacing w:line="360" w:lineRule="auto"/>
        <w:jc w:val="both"/>
        <w:rPr>
          <w:rFonts w:ascii="Palatino Linotype" w:eastAsia="Palatino Linotype" w:hAnsi="Palatino Linotype" w:cs="Palatino Linotype"/>
        </w:rPr>
      </w:pPr>
    </w:p>
    <w:p w14:paraId="21E284AE"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“RESADMINISTRACION1865”, el cual contiene el informe justificado de la Dirección de Administración por medio del cual en lo medular ratificó su respuesta inicial; es decir, el cambio de modalidad a consulta directa. </w:t>
      </w:r>
    </w:p>
    <w:p w14:paraId="0A08C81A"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Los cuales se determinó poner a la vista de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en términos de la fracción III del artículo 185 de la Ley de Transparencia y Acceso a la Información Pública del Estado de México y Municipios, sin que hiciera manifestación alguna al respecto.</w:t>
      </w:r>
    </w:p>
    <w:p w14:paraId="0DF14C77" w14:textId="77777777" w:rsidR="00996B51" w:rsidRPr="004E28E1" w:rsidRDefault="00996B51">
      <w:pPr>
        <w:widowControl w:val="0"/>
        <w:spacing w:line="360" w:lineRule="auto"/>
        <w:jc w:val="both"/>
        <w:rPr>
          <w:rFonts w:ascii="Palatino Linotype" w:eastAsia="Palatino Linotype" w:hAnsi="Palatino Linotype" w:cs="Palatino Linotype"/>
        </w:rPr>
      </w:pPr>
    </w:p>
    <w:p w14:paraId="7D0F1B7D" w14:textId="77777777" w:rsidR="00996B51" w:rsidRPr="004E28E1" w:rsidRDefault="006D6A63">
      <w:pPr>
        <w:widowControl w:val="0"/>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7</w:t>
      </w:r>
      <w:r w:rsidRPr="004E28E1">
        <w:rPr>
          <w:rFonts w:ascii="Palatino Linotype" w:eastAsia="Palatino Linotype" w:hAnsi="Palatino Linotype" w:cs="Palatino Linotype"/>
        </w:rPr>
        <w:t xml:space="preserve">. </w:t>
      </w:r>
      <w:r w:rsidRPr="004E28E1">
        <w:rPr>
          <w:rFonts w:ascii="Palatino Linotype" w:eastAsia="Palatino Linotype" w:hAnsi="Palatino Linotype" w:cs="Palatino Linotype"/>
          <w:b/>
        </w:rPr>
        <w:t>Ampliación del plazo.</w:t>
      </w:r>
      <w:r w:rsidRPr="004E28E1">
        <w:rPr>
          <w:rFonts w:ascii="Palatino Linotype" w:eastAsia="Palatino Linotype" w:hAnsi="Palatino Linotype" w:cs="Palatino Linotype"/>
        </w:rPr>
        <w:t xml:space="preserve"> En fecha diez de julio del año dos mil veinticuatro, con fundamento en el artículo 181, párrafo tercero de la Ley de Transparencia y Acceso a la Información Pública del Estado de México y Municipios, se acordó la ampliación del plazo para su resolución.</w:t>
      </w:r>
    </w:p>
    <w:p w14:paraId="479E7555" w14:textId="77777777" w:rsidR="00996B51" w:rsidRPr="004E28E1" w:rsidRDefault="00996B51">
      <w:pPr>
        <w:widowControl w:val="0"/>
        <w:spacing w:line="360" w:lineRule="auto"/>
        <w:jc w:val="both"/>
        <w:rPr>
          <w:rFonts w:ascii="Palatino Linotype" w:eastAsia="Palatino Linotype" w:hAnsi="Palatino Linotype" w:cs="Palatino Linotype"/>
        </w:rPr>
      </w:pPr>
    </w:p>
    <w:p w14:paraId="25081F83" w14:textId="77777777" w:rsidR="00996B51" w:rsidRPr="004E28E1" w:rsidRDefault="006D6A63">
      <w:pPr>
        <w:widowControl w:val="0"/>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3ADB211" w14:textId="77777777" w:rsidR="00996B51" w:rsidRPr="004E28E1" w:rsidRDefault="00996B51">
      <w:pPr>
        <w:widowControl w:val="0"/>
        <w:spacing w:line="360" w:lineRule="auto"/>
        <w:jc w:val="both"/>
        <w:rPr>
          <w:rFonts w:ascii="Palatino Linotype" w:eastAsia="Palatino Linotype" w:hAnsi="Palatino Linotype" w:cs="Palatino Linotype"/>
        </w:rPr>
      </w:pPr>
    </w:p>
    <w:p w14:paraId="799508F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5860748" w14:textId="77777777" w:rsidR="00996B51" w:rsidRPr="004E28E1" w:rsidRDefault="00996B51">
      <w:pPr>
        <w:spacing w:line="360" w:lineRule="auto"/>
        <w:jc w:val="both"/>
        <w:rPr>
          <w:rFonts w:ascii="Palatino Linotype" w:eastAsia="Palatino Linotype" w:hAnsi="Palatino Linotype" w:cs="Palatino Linotype"/>
        </w:rPr>
      </w:pPr>
    </w:p>
    <w:p w14:paraId="61D2324A"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E0389E" w14:textId="77777777" w:rsidR="00996B51" w:rsidRPr="004E28E1" w:rsidRDefault="00996B51">
      <w:pPr>
        <w:spacing w:line="360" w:lineRule="auto"/>
        <w:jc w:val="both"/>
        <w:rPr>
          <w:rFonts w:ascii="Palatino Linotype" w:eastAsia="Palatino Linotype" w:hAnsi="Palatino Linotype" w:cs="Palatino Linotype"/>
        </w:rPr>
      </w:pPr>
    </w:p>
    <w:p w14:paraId="4FE8E947"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4A2781" w14:textId="77777777" w:rsidR="00996B51" w:rsidRPr="004E28E1" w:rsidRDefault="00996B51">
      <w:pPr>
        <w:spacing w:line="360" w:lineRule="auto"/>
        <w:jc w:val="both"/>
        <w:rPr>
          <w:rFonts w:ascii="Palatino Linotype" w:eastAsia="Palatino Linotype" w:hAnsi="Palatino Linotype" w:cs="Palatino Linotype"/>
        </w:rPr>
      </w:pPr>
    </w:p>
    <w:p w14:paraId="78DA4A1D" w14:textId="77777777" w:rsidR="00996B51" w:rsidRPr="004E28E1" w:rsidRDefault="006D6A63">
      <w:pPr>
        <w:spacing w:line="360" w:lineRule="auto"/>
        <w:jc w:val="both"/>
        <w:rPr>
          <w:rFonts w:ascii="Palatino Linotype" w:eastAsia="Palatino Linotype" w:hAnsi="Palatino Linotype" w:cs="Palatino Linotype"/>
          <w:strike/>
        </w:rPr>
      </w:pPr>
      <w:r w:rsidRPr="004E28E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95A3AF6" w14:textId="77777777" w:rsidR="00996B51" w:rsidRPr="004E28E1" w:rsidRDefault="00996B51">
      <w:pPr>
        <w:spacing w:line="360" w:lineRule="auto"/>
        <w:jc w:val="both"/>
        <w:rPr>
          <w:rFonts w:ascii="Palatino Linotype" w:eastAsia="Palatino Linotype" w:hAnsi="Palatino Linotype" w:cs="Palatino Linotype"/>
        </w:rPr>
      </w:pPr>
    </w:p>
    <w:p w14:paraId="4594D618" w14:textId="77777777" w:rsidR="00996B51" w:rsidRPr="004E28E1" w:rsidRDefault="006D6A63">
      <w:pPr>
        <w:numPr>
          <w:ilvl w:val="0"/>
          <w:numId w:val="4"/>
        </w:numPr>
        <w:ind w:left="851"/>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9E631AE" w14:textId="77777777" w:rsidR="00996B51" w:rsidRPr="004E28E1" w:rsidRDefault="00996B51">
      <w:pPr>
        <w:ind w:left="851" w:hanging="360"/>
        <w:jc w:val="both"/>
        <w:rPr>
          <w:rFonts w:ascii="Palatino Linotype" w:eastAsia="Palatino Linotype" w:hAnsi="Palatino Linotype" w:cs="Palatino Linotype"/>
        </w:rPr>
      </w:pPr>
    </w:p>
    <w:p w14:paraId="0F0CCDAF" w14:textId="77777777" w:rsidR="00996B51" w:rsidRPr="004E28E1" w:rsidRDefault="006D6A63">
      <w:pPr>
        <w:numPr>
          <w:ilvl w:val="0"/>
          <w:numId w:val="4"/>
        </w:numPr>
        <w:ind w:left="851"/>
        <w:jc w:val="both"/>
        <w:rPr>
          <w:rFonts w:ascii="Palatino Linotype" w:eastAsia="Palatino Linotype" w:hAnsi="Palatino Linotype" w:cs="Palatino Linotype"/>
        </w:rPr>
      </w:pPr>
      <w:r w:rsidRPr="004E28E1">
        <w:rPr>
          <w:rFonts w:ascii="Palatino Linotype" w:eastAsia="Palatino Linotype" w:hAnsi="Palatino Linotype" w:cs="Palatino Linotype"/>
        </w:rPr>
        <w:t>Actividad Procesal del interesado. Acciones u omisiones del interesado.</w:t>
      </w:r>
    </w:p>
    <w:p w14:paraId="793B7495" w14:textId="77777777" w:rsidR="00996B51" w:rsidRPr="004E28E1" w:rsidRDefault="00996B51">
      <w:pPr>
        <w:ind w:left="851" w:hanging="360"/>
        <w:jc w:val="both"/>
        <w:rPr>
          <w:rFonts w:ascii="Palatino Linotype" w:eastAsia="Palatino Linotype" w:hAnsi="Palatino Linotype" w:cs="Palatino Linotype"/>
        </w:rPr>
      </w:pPr>
    </w:p>
    <w:p w14:paraId="78F4794D" w14:textId="77777777" w:rsidR="00996B51" w:rsidRPr="004E28E1" w:rsidRDefault="006D6A63">
      <w:pPr>
        <w:numPr>
          <w:ilvl w:val="0"/>
          <w:numId w:val="4"/>
        </w:numPr>
        <w:ind w:left="851"/>
        <w:jc w:val="both"/>
        <w:rPr>
          <w:rFonts w:ascii="Palatino Linotype" w:eastAsia="Palatino Linotype" w:hAnsi="Palatino Linotype" w:cs="Palatino Linotype"/>
        </w:rPr>
      </w:pPr>
      <w:r w:rsidRPr="004E28E1">
        <w:rPr>
          <w:rFonts w:ascii="Palatino Linotype" w:eastAsia="Palatino Linotype" w:hAnsi="Palatino Linotype" w:cs="Palatino Linotype"/>
        </w:rPr>
        <w:t>Conducta de la Autoridad: Las Acciones u omisiones realizadas en el procedimiento. Así como si la autoridad actuó con la debida diligencia.</w:t>
      </w:r>
    </w:p>
    <w:p w14:paraId="55DE84DE" w14:textId="77777777" w:rsidR="00996B51" w:rsidRPr="004E28E1" w:rsidRDefault="00996B51">
      <w:pPr>
        <w:ind w:left="851" w:hanging="360"/>
        <w:rPr>
          <w:rFonts w:ascii="Palatino Linotype" w:eastAsia="Palatino Linotype" w:hAnsi="Palatino Linotype" w:cs="Palatino Linotype"/>
        </w:rPr>
      </w:pPr>
    </w:p>
    <w:p w14:paraId="549C2944" w14:textId="77777777" w:rsidR="00996B51" w:rsidRPr="004E28E1" w:rsidRDefault="006D6A63">
      <w:pPr>
        <w:ind w:left="851" w:hanging="360"/>
        <w:jc w:val="both"/>
        <w:rPr>
          <w:rFonts w:ascii="Palatino Linotype" w:eastAsia="Palatino Linotype" w:hAnsi="Palatino Linotype" w:cs="Palatino Linotype"/>
        </w:rPr>
      </w:pPr>
      <w:r w:rsidRPr="004E28E1">
        <w:rPr>
          <w:rFonts w:ascii="Palatino Linotype" w:eastAsia="Palatino Linotype" w:hAnsi="Palatino Linotype" w:cs="Palatino Linotype"/>
        </w:rPr>
        <w:t>d) La afectación generada en la situación jurídica de la persona involucrada en el proceso: Violación a sus derechos humanos.</w:t>
      </w:r>
    </w:p>
    <w:p w14:paraId="05E7EFC5" w14:textId="77777777" w:rsidR="00996B51" w:rsidRPr="004E28E1" w:rsidRDefault="00996B51">
      <w:pPr>
        <w:spacing w:line="360" w:lineRule="auto"/>
        <w:jc w:val="both"/>
        <w:rPr>
          <w:rFonts w:ascii="Palatino Linotype" w:eastAsia="Palatino Linotype" w:hAnsi="Palatino Linotype" w:cs="Palatino Linotype"/>
        </w:rPr>
      </w:pPr>
    </w:p>
    <w:p w14:paraId="2DE618C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4E28E1">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F517DAE" w14:textId="77777777" w:rsidR="00996B51" w:rsidRPr="004E28E1" w:rsidRDefault="00996B51">
      <w:pPr>
        <w:spacing w:line="360" w:lineRule="auto"/>
        <w:jc w:val="both"/>
        <w:rPr>
          <w:rFonts w:ascii="Palatino Linotype" w:eastAsia="Palatino Linotype" w:hAnsi="Palatino Linotype" w:cs="Palatino Linotype"/>
        </w:rPr>
      </w:pPr>
    </w:p>
    <w:p w14:paraId="244F71ED" w14:textId="77777777" w:rsidR="00996B51" w:rsidRPr="004E28E1" w:rsidRDefault="006D6A63">
      <w:p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E28E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E28E1">
        <w:rPr>
          <w:rFonts w:ascii="Palatino Linotype" w:eastAsia="Palatino Linotype" w:hAnsi="Palatino Linotype" w:cs="Palatino Linotype"/>
        </w:rPr>
        <w:t>, visible en la Gaceta del Seminario Judicial de la Federación con el registro digital 205635.</w:t>
      </w:r>
    </w:p>
    <w:p w14:paraId="16D2525D" w14:textId="77777777" w:rsidR="00996B51" w:rsidRPr="004E28E1" w:rsidRDefault="00996B51">
      <w:pPr>
        <w:spacing w:line="360" w:lineRule="auto"/>
        <w:jc w:val="both"/>
        <w:rPr>
          <w:rFonts w:ascii="Palatino Linotype" w:eastAsia="Palatino Linotype" w:hAnsi="Palatino Linotype" w:cs="Palatino Linotype"/>
        </w:rPr>
      </w:pPr>
    </w:p>
    <w:p w14:paraId="1DAE754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D6072C" w14:textId="77777777" w:rsidR="00996B51" w:rsidRPr="004E28E1" w:rsidRDefault="00996B51">
      <w:pPr>
        <w:spacing w:line="360" w:lineRule="auto"/>
        <w:jc w:val="both"/>
        <w:rPr>
          <w:rFonts w:ascii="Palatino Linotype" w:eastAsia="Palatino Linotype" w:hAnsi="Palatino Linotype" w:cs="Palatino Linotype"/>
        </w:rPr>
      </w:pPr>
    </w:p>
    <w:p w14:paraId="55DE0FC7"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3103B9B" w14:textId="77777777" w:rsidR="00996B51" w:rsidRPr="004E28E1" w:rsidRDefault="00996B51">
      <w:pPr>
        <w:spacing w:line="360" w:lineRule="auto"/>
        <w:jc w:val="both"/>
        <w:rPr>
          <w:rFonts w:ascii="Palatino Linotype" w:eastAsia="Palatino Linotype" w:hAnsi="Palatino Linotype" w:cs="Palatino Linotype"/>
        </w:rPr>
      </w:pPr>
    </w:p>
    <w:p w14:paraId="60CB7BE1"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 </w:t>
      </w:r>
      <w:r w:rsidRPr="004E28E1">
        <w:rPr>
          <w:rFonts w:ascii="Palatino Linotype" w:eastAsia="Palatino Linotype" w:hAnsi="Palatino Linotype" w:cs="Palatino Linotype"/>
          <w:i/>
        </w:rPr>
        <w:t>“PLAZO RAZONABLE PARA RESOLVER. DIMENSIÓN Y EFECTOS DE ESTE CONCEPTO CUANDO SE ADUCE EXCESIVA CARGA DE TRABAJO.”</w:t>
      </w:r>
      <w:r w:rsidRPr="004E28E1">
        <w:rPr>
          <w:rFonts w:ascii="Palatino Linotype" w:eastAsia="Palatino Linotype" w:hAnsi="Palatino Linotype" w:cs="Palatino Linotype"/>
        </w:rPr>
        <w:t xml:space="preserve"> consultable en el Seminario Judicial de la Federación y su gaceta, con el registro digital 2002351.</w:t>
      </w:r>
    </w:p>
    <w:p w14:paraId="795C4705" w14:textId="77777777" w:rsidR="00996B51" w:rsidRPr="004E28E1" w:rsidRDefault="00996B51">
      <w:pPr>
        <w:spacing w:line="360" w:lineRule="auto"/>
        <w:jc w:val="both"/>
        <w:rPr>
          <w:rFonts w:ascii="Palatino Linotype" w:eastAsia="Palatino Linotype" w:hAnsi="Palatino Linotype" w:cs="Palatino Linotype"/>
          <w:b/>
        </w:rPr>
      </w:pPr>
    </w:p>
    <w:p w14:paraId="641D7450"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i/>
        </w:rPr>
        <w:t>“PLAZO RAZONABLE PARA RESOLVER. CONCEPTO Y ELEMENTOS QUE LO INTEGRAN A LA LUZ DEL DERECHO INTERNACIONAL DE LOS DERECHOS HUMANOS.”</w:t>
      </w:r>
      <w:r w:rsidRPr="004E28E1">
        <w:rPr>
          <w:rFonts w:ascii="Palatino Linotype" w:eastAsia="Palatino Linotype" w:hAnsi="Palatino Linotype" w:cs="Palatino Linotype"/>
        </w:rPr>
        <w:t>, visible en el Seminario Judicial de la Federación y su gaceta, con el registro digital 2002350.</w:t>
      </w:r>
    </w:p>
    <w:p w14:paraId="590417AC" w14:textId="77777777" w:rsidR="00996B51" w:rsidRPr="004E28E1" w:rsidRDefault="00996B51">
      <w:pPr>
        <w:spacing w:line="360" w:lineRule="auto"/>
        <w:jc w:val="both"/>
        <w:rPr>
          <w:rFonts w:ascii="Palatino Linotype" w:eastAsia="Palatino Linotype" w:hAnsi="Palatino Linotype" w:cs="Palatino Linotype"/>
        </w:rPr>
      </w:pPr>
    </w:p>
    <w:p w14:paraId="0D0D0FEF"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928ED42" w14:textId="77777777" w:rsidR="00996B51" w:rsidRPr="004E28E1" w:rsidRDefault="00996B51">
      <w:pPr>
        <w:spacing w:line="360" w:lineRule="auto"/>
        <w:jc w:val="both"/>
        <w:rPr>
          <w:rFonts w:ascii="Palatino Linotype" w:eastAsia="Palatino Linotype" w:hAnsi="Palatino Linotype" w:cs="Palatino Linotype"/>
          <w:b/>
        </w:rPr>
      </w:pPr>
    </w:p>
    <w:p w14:paraId="4222E7F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8. Requerimiento adicional. </w:t>
      </w:r>
      <w:r w:rsidRPr="004E28E1">
        <w:rPr>
          <w:rFonts w:ascii="Palatino Linotype" w:eastAsia="Palatino Linotype" w:hAnsi="Palatino Linotype" w:cs="Palatino Linotype"/>
        </w:rPr>
        <w:t xml:space="preserve">El nueve de septiembre de dos mil veinticuatro, se envió por correo electrónico oficial un requerimiento de información adicional al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el cual consistió en lo siguiente:</w:t>
      </w:r>
    </w:p>
    <w:p w14:paraId="502A23FB"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lastRenderedPageBreak/>
        <w:drawing>
          <wp:inline distT="0" distB="0" distL="0" distR="0" wp14:anchorId="51C47841" wp14:editId="79462F13">
            <wp:extent cx="5644683" cy="7468216"/>
            <wp:effectExtent l="0" t="0" r="0" b="0"/>
            <wp:docPr id="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644683" cy="7468216"/>
                    </a:xfrm>
                    <a:prstGeom prst="rect">
                      <a:avLst/>
                    </a:prstGeom>
                    <a:ln/>
                  </pic:spPr>
                </pic:pic>
              </a:graphicData>
            </a:graphic>
          </wp:inline>
        </w:drawing>
      </w:r>
    </w:p>
    <w:p w14:paraId="7BB33CEE" w14:textId="77777777" w:rsidR="00996B51" w:rsidRPr="004E28E1" w:rsidRDefault="006D6A63">
      <w:pPr>
        <w:spacing w:after="240"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noProof/>
          <w:lang w:val="es-MX"/>
        </w:rPr>
        <w:lastRenderedPageBreak/>
        <w:drawing>
          <wp:inline distT="0" distB="0" distL="0" distR="0" wp14:anchorId="1488E776" wp14:editId="63246192">
            <wp:extent cx="5624461" cy="7415728"/>
            <wp:effectExtent l="0" t="0" r="0" b="0"/>
            <wp:docPr id="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624461" cy="7415728"/>
                    </a:xfrm>
                    <a:prstGeom prst="rect">
                      <a:avLst/>
                    </a:prstGeom>
                    <a:ln/>
                  </pic:spPr>
                </pic:pic>
              </a:graphicData>
            </a:graphic>
          </wp:inline>
        </w:drawing>
      </w:r>
    </w:p>
    <w:p w14:paraId="2635741E" w14:textId="77777777" w:rsidR="00996B51" w:rsidRPr="004E28E1" w:rsidRDefault="006D6A63">
      <w:pPr>
        <w:spacing w:after="240"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noProof/>
          <w:lang w:val="es-MX"/>
        </w:rPr>
        <w:lastRenderedPageBreak/>
        <w:drawing>
          <wp:inline distT="0" distB="0" distL="0" distR="0" wp14:anchorId="05C017BA" wp14:editId="355AED73">
            <wp:extent cx="5612130" cy="6790690"/>
            <wp:effectExtent l="0" t="0" r="0" b="0"/>
            <wp:docPr id="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612130" cy="6790690"/>
                    </a:xfrm>
                    <a:prstGeom prst="rect">
                      <a:avLst/>
                    </a:prstGeom>
                    <a:ln/>
                  </pic:spPr>
                </pic:pic>
              </a:graphicData>
            </a:graphic>
          </wp:inline>
        </w:drawing>
      </w:r>
    </w:p>
    <w:p w14:paraId="6BB46DE6" w14:textId="77777777" w:rsidR="00996B51" w:rsidRPr="004E28E1" w:rsidRDefault="006D6A63">
      <w:pPr>
        <w:spacing w:after="240"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noProof/>
          <w:lang w:val="es-MX"/>
        </w:rPr>
        <w:lastRenderedPageBreak/>
        <w:drawing>
          <wp:inline distT="0" distB="0" distL="0" distR="0" wp14:anchorId="7C541510" wp14:editId="40B9012C">
            <wp:extent cx="5612130" cy="2322830"/>
            <wp:effectExtent l="0" t="0" r="0" b="0"/>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2322830"/>
                    </a:xfrm>
                    <a:prstGeom prst="rect">
                      <a:avLst/>
                    </a:prstGeom>
                    <a:ln/>
                  </pic:spPr>
                </pic:pic>
              </a:graphicData>
            </a:graphic>
          </wp:inline>
        </w:drawing>
      </w:r>
    </w:p>
    <w:p w14:paraId="03E909F1"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9. Atención al requerimiento adicional. </w:t>
      </w:r>
      <w:r w:rsidRPr="004E28E1">
        <w:rPr>
          <w:rFonts w:ascii="Palatino Linotype" w:eastAsia="Palatino Linotype" w:hAnsi="Palatino Linotype" w:cs="Palatino Linotype"/>
        </w:rPr>
        <w:t xml:space="preserve">En fecha doce de septiembre del año dos mil veinticuatro,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en atención al requerimiento adicional, señaló lo siguiente:</w:t>
      </w:r>
    </w:p>
    <w:p w14:paraId="1E2F1FEB"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drawing>
          <wp:inline distT="0" distB="0" distL="0" distR="0" wp14:anchorId="146EC04A" wp14:editId="77D39F69">
            <wp:extent cx="5620385" cy="3104865"/>
            <wp:effectExtent l="0" t="0" r="0" b="635"/>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628315" cy="3109245"/>
                    </a:xfrm>
                    <a:prstGeom prst="rect">
                      <a:avLst/>
                    </a:prstGeom>
                    <a:ln/>
                  </pic:spPr>
                </pic:pic>
              </a:graphicData>
            </a:graphic>
          </wp:inline>
        </w:drawing>
      </w:r>
    </w:p>
    <w:p w14:paraId="10E84B26"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lastRenderedPageBreak/>
        <w:drawing>
          <wp:inline distT="0" distB="0" distL="0" distR="0" wp14:anchorId="0C9778C2" wp14:editId="2A005676">
            <wp:extent cx="5614446" cy="7458521"/>
            <wp:effectExtent l="0" t="0" r="0" b="0"/>
            <wp:docPr id="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4446" cy="7458521"/>
                    </a:xfrm>
                    <a:prstGeom prst="rect">
                      <a:avLst/>
                    </a:prstGeom>
                    <a:ln/>
                  </pic:spPr>
                </pic:pic>
              </a:graphicData>
            </a:graphic>
          </wp:inline>
        </w:drawing>
      </w:r>
    </w:p>
    <w:p w14:paraId="3A979CF0" w14:textId="77777777" w:rsidR="00996B51" w:rsidRPr="004E28E1" w:rsidRDefault="006D6A63">
      <w:pPr>
        <w:widowControl w:val="0"/>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lastRenderedPageBreak/>
        <w:drawing>
          <wp:inline distT="0" distB="0" distL="0" distR="0" wp14:anchorId="6A01B83E" wp14:editId="5F061862">
            <wp:extent cx="5595486" cy="4373172"/>
            <wp:effectExtent l="0" t="0" r="0" b="0"/>
            <wp:docPr id="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595486" cy="4373172"/>
                    </a:xfrm>
                    <a:prstGeom prst="rect">
                      <a:avLst/>
                    </a:prstGeom>
                    <a:ln/>
                  </pic:spPr>
                </pic:pic>
              </a:graphicData>
            </a:graphic>
          </wp:inline>
        </w:drawing>
      </w:r>
    </w:p>
    <w:p w14:paraId="656C7C80"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Al desahogo al requerimiento adicional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adjuntó la siguiente documentación:</w:t>
      </w:r>
    </w:p>
    <w:p w14:paraId="0DF12820"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“124835 CERVERA MUÑOZ </w:t>
      </w:r>
      <w:proofErr w:type="spellStart"/>
      <w:r w:rsidRPr="004E28E1">
        <w:rPr>
          <w:rFonts w:ascii="Palatino Linotype" w:eastAsia="Palatino Linotype" w:hAnsi="Palatino Linotype" w:cs="Palatino Linotype"/>
        </w:rPr>
        <w:t>JORGE_redacted</w:t>
      </w:r>
      <w:proofErr w:type="spellEnd"/>
      <w:r w:rsidRPr="004E28E1">
        <w:rPr>
          <w:rFonts w:ascii="Palatino Linotype" w:eastAsia="Palatino Linotype" w:hAnsi="Palatino Linotype" w:cs="Palatino Linotype"/>
        </w:rPr>
        <w:t xml:space="preserve">”, el cual contiene el expediente laboral del </w:t>
      </w:r>
      <w:proofErr w:type="gramStart"/>
      <w:r w:rsidRPr="004E28E1">
        <w:rPr>
          <w:rFonts w:ascii="Palatino Linotype" w:eastAsia="Palatino Linotype" w:hAnsi="Palatino Linotype" w:cs="Palatino Linotype"/>
        </w:rPr>
        <w:t>Director</w:t>
      </w:r>
      <w:proofErr w:type="gramEnd"/>
      <w:r w:rsidRPr="004E28E1">
        <w:rPr>
          <w:rFonts w:ascii="Palatino Linotype" w:eastAsia="Palatino Linotype" w:hAnsi="Palatino Linotype" w:cs="Palatino Linotype"/>
        </w:rPr>
        <w:t xml:space="preserve"> de Servicios Públicos, el cual se integra de su nombramiento, información curricular, certificado de competencia laboral, título profesional, cédula profesional, certificado de no deudor alimentario moroso, informe de no antecedentes no penales, constancia de no inhabilitación y solicitud de empleo, constante de once fojas y tiene un equivalente a 3,577 kb.</w:t>
      </w:r>
    </w:p>
    <w:p w14:paraId="779CFD22"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“NOMINA GENERAL Q072024 TRANSPARENCIA_RR.xlsx”, el cual contiene el formato Excel un listado del nombre de los servidores públicos adscritos al Ayuntamiento de Tlalnepantla de Baz, a la primera quincena de abril del 2024, en donde se aprecia que el Ayuntamiento de Tlalnepantla de Baz tiene adscritos 5,067 Servidores Públicos. </w:t>
      </w:r>
    </w:p>
    <w:p w14:paraId="5CA7F351"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Documentos que, una vez analizados, se hicieron del conocimiento de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a efecto de que manifestara lo que a su derecho estimara conveniente, con excepción del archivo denominado ““NOMINA GENERAL Q072024 TRANSPARENCIA_RR.xlsx”, por contener información que se considera reservada; sin embargo, fue omiso en ejercer dicha prerrogativa en el plazo establecido para tal efecto.</w:t>
      </w:r>
    </w:p>
    <w:p w14:paraId="322E4EE8"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10. Cierre de instrucción. </w:t>
      </w:r>
      <w:r w:rsidRPr="004E28E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EC7F9C">
        <w:rPr>
          <w:rFonts w:ascii="Palatino Linotype" w:eastAsia="Palatino Linotype" w:hAnsi="Palatino Linotype" w:cs="Palatino Linotype"/>
          <w:b/>
          <w:bCs/>
        </w:rPr>
        <w:t>veinticuatro de septiembre de dos mil veinticuatro</w:t>
      </w:r>
      <w:r w:rsidRPr="004E28E1">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3595E403"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25916BD" w14:textId="77777777" w:rsidR="00996B51" w:rsidRPr="004E28E1" w:rsidRDefault="00996B51">
      <w:pPr>
        <w:spacing w:before="240" w:after="240" w:line="360" w:lineRule="auto"/>
        <w:jc w:val="both"/>
        <w:rPr>
          <w:rFonts w:ascii="Palatino Linotype" w:eastAsia="Palatino Linotype" w:hAnsi="Palatino Linotype" w:cs="Palatino Linotype"/>
        </w:rPr>
      </w:pPr>
    </w:p>
    <w:p w14:paraId="3ECA2DB9" w14:textId="77777777" w:rsidR="00996B51" w:rsidRPr="004E28E1" w:rsidRDefault="00996B51">
      <w:pPr>
        <w:spacing w:before="240" w:after="240" w:line="360" w:lineRule="auto"/>
        <w:jc w:val="both"/>
        <w:rPr>
          <w:rFonts w:ascii="Palatino Linotype" w:eastAsia="Palatino Linotype" w:hAnsi="Palatino Linotype" w:cs="Palatino Linotype"/>
        </w:rPr>
      </w:pPr>
    </w:p>
    <w:p w14:paraId="6D48DC9C" w14:textId="77777777" w:rsidR="00996B51" w:rsidRPr="004E28E1" w:rsidRDefault="006D6A63">
      <w:pPr>
        <w:widowControl w:val="0"/>
        <w:spacing w:line="360" w:lineRule="auto"/>
        <w:jc w:val="center"/>
        <w:rPr>
          <w:rFonts w:ascii="Palatino Linotype" w:eastAsia="Palatino Linotype" w:hAnsi="Palatino Linotype" w:cs="Palatino Linotype"/>
          <w:b/>
        </w:rPr>
      </w:pPr>
      <w:r w:rsidRPr="004E28E1">
        <w:rPr>
          <w:rFonts w:ascii="Palatino Linotype" w:eastAsia="Palatino Linotype" w:hAnsi="Palatino Linotype" w:cs="Palatino Linotype"/>
          <w:b/>
        </w:rPr>
        <w:lastRenderedPageBreak/>
        <w:t>II. C O N S I D E R A N D O S</w:t>
      </w:r>
    </w:p>
    <w:p w14:paraId="1F4434AD" w14:textId="77777777" w:rsidR="00996B51" w:rsidRPr="004E28E1" w:rsidRDefault="00996B51">
      <w:pPr>
        <w:widowControl w:val="0"/>
        <w:spacing w:line="360" w:lineRule="auto"/>
        <w:jc w:val="center"/>
        <w:rPr>
          <w:rFonts w:ascii="Palatino Linotype" w:eastAsia="Palatino Linotype" w:hAnsi="Palatino Linotype" w:cs="Palatino Linotype"/>
          <w:b/>
        </w:rPr>
      </w:pPr>
    </w:p>
    <w:p w14:paraId="16A588D2"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Primero. Competencia.</w:t>
      </w:r>
      <w:r w:rsidRPr="004E28E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77EAE10" w14:textId="77777777" w:rsidR="00996B51" w:rsidRPr="004E28E1" w:rsidRDefault="006D6A63">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4E28E1">
        <w:rPr>
          <w:rFonts w:ascii="Palatino Linotype" w:eastAsia="Palatino Linotype" w:hAnsi="Palatino Linotype" w:cs="Palatino Linotype"/>
          <w:b/>
        </w:rPr>
        <w:t xml:space="preserve">Segundo. Oportunidad y Procedibilidad del Recurso de Revisión. </w:t>
      </w:r>
      <w:r w:rsidRPr="004E28E1">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emitió su respuesta a la solicitud planteada por la parte solicitante el dieciocho de abril del año dos mil veintitrés y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presentó su recurso de revisión el veinticinco del mismo mes y año, esto es, al quinto día hábil siguiente del conocimiento de la respuesta. </w:t>
      </w:r>
    </w:p>
    <w:p w14:paraId="01E88A7C" w14:textId="77777777" w:rsidR="00996B51" w:rsidRPr="004E28E1" w:rsidRDefault="006D6A63">
      <w:pPr>
        <w:spacing w:before="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1157563" w14:textId="77777777" w:rsidR="00996B51" w:rsidRPr="004E28E1" w:rsidRDefault="00996B51">
      <w:pPr>
        <w:ind w:left="567" w:right="474"/>
        <w:jc w:val="both"/>
        <w:rPr>
          <w:rFonts w:ascii="Palatino Linotype" w:eastAsia="Palatino Linotype" w:hAnsi="Palatino Linotype" w:cs="Palatino Linotype"/>
          <w:i/>
        </w:rPr>
      </w:pPr>
    </w:p>
    <w:p w14:paraId="3F45359A" w14:textId="77777777" w:rsidR="00996B51" w:rsidRPr="004E28E1" w:rsidRDefault="006D6A63">
      <w:pPr>
        <w:ind w:left="567" w:right="474"/>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Las solicitudes anónimas</w:t>
      </w:r>
      <w:r w:rsidRPr="004E28E1">
        <w:rPr>
          <w:rFonts w:ascii="Palatino Linotype" w:eastAsia="Palatino Linotype" w:hAnsi="Palatino Linotype" w:cs="Palatino Linotype"/>
          <w:i/>
          <w:sz w:val="22"/>
          <w:szCs w:val="22"/>
        </w:rPr>
        <w:t xml:space="preserve">, con nombre incompleto o seudónimo </w:t>
      </w:r>
      <w:r w:rsidRPr="004E28E1">
        <w:rPr>
          <w:rFonts w:ascii="Palatino Linotype" w:eastAsia="Palatino Linotype" w:hAnsi="Palatino Linotype" w:cs="Palatino Linotype"/>
          <w:b/>
          <w:i/>
          <w:sz w:val="22"/>
          <w:szCs w:val="22"/>
        </w:rPr>
        <w:t>serán procedentes para su trámite por parte del sujeto obligado ante quien se presente</w:t>
      </w:r>
      <w:r w:rsidRPr="004E28E1">
        <w:rPr>
          <w:rFonts w:ascii="Palatino Linotype" w:eastAsia="Palatino Linotype" w:hAnsi="Palatino Linotype" w:cs="Palatino Linotype"/>
          <w:i/>
          <w:sz w:val="22"/>
          <w:szCs w:val="22"/>
        </w:rPr>
        <w:t>. No podrá requerirse información adicional con motivo del nombre proporcionado por el solicitante."</w:t>
      </w:r>
    </w:p>
    <w:p w14:paraId="5D262F3C" w14:textId="77777777" w:rsidR="00996B51" w:rsidRPr="004E28E1" w:rsidRDefault="00996B51">
      <w:pPr>
        <w:ind w:left="567" w:right="474"/>
        <w:jc w:val="both"/>
        <w:rPr>
          <w:rFonts w:ascii="Palatino Linotype" w:eastAsia="Palatino Linotype" w:hAnsi="Palatino Linotype" w:cs="Palatino Linotype"/>
          <w:i/>
          <w:sz w:val="22"/>
          <w:szCs w:val="22"/>
        </w:rPr>
      </w:pPr>
    </w:p>
    <w:p w14:paraId="1CEEE5EB" w14:textId="77777777" w:rsidR="00996B51" w:rsidRPr="004E28E1" w:rsidRDefault="006D6A63">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4E28E1">
        <w:rPr>
          <w:rFonts w:ascii="Palatino Linotype" w:eastAsia="Palatino Linotype" w:hAnsi="Palatino Linotype" w:cs="Palatino Linotype"/>
          <w:b/>
        </w:rPr>
        <w:t>EL</w:t>
      </w:r>
      <w:r w:rsidRPr="004E28E1">
        <w:rPr>
          <w:rFonts w:ascii="Palatino Linotype" w:eastAsia="Palatino Linotype" w:hAnsi="Palatino Linotype" w:cs="Palatino Linotype"/>
        </w:rPr>
        <w:t xml:space="preserve"> </w:t>
      </w:r>
      <w:r w:rsidRPr="004E28E1">
        <w:rPr>
          <w:rFonts w:ascii="Palatino Linotype" w:eastAsia="Palatino Linotype" w:hAnsi="Palatino Linotype" w:cs="Palatino Linotype"/>
          <w:b/>
        </w:rPr>
        <w:t>SAIMEX</w:t>
      </w:r>
      <w:r w:rsidRPr="004E28E1">
        <w:rPr>
          <w:rFonts w:ascii="Palatino Linotype" w:eastAsia="Palatino Linotype" w:hAnsi="Palatino Linotype" w:cs="Palatino Linotype"/>
        </w:rPr>
        <w:t>.</w:t>
      </w:r>
    </w:p>
    <w:p w14:paraId="13F7290A" w14:textId="77777777" w:rsidR="00996B51" w:rsidRPr="004E28E1" w:rsidRDefault="00996B51">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0BEE0EBF" w14:textId="77777777" w:rsidR="00996B51" w:rsidRPr="004E28E1" w:rsidRDefault="006D6A63">
      <w:pPr>
        <w:spacing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VIII de la ley de la materia, que a la letra dice:</w:t>
      </w:r>
    </w:p>
    <w:p w14:paraId="46B86C02" w14:textId="77777777" w:rsidR="00996B51" w:rsidRPr="004E28E1" w:rsidRDefault="006D6A63">
      <w:pPr>
        <w:ind w:left="1276" w:right="175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 xml:space="preserve">Artículo 179. </w:t>
      </w:r>
      <w:r w:rsidRPr="004E28E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C147287" w14:textId="77777777" w:rsidR="00996B51" w:rsidRPr="004E28E1" w:rsidRDefault="006D6A63">
      <w:pPr>
        <w:ind w:left="1276" w:right="175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p>
    <w:p w14:paraId="277A6ACE" w14:textId="77777777" w:rsidR="00996B51" w:rsidRPr="004E28E1" w:rsidRDefault="006D6A63">
      <w:pPr>
        <w:ind w:left="1276" w:right="175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1E60186F" w14:textId="77777777" w:rsidR="00996B51" w:rsidRPr="004E28E1" w:rsidRDefault="006D6A63">
      <w:pPr>
        <w:spacing w:before="280" w:after="28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lastRenderedPageBreak/>
        <w:t>Tercero. Materia de Revisión</w:t>
      </w:r>
      <w:r w:rsidRPr="004E28E1">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4E28E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E28E1">
        <w:rPr>
          <w:rFonts w:ascii="Palatino Linotype" w:eastAsia="Palatino Linotype" w:hAnsi="Palatino Linotype" w:cs="Palatino Linotype"/>
        </w:rPr>
        <w:t xml:space="preserve">de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o en su defecto, en caso de ser procedente, ordenar la entrega de información.</w:t>
      </w:r>
    </w:p>
    <w:p w14:paraId="67962B9F"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Cuarto. Estudio de fondo del asunto. </w:t>
      </w:r>
      <w:r w:rsidRPr="004E28E1">
        <w:rPr>
          <w:rFonts w:ascii="Palatino Linotype" w:eastAsia="Palatino Linotype" w:hAnsi="Palatino Linotype" w:cs="Palatino Linotype"/>
        </w:rPr>
        <w:t xml:space="preserve">es conveniente analizar si la respuesta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7144FAD" w14:textId="77777777" w:rsidR="00996B51" w:rsidRPr="004E28E1" w:rsidRDefault="006D6A63">
      <w:pPr>
        <w:spacing w:before="240"/>
        <w:ind w:left="709" w:right="76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Artículo 4.</w:t>
      </w:r>
      <w:r w:rsidRPr="004E28E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1415C51" w14:textId="77777777" w:rsidR="00996B51" w:rsidRPr="004E28E1" w:rsidRDefault="006D6A63">
      <w:pPr>
        <w:ind w:left="709" w:right="76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E28E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7F594E" w14:textId="77777777" w:rsidR="00996B51" w:rsidRPr="004E28E1" w:rsidRDefault="006D6A63">
      <w:pPr>
        <w:ind w:left="709" w:right="76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4E28E1">
        <w:rPr>
          <w:rFonts w:ascii="Palatino Linotype" w:eastAsia="Palatino Linotype" w:hAnsi="Palatino Linotype" w:cs="Palatino Linotype"/>
          <w:i/>
          <w:sz w:val="22"/>
          <w:szCs w:val="22"/>
        </w:rPr>
        <w:t>.”(</w:t>
      </w:r>
      <w:proofErr w:type="gramEnd"/>
      <w:r w:rsidRPr="004E28E1">
        <w:rPr>
          <w:rFonts w:ascii="Palatino Linotype" w:eastAsia="Palatino Linotype" w:hAnsi="Palatino Linotype" w:cs="Palatino Linotype"/>
          <w:i/>
          <w:sz w:val="22"/>
          <w:szCs w:val="22"/>
        </w:rPr>
        <w:t>Sic)</w:t>
      </w:r>
    </w:p>
    <w:p w14:paraId="3791E2EC"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2BB4C8D" w14:textId="77777777" w:rsidR="00996B51" w:rsidRPr="004E28E1" w:rsidRDefault="006D6A63">
      <w:pPr>
        <w:ind w:left="567" w:right="758"/>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Artículo12.-</w:t>
      </w:r>
      <w:r w:rsidRPr="004E28E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674AEBE" w14:textId="77777777" w:rsidR="00996B51" w:rsidRPr="004E28E1" w:rsidRDefault="006D6A63">
      <w:pPr>
        <w:ind w:left="567" w:right="758"/>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E28E1">
        <w:rPr>
          <w:rFonts w:ascii="Palatino Linotype" w:eastAsia="Palatino Linotype" w:hAnsi="Palatino Linotype" w:cs="Palatino Linotype"/>
          <w:i/>
          <w:sz w:val="22"/>
          <w:szCs w:val="22"/>
        </w:rPr>
        <w:t xml:space="preserve">. </w:t>
      </w:r>
      <w:r w:rsidRPr="004E28E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56069B2" w14:textId="77777777" w:rsidR="00996B51" w:rsidRPr="004E28E1" w:rsidRDefault="00996B51">
      <w:pPr>
        <w:spacing w:line="360" w:lineRule="auto"/>
        <w:ind w:right="-93"/>
        <w:jc w:val="both"/>
        <w:rPr>
          <w:rFonts w:ascii="Palatino Linotype" w:eastAsia="Palatino Linotype" w:hAnsi="Palatino Linotype" w:cs="Palatino Linotype"/>
        </w:rPr>
      </w:pPr>
    </w:p>
    <w:p w14:paraId="2EC38DC2" w14:textId="77777777" w:rsidR="00996B51" w:rsidRPr="004E28E1" w:rsidRDefault="006D6A63">
      <w:pPr>
        <w:spacing w:line="360" w:lineRule="auto"/>
        <w:ind w:right="-93"/>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1F2218E1" w14:textId="77777777" w:rsidR="00996B51" w:rsidRPr="004E28E1" w:rsidRDefault="00996B51">
      <w:pPr>
        <w:spacing w:line="360" w:lineRule="auto"/>
        <w:ind w:right="-93"/>
        <w:jc w:val="both"/>
        <w:rPr>
          <w:rFonts w:ascii="Palatino Linotype" w:eastAsia="Palatino Linotype" w:hAnsi="Palatino Linotype" w:cs="Palatino Linotype"/>
        </w:rPr>
      </w:pPr>
    </w:p>
    <w:p w14:paraId="7A213B90" w14:textId="77777777" w:rsidR="00996B51" w:rsidRPr="004E28E1" w:rsidRDefault="006D6A63">
      <w:p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4E28E1">
        <w:rPr>
          <w:rFonts w:ascii="Palatino Linotype" w:eastAsia="Palatino Linotype" w:hAnsi="Palatino Linotype" w:cs="Palatino Linotype"/>
          <w:b/>
        </w:rPr>
        <w:t xml:space="preserve"> </w:t>
      </w:r>
    </w:p>
    <w:p w14:paraId="67F6FC9F" w14:textId="77777777" w:rsidR="00996B51" w:rsidRPr="004E28E1" w:rsidRDefault="006D6A63">
      <w:pPr>
        <w:ind w:left="851" w:right="90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No existe obligación de elaborar documentos ad hoc para atender las solicitudes de acceso a la información.</w:t>
      </w:r>
      <w:r w:rsidRPr="004E28E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9463C9A" w14:textId="77777777" w:rsidR="00996B51" w:rsidRPr="004E28E1" w:rsidRDefault="006D6A63">
      <w:pPr>
        <w:ind w:left="851" w:right="90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Resoluciones: </w:t>
      </w:r>
    </w:p>
    <w:p w14:paraId="668F9571" w14:textId="77777777" w:rsidR="00996B51" w:rsidRPr="004E28E1" w:rsidRDefault="006D6A63">
      <w:pPr>
        <w:ind w:left="851" w:right="901"/>
        <w:jc w:val="both"/>
        <w:rPr>
          <w:rFonts w:ascii="Palatino Linotype" w:eastAsia="Palatino Linotype" w:hAnsi="Palatino Linotype" w:cs="Palatino Linotype"/>
          <w:i/>
          <w:sz w:val="22"/>
          <w:szCs w:val="22"/>
        </w:rPr>
      </w:pPr>
      <w:r w:rsidRPr="004E28E1">
        <w:rPr>
          <w:rFonts w:ascii="Noto Sans Symbols" w:eastAsia="Noto Sans Symbols" w:hAnsi="Noto Sans Symbols" w:cs="Noto Sans Symbols"/>
          <w:i/>
          <w:sz w:val="22"/>
          <w:szCs w:val="22"/>
        </w:rPr>
        <w:t>∙</w:t>
      </w:r>
      <w:r w:rsidRPr="004E28E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D65046A" w14:textId="77777777" w:rsidR="00996B51" w:rsidRPr="004E28E1" w:rsidRDefault="006D6A63">
      <w:pPr>
        <w:ind w:left="851" w:right="901"/>
        <w:jc w:val="both"/>
        <w:rPr>
          <w:rFonts w:ascii="Palatino Linotype" w:eastAsia="Palatino Linotype" w:hAnsi="Palatino Linotype" w:cs="Palatino Linotype"/>
          <w:i/>
          <w:sz w:val="22"/>
          <w:szCs w:val="22"/>
        </w:rPr>
      </w:pPr>
      <w:r w:rsidRPr="004E28E1">
        <w:rPr>
          <w:rFonts w:ascii="Noto Sans Symbols" w:eastAsia="Noto Sans Symbols" w:hAnsi="Noto Sans Symbols" w:cs="Noto Sans Symbols"/>
          <w:i/>
          <w:sz w:val="22"/>
          <w:szCs w:val="22"/>
        </w:rPr>
        <w:t>∙</w:t>
      </w:r>
      <w:r w:rsidRPr="004E28E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76733B9" w14:textId="77777777" w:rsidR="00996B51" w:rsidRPr="004E28E1" w:rsidRDefault="006D6A63">
      <w:pPr>
        <w:ind w:left="851" w:right="901"/>
        <w:jc w:val="both"/>
        <w:rPr>
          <w:rFonts w:ascii="Palatino Linotype" w:eastAsia="Palatino Linotype" w:hAnsi="Palatino Linotype" w:cs="Palatino Linotype"/>
          <w:i/>
          <w:sz w:val="22"/>
          <w:szCs w:val="22"/>
        </w:rPr>
      </w:pPr>
      <w:r w:rsidRPr="004E28E1">
        <w:rPr>
          <w:rFonts w:ascii="Noto Sans Symbols" w:eastAsia="Noto Sans Symbols" w:hAnsi="Noto Sans Symbols" w:cs="Noto Sans Symbols"/>
          <w:i/>
          <w:sz w:val="22"/>
          <w:szCs w:val="22"/>
        </w:rPr>
        <w:t>∙</w:t>
      </w:r>
      <w:r w:rsidRPr="004E28E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4E28E1">
        <w:rPr>
          <w:rFonts w:ascii="Palatino Linotype" w:eastAsia="Palatino Linotype" w:hAnsi="Palatino Linotype" w:cs="Palatino Linotype"/>
          <w:i/>
          <w:sz w:val="22"/>
          <w:szCs w:val="22"/>
        </w:rPr>
        <w:t>.”(</w:t>
      </w:r>
      <w:proofErr w:type="gramEnd"/>
      <w:r w:rsidRPr="004E28E1">
        <w:rPr>
          <w:rFonts w:ascii="Palatino Linotype" w:eastAsia="Palatino Linotype" w:hAnsi="Palatino Linotype" w:cs="Palatino Linotype"/>
          <w:i/>
          <w:sz w:val="22"/>
          <w:szCs w:val="22"/>
        </w:rPr>
        <w:t>Sic)</w:t>
      </w:r>
    </w:p>
    <w:p w14:paraId="6D37F22F" w14:textId="77777777" w:rsidR="00996B51" w:rsidRPr="004E28E1" w:rsidRDefault="00996B51">
      <w:pPr>
        <w:spacing w:line="360" w:lineRule="auto"/>
        <w:jc w:val="both"/>
        <w:rPr>
          <w:rFonts w:ascii="Palatino Linotype" w:eastAsia="Palatino Linotype" w:hAnsi="Palatino Linotype" w:cs="Palatino Linotype"/>
        </w:rPr>
      </w:pPr>
    </w:p>
    <w:p w14:paraId="1652D4D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2BBCE9E" w14:textId="77777777" w:rsidR="00996B51" w:rsidRPr="004E28E1" w:rsidRDefault="00996B51">
      <w:pPr>
        <w:spacing w:line="360" w:lineRule="auto"/>
        <w:jc w:val="both"/>
        <w:rPr>
          <w:rFonts w:ascii="Palatino Linotype" w:eastAsia="Palatino Linotype" w:hAnsi="Palatino Linotype" w:cs="Palatino Linotype"/>
        </w:rPr>
      </w:pPr>
    </w:p>
    <w:p w14:paraId="79F231B3"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4E28E1">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69A9F9" w14:textId="77777777" w:rsidR="00996B51" w:rsidRPr="004E28E1" w:rsidRDefault="00996B51">
      <w:pPr>
        <w:spacing w:line="360" w:lineRule="auto"/>
        <w:ind w:right="49"/>
        <w:jc w:val="both"/>
        <w:rPr>
          <w:rFonts w:ascii="Palatino Linotype" w:eastAsia="Palatino Linotype" w:hAnsi="Palatino Linotype" w:cs="Palatino Linotype"/>
        </w:rPr>
      </w:pPr>
    </w:p>
    <w:p w14:paraId="7FAA8F4B"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D482848" w14:textId="77777777" w:rsidR="00996B51" w:rsidRPr="004E28E1" w:rsidRDefault="00996B51">
      <w:pPr>
        <w:ind w:left="851" w:right="899"/>
        <w:jc w:val="both"/>
        <w:rPr>
          <w:rFonts w:ascii="Palatino Linotype" w:eastAsia="Palatino Linotype" w:hAnsi="Palatino Linotype" w:cs="Palatino Linotype"/>
          <w:i/>
          <w:sz w:val="22"/>
          <w:szCs w:val="22"/>
        </w:rPr>
      </w:pPr>
    </w:p>
    <w:p w14:paraId="643E2BB2" w14:textId="77777777" w:rsidR="00996B51" w:rsidRPr="004E28E1" w:rsidRDefault="006D6A63">
      <w:pPr>
        <w:ind w:left="851" w:right="89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 xml:space="preserve">Artículo 3. </w:t>
      </w:r>
      <w:r w:rsidRPr="004E28E1">
        <w:rPr>
          <w:rFonts w:ascii="Palatino Linotype" w:eastAsia="Palatino Linotype" w:hAnsi="Palatino Linotype" w:cs="Palatino Linotype"/>
          <w:i/>
          <w:sz w:val="22"/>
          <w:szCs w:val="22"/>
        </w:rPr>
        <w:t>Para los efectos de la presente Ley se entenderá por:</w:t>
      </w:r>
    </w:p>
    <w:p w14:paraId="401F27D4" w14:textId="77777777" w:rsidR="00996B51" w:rsidRPr="004E28E1" w:rsidRDefault="006D6A63">
      <w:pPr>
        <w:ind w:left="851" w:right="89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p>
    <w:p w14:paraId="0647B388" w14:textId="77777777" w:rsidR="00996B51" w:rsidRPr="004E28E1" w:rsidRDefault="006D6A63">
      <w:pPr>
        <w:ind w:left="851" w:right="89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XI. Documento:</w:t>
      </w:r>
      <w:r w:rsidRPr="004E28E1">
        <w:rPr>
          <w:rFonts w:ascii="Palatino Linotype" w:eastAsia="Palatino Linotype" w:hAnsi="Palatino Linotype" w:cs="Palatino Linotype"/>
          <w:i/>
          <w:sz w:val="22"/>
          <w:szCs w:val="22"/>
        </w:rPr>
        <w:t xml:space="preserve"> Los expedientes, reportes, estudios, actas</w:t>
      </w:r>
      <w:r w:rsidRPr="004E28E1">
        <w:rPr>
          <w:rFonts w:ascii="Palatino Linotype" w:eastAsia="Palatino Linotype" w:hAnsi="Palatino Linotype" w:cs="Palatino Linotype"/>
          <w:b/>
          <w:i/>
          <w:sz w:val="22"/>
          <w:szCs w:val="22"/>
        </w:rPr>
        <w:t>,</w:t>
      </w:r>
      <w:r w:rsidRPr="004E28E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7BF0EC6" w14:textId="77777777" w:rsidR="00996B51" w:rsidRPr="004E28E1" w:rsidRDefault="00996B51">
      <w:pPr>
        <w:ind w:left="851" w:right="899"/>
        <w:jc w:val="both"/>
        <w:rPr>
          <w:rFonts w:ascii="Palatino Linotype" w:eastAsia="Palatino Linotype" w:hAnsi="Palatino Linotype" w:cs="Palatino Linotype"/>
          <w:sz w:val="22"/>
          <w:szCs w:val="22"/>
        </w:rPr>
      </w:pPr>
    </w:p>
    <w:p w14:paraId="47A6756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4E28E1">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57F2E874" w14:textId="77777777" w:rsidR="00996B51" w:rsidRPr="004E28E1" w:rsidRDefault="006D6A63">
      <w:pPr>
        <w:ind w:left="851" w:right="899"/>
        <w:jc w:val="both"/>
        <w:rPr>
          <w:rFonts w:ascii="Palatino Linotype" w:eastAsia="Palatino Linotype" w:hAnsi="Palatino Linotype" w:cs="Palatino Linotype"/>
          <w:b/>
          <w:i/>
          <w:sz w:val="22"/>
          <w:szCs w:val="22"/>
        </w:rPr>
      </w:pPr>
      <w:r w:rsidRPr="004E28E1">
        <w:rPr>
          <w:rFonts w:ascii="Palatino Linotype" w:eastAsia="Palatino Linotype" w:hAnsi="Palatino Linotype" w:cs="Palatino Linotype"/>
          <w:b/>
          <w:sz w:val="22"/>
          <w:szCs w:val="22"/>
        </w:rPr>
        <w:t>“</w:t>
      </w:r>
      <w:r w:rsidRPr="004E28E1">
        <w:rPr>
          <w:rFonts w:ascii="Palatino Linotype" w:eastAsia="Palatino Linotype" w:hAnsi="Palatino Linotype" w:cs="Palatino Linotype"/>
          <w:b/>
          <w:i/>
          <w:sz w:val="22"/>
          <w:szCs w:val="22"/>
        </w:rPr>
        <w:t>CRITERIO 0002-11</w:t>
      </w:r>
    </w:p>
    <w:p w14:paraId="1CCC8388" w14:textId="77777777" w:rsidR="00996B51" w:rsidRPr="004E28E1" w:rsidRDefault="006D6A63">
      <w:pPr>
        <w:ind w:left="851" w:right="89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E28E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DEC6A1" w14:textId="77777777" w:rsidR="00996B51" w:rsidRPr="004E28E1" w:rsidRDefault="006D6A63">
      <w:pPr>
        <w:ind w:left="851" w:right="89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En </w:t>
      </w:r>
      <w:proofErr w:type="gramStart"/>
      <w:r w:rsidRPr="004E28E1">
        <w:rPr>
          <w:rFonts w:ascii="Palatino Linotype" w:eastAsia="Palatino Linotype" w:hAnsi="Palatino Linotype" w:cs="Palatino Linotype"/>
          <w:i/>
          <w:sz w:val="22"/>
          <w:szCs w:val="22"/>
        </w:rPr>
        <w:t>consecuencia</w:t>
      </w:r>
      <w:proofErr w:type="gramEnd"/>
      <w:r w:rsidRPr="004E28E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977009B" w14:textId="77777777" w:rsidR="00996B51" w:rsidRPr="004E28E1" w:rsidRDefault="006D6A63">
      <w:pPr>
        <w:ind w:left="851" w:right="89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E28E1">
        <w:rPr>
          <w:rFonts w:ascii="Palatino Linotype" w:eastAsia="Palatino Linotype" w:hAnsi="Palatino Linotype" w:cs="Palatino Linotype"/>
          <w:i/>
          <w:sz w:val="22"/>
          <w:szCs w:val="22"/>
        </w:rPr>
        <w:t>que</w:t>
      </w:r>
      <w:proofErr w:type="gramEnd"/>
      <w:r w:rsidRPr="004E28E1">
        <w:rPr>
          <w:rFonts w:ascii="Palatino Linotype" w:eastAsia="Palatino Linotype" w:hAnsi="Palatino Linotype" w:cs="Palatino Linotype"/>
          <w:i/>
          <w:sz w:val="22"/>
          <w:szCs w:val="22"/>
        </w:rPr>
        <w:t xml:space="preserve"> en ejercicio de las atribuciones conferidas, sea generada por los Sujetos Obligados;</w:t>
      </w:r>
    </w:p>
    <w:p w14:paraId="255F065D" w14:textId="77777777" w:rsidR="00996B51" w:rsidRPr="004E28E1" w:rsidRDefault="006D6A63">
      <w:pPr>
        <w:ind w:left="851" w:right="899"/>
        <w:jc w:val="both"/>
        <w:rPr>
          <w:rFonts w:ascii="Palatino Linotype" w:eastAsia="Palatino Linotype" w:hAnsi="Palatino Linotype" w:cs="Palatino Linotype"/>
          <w:b/>
          <w:i/>
          <w:sz w:val="22"/>
          <w:szCs w:val="22"/>
        </w:rPr>
      </w:pPr>
      <w:r w:rsidRPr="004E28E1">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4E28E1">
        <w:rPr>
          <w:rFonts w:ascii="Palatino Linotype" w:eastAsia="Palatino Linotype" w:hAnsi="Palatino Linotype" w:cs="Palatino Linotype"/>
          <w:b/>
          <w:i/>
          <w:sz w:val="22"/>
          <w:szCs w:val="22"/>
        </w:rPr>
        <w:t>que</w:t>
      </w:r>
      <w:proofErr w:type="gramEnd"/>
      <w:r w:rsidRPr="004E28E1">
        <w:rPr>
          <w:rFonts w:ascii="Palatino Linotype" w:eastAsia="Palatino Linotype" w:hAnsi="Palatino Linotype" w:cs="Palatino Linotype"/>
          <w:b/>
          <w:i/>
          <w:sz w:val="22"/>
          <w:szCs w:val="22"/>
        </w:rPr>
        <w:t xml:space="preserve"> en ejercicio de las atribuciones conferidas, sea administrada por los Sujetos Obligados, y</w:t>
      </w:r>
    </w:p>
    <w:p w14:paraId="4983DF46" w14:textId="77777777" w:rsidR="00996B51" w:rsidRPr="004E28E1" w:rsidRDefault="006D6A63">
      <w:pPr>
        <w:ind w:left="851" w:right="899"/>
        <w:jc w:val="both"/>
        <w:rPr>
          <w:rFonts w:ascii="Palatino Linotype" w:eastAsia="Palatino Linotype" w:hAnsi="Palatino Linotype" w:cs="Palatino Linotype"/>
          <w:b/>
          <w:i/>
          <w:sz w:val="22"/>
          <w:szCs w:val="22"/>
        </w:rPr>
      </w:pPr>
      <w:r w:rsidRPr="004E28E1">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4E28E1">
        <w:rPr>
          <w:rFonts w:ascii="Palatino Linotype" w:eastAsia="Palatino Linotype" w:hAnsi="Palatino Linotype" w:cs="Palatino Linotype"/>
          <w:b/>
          <w:i/>
          <w:sz w:val="22"/>
          <w:szCs w:val="22"/>
        </w:rPr>
        <w:t>.”(</w:t>
      </w:r>
      <w:proofErr w:type="gramEnd"/>
      <w:r w:rsidRPr="004E28E1">
        <w:rPr>
          <w:rFonts w:ascii="Palatino Linotype" w:eastAsia="Palatino Linotype" w:hAnsi="Palatino Linotype" w:cs="Palatino Linotype"/>
          <w:b/>
          <w:i/>
          <w:sz w:val="22"/>
          <w:szCs w:val="22"/>
        </w:rPr>
        <w:t>Sic)</w:t>
      </w:r>
    </w:p>
    <w:p w14:paraId="631950D3"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al </w:t>
      </w:r>
      <w:r w:rsidRPr="004E28E1">
        <w:rPr>
          <w:rFonts w:ascii="Palatino Linotype" w:eastAsia="Palatino Linotype" w:hAnsi="Palatino Linotype" w:cs="Palatino Linotype"/>
          <w:b/>
        </w:rPr>
        <w:t>Ayuntamiento de Tlalnepantla de Baz</w:t>
      </w:r>
      <w:r w:rsidRPr="004E28E1">
        <w:rPr>
          <w:rFonts w:ascii="Palatino Linotype" w:eastAsia="Palatino Linotype" w:hAnsi="Palatino Linotype" w:cs="Palatino Linotype"/>
        </w:rPr>
        <w:t>, lo siguiente:</w:t>
      </w:r>
    </w:p>
    <w:p w14:paraId="5D3EAB08" w14:textId="77777777" w:rsidR="00996B51" w:rsidRPr="004E28E1" w:rsidRDefault="006D6A63">
      <w:pPr>
        <w:numPr>
          <w:ilvl w:val="0"/>
          <w:numId w:val="5"/>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Expedientes laborales de todos los servidores públicos del Municipio Tlalnepantla. </w:t>
      </w:r>
    </w:p>
    <w:p w14:paraId="48343FD3"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respuesta,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a través de su Dirección de Administración determinó hacer el cambio de modalidad a consulta directa de la información solicitada.  </w:t>
      </w:r>
    </w:p>
    <w:p w14:paraId="17816D67" w14:textId="77777777" w:rsidR="00996B51" w:rsidRPr="004E28E1" w:rsidRDefault="006D6A63">
      <w:pPr>
        <w:spacing w:before="240" w:after="240" w:line="360" w:lineRule="auto"/>
        <w:jc w:val="both"/>
        <w:rPr>
          <w:rFonts w:ascii="Palatino Linotype" w:eastAsia="Palatino Linotype" w:hAnsi="Palatino Linotype" w:cs="Palatino Linotype"/>
          <w:i/>
        </w:rPr>
      </w:pPr>
      <w:r w:rsidRPr="004E28E1">
        <w:rPr>
          <w:rFonts w:ascii="Palatino Linotype" w:eastAsia="Palatino Linotype" w:hAnsi="Palatino Linotype" w:cs="Palatino Linotype"/>
        </w:rPr>
        <w:lastRenderedPageBreak/>
        <w:t xml:space="preserve">No conforme con la respuesta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interpuso el recurso de revisión que se analiza en el presente asunto, en lo medular por el cambio de modalidad a consulta directa. </w:t>
      </w:r>
    </w:p>
    <w:p w14:paraId="5B4EC389" w14:textId="77777777" w:rsidR="00996B51" w:rsidRPr="004E28E1" w:rsidRDefault="006D6A63">
      <w:pPr>
        <w:spacing w:line="360" w:lineRule="auto"/>
        <w:jc w:val="both"/>
      </w:pPr>
      <w:r w:rsidRPr="004E28E1">
        <w:rPr>
          <w:rFonts w:ascii="Palatino Linotype" w:eastAsia="Palatino Linotype" w:hAnsi="Palatino Linotype" w:cs="Palatino Linotype"/>
        </w:rPr>
        <w:t xml:space="preserve">Ante la interposición del recurso de revisión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rindió su informe justificado mediante el cual ratificó su respuesta primigenia. </w:t>
      </w:r>
    </w:p>
    <w:p w14:paraId="77B044AB" w14:textId="77777777" w:rsidR="00996B51" w:rsidRPr="004E28E1" w:rsidRDefault="00996B51">
      <w:pPr>
        <w:spacing w:line="360" w:lineRule="auto"/>
        <w:jc w:val="both"/>
        <w:rPr>
          <w:rFonts w:ascii="Palatino Linotype" w:eastAsia="Palatino Linotype" w:hAnsi="Palatino Linotype" w:cs="Palatino Linotype"/>
        </w:rPr>
      </w:pPr>
    </w:p>
    <w:p w14:paraId="4047558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Con base en lo precedente, se determina que la información proporcionada por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en respuesta como desahogo del requerimiento adicional,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en razón de las consideraciones de derecho que a continuación se exponen:</w:t>
      </w:r>
    </w:p>
    <w:p w14:paraId="0BA8C3D5" w14:textId="77777777" w:rsidR="00996B51" w:rsidRPr="004E28E1" w:rsidRDefault="00996B51">
      <w:pPr>
        <w:spacing w:line="360" w:lineRule="auto"/>
        <w:jc w:val="both"/>
        <w:rPr>
          <w:rFonts w:ascii="Palatino Linotype" w:eastAsia="Palatino Linotype" w:hAnsi="Palatino Linotype" w:cs="Palatino Linotype"/>
        </w:rPr>
      </w:pPr>
    </w:p>
    <w:p w14:paraId="646D872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primero de abril del año dos mil veinticuatro, discernimiento que encuentra apoyado en los Criterios 1/2010 y 2/2010,  emitidos por el “Comité de Acceso a la Información y </w:t>
      </w:r>
      <w:r w:rsidRPr="004E28E1">
        <w:rPr>
          <w:rFonts w:ascii="Palatino Linotype" w:eastAsia="Palatino Linotype" w:hAnsi="Palatino Linotype" w:cs="Palatino Linotype"/>
        </w:rPr>
        <w:lastRenderedPageBreak/>
        <w:t xml:space="preserve">Protección de Datos personales” de la Suprema Corte de Justicia de la Nación, que disponen: </w:t>
      </w:r>
    </w:p>
    <w:p w14:paraId="58E7265B" w14:textId="77777777" w:rsidR="00996B51" w:rsidRPr="004E28E1" w:rsidRDefault="00996B51">
      <w:pPr>
        <w:spacing w:line="360" w:lineRule="auto"/>
        <w:jc w:val="both"/>
        <w:rPr>
          <w:rFonts w:ascii="Palatino Linotype" w:eastAsia="Palatino Linotype" w:hAnsi="Palatino Linotype" w:cs="Palatino Linotype"/>
        </w:rPr>
      </w:pPr>
    </w:p>
    <w:p w14:paraId="36B75191"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rPr>
        <w:t xml:space="preserve"> </w:t>
      </w:r>
      <w:r w:rsidRPr="004E28E1">
        <w:rPr>
          <w:rFonts w:ascii="Palatino Linotype" w:eastAsia="Palatino Linotype" w:hAnsi="Palatino Linotype" w:cs="Palatino Linotype"/>
          <w:i/>
          <w:sz w:val="22"/>
          <w:szCs w:val="22"/>
        </w:rPr>
        <w:t>“Criterio 1/2010</w:t>
      </w:r>
    </w:p>
    <w:p w14:paraId="31C0FFB8"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541EF9BA"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435F4423"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Clasificación de Información 69/2009-A. 30 de septiembre de 2009. Unanimidad de votos.”</w:t>
      </w:r>
    </w:p>
    <w:p w14:paraId="38C5DE50"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“Criterio 2/2010.</w:t>
      </w:r>
    </w:p>
    <w:p w14:paraId="19EE769C"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6C490673"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48896A6E"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Clasificación de Información 69/2009-A. 30 de septiembre de 2009. Unanimidad de votos.”</w:t>
      </w:r>
    </w:p>
    <w:p w14:paraId="5AC4D327" w14:textId="77777777" w:rsidR="00996B51" w:rsidRPr="004E28E1" w:rsidRDefault="00996B51">
      <w:pPr>
        <w:spacing w:line="360" w:lineRule="auto"/>
        <w:jc w:val="both"/>
        <w:rPr>
          <w:rFonts w:ascii="Palatino Linotype" w:eastAsia="Palatino Linotype" w:hAnsi="Palatino Linotype" w:cs="Palatino Linotype"/>
        </w:rPr>
      </w:pPr>
    </w:p>
    <w:p w14:paraId="4BE56D2A"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Por otro lado, se debe precisar que áreas conforman el Ayuntamiento de Tlalnepantla de Baz del Estado de México, que en términos de lo señalado por el </w:t>
      </w:r>
      <w:r w:rsidRPr="004E28E1">
        <w:rPr>
          <w:rFonts w:ascii="Palatino Linotype" w:eastAsia="Palatino Linotype" w:hAnsi="Palatino Linotype" w:cs="Palatino Linotype"/>
        </w:rPr>
        <w:lastRenderedPageBreak/>
        <w:t xml:space="preserve">artículo 27 y 33 del Bando Municipal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para el año 2024, se integra de las siguientes áreas:</w:t>
      </w:r>
    </w:p>
    <w:p w14:paraId="3B99B09C" w14:textId="77777777" w:rsidR="00996B51" w:rsidRPr="004E28E1" w:rsidRDefault="00996B51">
      <w:pPr>
        <w:spacing w:line="360" w:lineRule="auto"/>
        <w:jc w:val="both"/>
        <w:rPr>
          <w:rFonts w:ascii="Palatino Linotype" w:eastAsia="Palatino Linotype" w:hAnsi="Palatino Linotype" w:cs="Palatino Linotype"/>
        </w:rPr>
      </w:pPr>
    </w:p>
    <w:p w14:paraId="12192E09"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“Artículo 27. </w:t>
      </w:r>
      <w:r w:rsidRPr="004E28E1">
        <w:rPr>
          <w:rFonts w:ascii="Palatino Linotype" w:eastAsia="Palatino Linotype" w:hAnsi="Palatino Linotype" w:cs="Palatino Linotype"/>
          <w:b/>
          <w:i/>
          <w:sz w:val="22"/>
          <w:szCs w:val="22"/>
        </w:rPr>
        <w:t xml:space="preserve">El Ayuntamiento como órgano de gobierno está integrado por un </w:t>
      </w:r>
      <w:proofErr w:type="gramStart"/>
      <w:r w:rsidRPr="004E28E1">
        <w:rPr>
          <w:rFonts w:ascii="Palatino Linotype" w:eastAsia="Palatino Linotype" w:hAnsi="Palatino Linotype" w:cs="Palatino Linotype"/>
          <w:b/>
          <w:i/>
          <w:sz w:val="22"/>
          <w:szCs w:val="22"/>
        </w:rPr>
        <w:t>Presidente</w:t>
      </w:r>
      <w:proofErr w:type="gramEnd"/>
      <w:r w:rsidRPr="004E28E1">
        <w:rPr>
          <w:rFonts w:ascii="Palatino Linotype" w:eastAsia="Palatino Linotype" w:hAnsi="Palatino Linotype" w:cs="Palatino Linotype"/>
          <w:b/>
          <w:i/>
          <w:sz w:val="22"/>
          <w:szCs w:val="22"/>
        </w:rPr>
        <w:t xml:space="preserve"> Municipal, dos Síndicas y Síndicos, doce Regidoras</w:t>
      </w:r>
      <w:r w:rsidRPr="004E28E1">
        <w:rPr>
          <w:rFonts w:ascii="Palatino Linotype" w:eastAsia="Palatino Linotype" w:hAnsi="Palatino Linotype" w:cs="Palatino Linotype"/>
          <w:i/>
          <w:sz w:val="22"/>
          <w:szCs w:val="22"/>
        </w:rPr>
        <w:t xml:space="preserve"> y Regidores electos según los principios de mayoría relativa y de representación proporcional, con las facultades y obligaciones que les imponen la Constitución Política de los Estados Unidos Mexicanos, la Constitución Política del Estado Libre y Soberano de México, y las demás leyes que de ellas emanen.</w:t>
      </w:r>
    </w:p>
    <w:p w14:paraId="6B07CF2E"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p>
    <w:p w14:paraId="25A41598"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Artículo 33. </w:t>
      </w:r>
      <w:r w:rsidRPr="004E28E1">
        <w:rPr>
          <w:rFonts w:ascii="Palatino Linotype" w:eastAsia="Palatino Linotype" w:hAnsi="Palatino Linotype" w:cs="Palatino Linotype"/>
          <w:b/>
          <w:i/>
          <w:sz w:val="22"/>
          <w:szCs w:val="22"/>
        </w:rPr>
        <w:t xml:space="preserve">La Administración Pública Municipal Centralizada estará integrada por las siguientes dependencias administrativas: </w:t>
      </w:r>
    </w:p>
    <w:p w14:paraId="22DD21B1"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I. Presidencia Municipal; </w:t>
      </w:r>
    </w:p>
    <w:p w14:paraId="186242FE"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II. Secretaría del Ayuntamiento; </w:t>
      </w:r>
    </w:p>
    <w:p w14:paraId="0CB0CCE3"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III. Tesorería Municipal; </w:t>
      </w:r>
    </w:p>
    <w:p w14:paraId="75B0E64C"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IV. Secretaría Técnica; </w:t>
      </w:r>
    </w:p>
    <w:p w14:paraId="1E7FD68A"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V. Contraloría Interna Municipal; </w:t>
      </w:r>
    </w:p>
    <w:p w14:paraId="29563963"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VI. Dirección de Administración; </w:t>
      </w:r>
    </w:p>
    <w:p w14:paraId="6BE448DA"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VII. Dirección Jurídica; </w:t>
      </w:r>
    </w:p>
    <w:p w14:paraId="2FCBD4BF"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VIII. Dirección de Promoción Económica; </w:t>
      </w:r>
    </w:p>
    <w:p w14:paraId="39AD7F79"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IX. Dirección de Desarrollo Social; </w:t>
      </w:r>
    </w:p>
    <w:p w14:paraId="500027DD"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 Dirección de Desarrollo Urbano; </w:t>
      </w:r>
    </w:p>
    <w:p w14:paraId="31061A22"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XI. Dirección de Servicios Públicos; </w:t>
      </w:r>
    </w:p>
    <w:p w14:paraId="522563D1"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XII. Dirección de Obras Públicas; </w:t>
      </w:r>
    </w:p>
    <w:p w14:paraId="7F731E1E"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XIII. Dirección de Sustentabilidad Ambiental; </w:t>
      </w:r>
    </w:p>
    <w:p w14:paraId="7E5752E4"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XIV. Dirección de la Mujer; </w:t>
      </w:r>
    </w:p>
    <w:p w14:paraId="7713E78A"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XV. Dirección de Movilidad; </w:t>
      </w:r>
    </w:p>
    <w:p w14:paraId="51A69CEE"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XVI. Instituto Municipal de la Cultura y las Artes; </w:t>
      </w:r>
    </w:p>
    <w:p w14:paraId="7FDF43C7"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XVII. Instituto Municipal de Educación;</w:t>
      </w:r>
    </w:p>
    <w:p w14:paraId="33382A05"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XVIII. Instituto Municipal de Cultura Física y Deporte; </w:t>
      </w:r>
    </w:p>
    <w:p w14:paraId="0CB0DE0E"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XIX. Instituto Municipal de la Juventud; </w:t>
      </w:r>
    </w:p>
    <w:p w14:paraId="78438990"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XX. Dirección de Protección Civil; y </w:t>
      </w:r>
    </w:p>
    <w:p w14:paraId="52014848"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XXI. Comisaría General de Seguridad Pública y Tránsito Municipal. </w:t>
      </w:r>
    </w:p>
    <w:p w14:paraId="163ECC73" w14:textId="77777777" w:rsidR="00996B51" w:rsidRPr="004E28E1" w:rsidRDefault="006D6A63">
      <w:pPr>
        <w:ind w:left="567" w:right="616"/>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Dependencias que para el desempeño de sus funciones, atribuciones y facultades estarán a lo previsto por el Reglamento Interno de la Administración Pública Municipal de Tlalnepantla de Baz, Estado de México y demás ordenamientos jurídicos aplicables en su ámbito de competencia, encontrándose facultados para realizar las diligencias </w:t>
      </w:r>
      <w:r w:rsidRPr="004E28E1">
        <w:rPr>
          <w:rFonts w:ascii="Palatino Linotype" w:eastAsia="Palatino Linotype" w:hAnsi="Palatino Linotype" w:cs="Palatino Linotype"/>
          <w:i/>
          <w:sz w:val="22"/>
          <w:szCs w:val="22"/>
        </w:rPr>
        <w:lastRenderedPageBreak/>
        <w:t>necesarias, pudiendo habilitar o comisionar al personal correspondiente para realizar la notificación respectiva, a fin de atender los asuntos de su competencia.”</w:t>
      </w:r>
    </w:p>
    <w:p w14:paraId="02360689"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Precisado lo anterior, regresando con la respuesta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hizo el cambio de modalidad a consulta directa de la información requerida por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en ese sentido el presente estudio versa sobre el cambio de modalidad a consulta directa hecho valer por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w:t>
      </w:r>
    </w:p>
    <w:p w14:paraId="6DA5766E"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Derivado de lo anterior,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señaló contar con la información pero que la misma no sólo sobrepasaba las capacidades técnicas del Sistema de Acceso a la Información Mexiquense (SAIMEX), sino también la capacidades administrativas y humanas de la Dirección de Administración para realizar en el plazo legal establecido la entrega total de la información en versión pública al contener información de naturaleza confidencial, ya que sólo cuenta con una servidora pública asignada para dicha actividad, de manera que no se cuenta con la estructura humana y material para realizar exclusivamente versiones públicas de la información que generan y remiten las áreas administrativas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por lo que es insuficiente el personal asignado para su elaboración y de efectuarla con los recursos actuales, lo que implicaría distraer al personal de las funciones sustantivas que se tienen encomendadas por las disposiciones constitucionales y demás ordenamientos aplicables y adjuntó el oficio número INFOEM/DGI/246/2024 por medio de la cual ingreso su incidencia ante este Instituto ya que la información sobrepasaba los veintiún gigabytes, al respecto es preciso señalar que, todos los actos que realicen los sujetos obligados deben estar documentados y, bajo el más alto estándar de transparencia deberán poner toda la información que se encuentre en su posesión, a disposición de los particulares que </w:t>
      </w:r>
      <w:r w:rsidRPr="004E28E1">
        <w:rPr>
          <w:rFonts w:ascii="Palatino Linotype" w:eastAsia="Palatino Linotype" w:hAnsi="Palatino Linotype" w:cs="Palatino Linotype"/>
        </w:rPr>
        <w:lastRenderedPageBreak/>
        <w:t>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7FBD50CC" w14:textId="77777777" w:rsidR="00996B51" w:rsidRPr="004E28E1" w:rsidRDefault="00996B51">
      <w:pPr>
        <w:spacing w:line="360" w:lineRule="auto"/>
        <w:jc w:val="both"/>
        <w:rPr>
          <w:rFonts w:ascii="Palatino Linotype" w:eastAsia="Palatino Linotype" w:hAnsi="Palatino Linotype" w:cs="Palatino Linotype"/>
        </w:rPr>
      </w:pPr>
    </w:p>
    <w:p w14:paraId="1CD1962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Además, debemos tomar en cuenta los artículos 4 y 12, de la Ley de Transparencia y Acceso a la Información Pública del Estado de México y Municipios, de los que se desprende que 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w:t>
      </w:r>
    </w:p>
    <w:p w14:paraId="2F7AFDC3" w14:textId="77777777" w:rsidR="00996B51" w:rsidRPr="004E28E1" w:rsidRDefault="00996B51">
      <w:pPr>
        <w:tabs>
          <w:tab w:val="right" w:pos="9044"/>
        </w:tabs>
        <w:spacing w:line="360" w:lineRule="auto"/>
        <w:jc w:val="both"/>
        <w:rPr>
          <w:rFonts w:ascii="Palatino Linotype" w:eastAsia="Palatino Linotype" w:hAnsi="Palatino Linotype" w:cs="Palatino Linotype"/>
        </w:rPr>
      </w:pPr>
    </w:p>
    <w:p w14:paraId="1C65EB4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Establecido lo anterior,</w:t>
      </w:r>
      <w:r w:rsidRPr="004E28E1">
        <w:rPr>
          <w:rFonts w:ascii="Palatino Linotype" w:eastAsia="Palatino Linotype" w:hAnsi="Palatino Linotype" w:cs="Palatino Linotype"/>
          <w:b/>
        </w:rPr>
        <w:t xml:space="preserve"> </w:t>
      </w:r>
      <w:r w:rsidRPr="004E28E1">
        <w:rPr>
          <w:rFonts w:ascii="Palatino Linotype" w:eastAsia="Palatino Linotype" w:hAnsi="Palatino Linotype" w:cs="Palatino Linotype"/>
        </w:rPr>
        <w:t xml:space="preserve">cabe recordar que se requirió la información, a través del Sistema de Acceso a Información Mexiquense (SAIMEX); al respecto, el artículo 155, fracción V, de la Ley de Transparencia y Acceso a la Información Pública del Estado </w:t>
      </w:r>
      <w:r w:rsidRPr="004E28E1">
        <w:rPr>
          <w:rFonts w:ascii="Palatino Linotype" w:eastAsia="Palatino Linotype" w:hAnsi="Palatino Linotype" w:cs="Palatino Linotype"/>
        </w:rPr>
        <w:lastRenderedPageBreak/>
        <w:t xml:space="preserve">de México y Municipios, precisa que para presentar una solicitud, la persona solicitante podrá señalar </w:t>
      </w:r>
      <w:r w:rsidRPr="004E28E1">
        <w:rPr>
          <w:rFonts w:ascii="Palatino Linotype" w:eastAsia="Palatino Linotype" w:hAnsi="Palatino Linotype" w:cs="Palatino Linotype"/>
          <w:b/>
        </w:rPr>
        <w:t>la modalidad en la que prefiere se otorgue el acceso a la información</w:t>
      </w:r>
      <w:r w:rsidRPr="004E28E1">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4E28E1">
        <w:rPr>
          <w:rFonts w:ascii="Palatino Linotype" w:eastAsia="Palatino Linotype" w:hAnsi="Palatino Linotype" w:cs="Palatino Linotype"/>
        </w:rPr>
        <w:t>CD-Rom</w:t>
      </w:r>
      <w:proofErr w:type="spellEnd"/>
      <w:r w:rsidRPr="004E28E1">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14:paraId="0CFF9035" w14:textId="77777777" w:rsidR="00996B51" w:rsidRPr="004E28E1" w:rsidRDefault="00996B51">
      <w:pPr>
        <w:spacing w:line="360" w:lineRule="auto"/>
        <w:jc w:val="both"/>
        <w:rPr>
          <w:rFonts w:ascii="Palatino Linotype" w:eastAsia="Palatino Linotype" w:hAnsi="Palatino Linotype" w:cs="Palatino Linotype"/>
        </w:rPr>
      </w:pPr>
    </w:p>
    <w:p w14:paraId="434C0870" w14:textId="77777777" w:rsidR="00996B51" w:rsidRPr="004E28E1" w:rsidRDefault="006D6A63">
      <w:p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rPr>
        <w:t xml:space="preserve">El artículo 158, dispone que, de manera excepcional, cuando de manera fundada y motivada lo determine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w:t>
      </w:r>
      <w:r w:rsidRPr="004E28E1">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6EC7997" w14:textId="77777777" w:rsidR="00996B51" w:rsidRPr="004E28E1" w:rsidRDefault="00996B51">
      <w:pPr>
        <w:spacing w:line="360" w:lineRule="auto"/>
        <w:jc w:val="both"/>
        <w:rPr>
          <w:rFonts w:ascii="Palatino Linotype" w:eastAsia="Palatino Linotype" w:hAnsi="Palatino Linotype" w:cs="Palatino Linotype"/>
          <w:b/>
        </w:rPr>
      </w:pPr>
    </w:p>
    <w:p w14:paraId="49018BF1"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sidRPr="004E28E1">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4E28E1">
        <w:rPr>
          <w:rFonts w:ascii="Palatino Linotype" w:eastAsia="Palatino Linotype" w:hAnsi="Palatino Linotype" w:cs="Palatino Linotype"/>
        </w:rPr>
        <w:t xml:space="preserve"> En cualquier caso, </w:t>
      </w:r>
      <w:r w:rsidRPr="004E28E1">
        <w:rPr>
          <w:rFonts w:ascii="Palatino Linotype" w:eastAsia="Palatino Linotype" w:hAnsi="Palatino Linotype" w:cs="Palatino Linotype"/>
          <w:b/>
        </w:rPr>
        <w:t>se deberá fundar y motivar</w:t>
      </w:r>
      <w:r w:rsidRPr="004E28E1">
        <w:rPr>
          <w:rFonts w:ascii="Palatino Linotype" w:eastAsia="Palatino Linotype" w:hAnsi="Palatino Linotype" w:cs="Palatino Linotype"/>
        </w:rPr>
        <w:t xml:space="preserve"> la necesidad de ofrecer otras modalidades.</w:t>
      </w:r>
    </w:p>
    <w:p w14:paraId="5B628094" w14:textId="77777777" w:rsidR="00996B51" w:rsidRPr="004E28E1" w:rsidRDefault="00996B51">
      <w:pPr>
        <w:spacing w:line="360" w:lineRule="auto"/>
        <w:jc w:val="both"/>
        <w:rPr>
          <w:rFonts w:ascii="Palatino Linotype" w:eastAsia="Palatino Linotype" w:hAnsi="Palatino Linotype" w:cs="Palatino Linotype"/>
        </w:rPr>
      </w:pPr>
    </w:p>
    <w:p w14:paraId="6CEB9A6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w:t>
      </w:r>
    </w:p>
    <w:p w14:paraId="258F9686" w14:textId="77777777" w:rsidR="00996B51" w:rsidRPr="004E28E1" w:rsidRDefault="00996B51">
      <w:pPr>
        <w:spacing w:line="360" w:lineRule="auto"/>
        <w:jc w:val="both"/>
        <w:rPr>
          <w:rFonts w:ascii="Palatino Linotype" w:eastAsia="Palatino Linotype" w:hAnsi="Palatino Linotype" w:cs="Palatino Linotype"/>
        </w:rPr>
      </w:pPr>
    </w:p>
    <w:p w14:paraId="108E4735"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tales consideraciones, la entrega deberá hacerse, </w:t>
      </w:r>
      <w:r w:rsidRPr="004E28E1">
        <w:rPr>
          <w:rFonts w:ascii="Palatino Linotype" w:eastAsia="Palatino Linotype" w:hAnsi="Palatino Linotype" w:cs="Palatino Linotype"/>
          <w:b/>
        </w:rPr>
        <w:t>en la medida de lo posible, en la forma solicitada por el interesado, salvo que exista un impedimento justificado para atenderla</w:t>
      </w:r>
      <w:r w:rsidRPr="004E28E1">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4E28E1">
        <w:rPr>
          <w:rFonts w:ascii="Palatino Linotype" w:eastAsia="Palatino Linotype" w:hAnsi="Palatino Linotype" w:cs="Palatino Linotype"/>
          <w:b/>
        </w:rPr>
        <w:t>sólo procede, en caso de que se acredite la imposibilidad de atenderla.</w:t>
      </w:r>
      <w:r w:rsidRPr="004E28E1">
        <w:rPr>
          <w:rFonts w:ascii="Palatino Linotype" w:eastAsia="Palatino Linotype" w:hAnsi="Palatino Linotype" w:cs="Palatino Linotype"/>
        </w:rPr>
        <w:t xml:space="preserve"> </w:t>
      </w:r>
    </w:p>
    <w:p w14:paraId="3D4E7C65" w14:textId="77777777" w:rsidR="00996B51" w:rsidRPr="004E28E1" w:rsidRDefault="00996B51">
      <w:pPr>
        <w:spacing w:line="360" w:lineRule="auto"/>
        <w:jc w:val="both"/>
        <w:rPr>
          <w:rFonts w:ascii="Palatino Linotype" w:eastAsia="Palatino Linotype" w:hAnsi="Palatino Linotype" w:cs="Palatino Linotype"/>
        </w:rPr>
      </w:pPr>
    </w:p>
    <w:p w14:paraId="0706F4C1"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Así, cuando se justifique el impedimento, </w:t>
      </w:r>
      <w:r w:rsidRPr="004E28E1">
        <w:rPr>
          <w:rFonts w:ascii="Palatino Linotype" w:eastAsia="Palatino Linotype" w:hAnsi="Palatino Linotype" w:cs="Palatino Linotype"/>
          <w:b/>
        </w:rPr>
        <w:t>los Sujetos Obligados deberán ofrecer al particular otras modalidades de entrega que permita la información</w:t>
      </w:r>
      <w:r w:rsidRPr="004E28E1">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0E83D39" w14:textId="77777777" w:rsidR="00996B51" w:rsidRPr="004E28E1" w:rsidRDefault="00996B51">
      <w:pPr>
        <w:spacing w:line="360" w:lineRule="auto"/>
        <w:jc w:val="both"/>
        <w:rPr>
          <w:rFonts w:ascii="Palatino Linotype" w:eastAsia="Palatino Linotype" w:hAnsi="Palatino Linotype" w:cs="Palatino Linotype"/>
        </w:rPr>
      </w:pPr>
    </w:p>
    <w:p w14:paraId="58817485" w14:textId="77777777" w:rsidR="00996B51" w:rsidRPr="004E28E1" w:rsidRDefault="006D6A63">
      <w:pPr>
        <w:ind w:left="567" w:right="567"/>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rPr>
        <w:t>“</w:t>
      </w:r>
      <w:r w:rsidRPr="004E28E1">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4E28E1">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w:t>
      </w:r>
      <w:r w:rsidRPr="004E28E1">
        <w:rPr>
          <w:rFonts w:ascii="Palatino Linotype" w:eastAsia="Palatino Linotype" w:hAnsi="Palatino Linotype" w:cs="Palatino Linotype"/>
          <w:i/>
          <w:sz w:val="22"/>
          <w:szCs w:val="22"/>
        </w:rPr>
        <w:lastRenderedPageBreak/>
        <w:t>que permita el documento de que se trate, procurando reducir, en todo momento, los costos de entrega.”</w:t>
      </w:r>
    </w:p>
    <w:p w14:paraId="795FF0B9" w14:textId="77777777" w:rsidR="00996B51" w:rsidRPr="004E28E1" w:rsidRDefault="00996B51">
      <w:pPr>
        <w:spacing w:line="360" w:lineRule="auto"/>
        <w:jc w:val="both"/>
        <w:rPr>
          <w:rFonts w:ascii="Palatino Linotype" w:eastAsia="Palatino Linotype" w:hAnsi="Palatino Linotype" w:cs="Palatino Linotype"/>
        </w:rPr>
      </w:pPr>
    </w:p>
    <w:p w14:paraId="70A2E450" w14:textId="77777777" w:rsidR="00996B51" w:rsidRPr="004E28E1" w:rsidRDefault="006D6A63">
      <w:p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justifique el impedimento para atender la misma y se notifique al particular la puesta a disposición de la </w:t>
      </w:r>
      <w:r w:rsidRPr="004E28E1">
        <w:rPr>
          <w:rFonts w:ascii="Palatino Linotype" w:eastAsia="Palatino Linotype" w:hAnsi="Palatino Linotype" w:cs="Palatino Linotype"/>
          <w:b/>
        </w:rPr>
        <w:t>información en todas las modalidades que lo permitan, procurando reducir los costos de entrega.</w:t>
      </w:r>
    </w:p>
    <w:p w14:paraId="341DBBB0"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3B614B1" w14:textId="77777777" w:rsidR="00996B51" w:rsidRPr="004E28E1" w:rsidRDefault="00996B51">
      <w:pPr>
        <w:spacing w:line="360" w:lineRule="auto"/>
        <w:jc w:val="both"/>
        <w:rPr>
          <w:rFonts w:ascii="Palatino Linotype" w:eastAsia="Palatino Linotype" w:hAnsi="Palatino Linotype" w:cs="Palatino Linotype"/>
        </w:rPr>
      </w:pPr>
    </w:p>
    <w:p w14:paraId="2B44CEA0" w14:textId="77777777" w:rsidR="00996B51" w:rsidRPr="004E28E1" w:rsidRDefault="006D6A6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Las razones por las cuales la información implicaba un análisis, estudio o procesamiento de datos;</w:t>
      </w:r>
    </w:p>
    <w:p w14:paraId="09B7A193" w14:textId="77777777" w:rsidR="00996B51" w:rsidRPr="004E28E1" w:rsidRDefault="006D6A6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El tiempo no es suficiente para atender la solicitud en la modalidad elegida, y</w:t>
      </w:r>
    </w:p>
    <w:p w14:paraId="64BE48E3" w14:textId="77777777" w:rsidR="00996B51" w:rsidRPr="004E28E1" w:rsidRDefault="006D6A6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La cantidad de recursos humanos y materiales con los que cuenta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son insuficientes.</w:t>
      </w:r>
    </w:p>
    <w:p w14:paraId="72FF070D" w14:textId="77777777" w:rsidR="00996B51" w:rsidRPr="004E28E1" w:rsidRDefault="00996B51">
      <w:pPr>
        <w:spacing w:line="360" w:lineRule="auto"/>
        <w:jc w:val="both"/>
        <w:rPr>
          <w:rFonts w:ascii="Palatino Linotype" w:eastAsia="Palatino Linotype" w:hAnsi="Palatino Linotype" w:cs="Palatino Linotype"/>
        </w:rPr>
      </w:pPr>
    </w:p>
    <w:p w14:paraId="3CBE6EB7"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sentido,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a través de su Dirección de Administración, que en términos de lo señalado por el artículo 210 del Reglamento Interno de la Administración Pública Municipal de Tlalnepantla de Baz, Estado de México 2022-2024, la cual tiene las siguientes atribuciones:</w:t>
      </w:r>
    </w:p>
    <w:p w14:paraId="70AA3905" w14:textId="77777777" w:rsidR="00996B51" w:rsidRPr="004E28E1" w:rsidRDefault="00996B51">
      <w:pPr>
        <w:spacing w:line="360" w:lineRule="auto"/>
        <w:jc w:val="both"/>
        <w:rPr>
          <w:rFonts w:ascii="Palatino Linotype" w:eastAsia="Palatino Linotype" w:hAnsi="Palatino Linotype" w:cs="Palatino Linotype"/>
        </w:rPr>
      </w:pPr>
    </w:p>
    <w:p w14:paraId="4D5A6D27" w14:textId="77777777" w:rsidR="00996B51" w:rsidRPr="004E28E1" w:rsidRDefault="006D6A63">
      <w:pPr>
        <w:ind w:left="567" w:right="567"/>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ARTÍCULO 210. Para el despacho de los asuntos de su competencia, la </w:t>
      </w:r>
      <w:r w:rsidRPr="004E28E1">
        <w:rPr>
          <w:rFonts w:ascii="Palatino Linotype" w:eastAsia="Palatino Linotype" w:hAnsi="Palatino Linotype" w:cs="Palatino Linotype"/>
          <w:b/>
          <w:i/>
          <w:sz w:val="22"/>
          <w:szCs w:val="22"/>
        </w:rPr>
        <w:t>Dirección de Administración</w:t>
      </w:r>
      <w:r w:rsidRPr="004E28E1">
        <w:rPr>
          <w:rFonts w:ascii="Palatino Linotype" w:eastAsia="Palatino Linotype" w:hAnsi="Palatino Linotype" w:cs="Palatino Linotype"/>
          <w:i/>
          <w:sz w:val="22"/>
          <w:szCs w:val="22"/>
        </w:rPr>
        <w:t xml:space="preserve">, tendrá las siguientes facultades y obligaciones: </w:t>
      </w:r>
    </w:p>
    <w:p w14:paraId="211A4038" w14:textId="77777777" w:rsidR="00996B51" w:rsidRPr="004E28E1" w:rsidRDefault="006D6A63">
      <w:pPr>
        <w:ind w:left="567" w:right="567"/>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p>
    <w:p w14:paraId="071E7006" w14:textId="77777777" w:rsidR="00996B51" w:rsidRPr="004E28E1" w:rsidRDefault="006D6A63">
      <w:pPr>
        <w:ind w:left="567" w:right="567"/>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IX. Vigilar y supervisar la integración de los expedientes del personal, así como la expedición de las credenciales de identificación laboral…”</w:t>
      </w:r>
    </w:p>
    <w:p w14:paraId="35BC5B31" w14:textId="77777777" w:rsidR="00996B51" w:rsidRPr="004E28E1" w:rsidRDefault="00996B51">
      <w:pPr>
        <w:spacing w:line="360" w:lineRule="auto"/>
        <w:jc w:val="both"/>
        <w:rPr>
          <w:rFonts w:ascii="Palatino Linotype" w:eastAsia="Palatino Linotype" w:hAnsi="Palatino Linotype" w:cs="Palatino Linotype"/>
        </w:rPr>
      </w:pPr>
    </w:p>
    <w:p w14:paraId="16032572"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La cual le corresponde el de vigilar y supervisar la integración de los expedientes del personal del Ayuntamiento de Tlalnepantla de Baz. </w:t>
      </w:r>
    </w:p>
    <w:p w14:paraId="11C03433" w14:textId="77777777" w:rsidR="00996B51" w:rsidRPr="004E28E1" w:rsidRDefault="00996B51">
      <w:pPr>
        <w:spacing w:line="360" w:lineRule="auto"/>
        <w:jc w:val="both"/>
        <w:rPr>
          <w:rFonts w:ascii="Palatino Linotype" w:eastAsia="Palatino Linotype" w:hAnsi="Palatino Linotype" w:cs="Palatino Linotype"/>
        </w:rPr>
      </w:pPr>
    </w:p>
    <w:p w14:paraId="159F3B55"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Aprobó el cambio de modalidad a consulta directa al considerar lo siguiente:</w:t>
      </w:r>
    </w:p>
    <w:p w14:paraId="18B3E534" w14:textId="77777777" w:rsidR="00996B51" w:rsidRPr="004E28E1" w:rsidRDefault="00996B51">
      <w:pPr>
        <w:spacing w:line="360" w:lineRule="auto"/>
        <w:jc w:val="both"/>
        <w:rPr>
          <w:rFonts w:ascii="Palatino Linotype" w:eastAsia="Palatino Linotype" w:hAnsi="Palatino Linotype" w:cs="Palatino Linotype"/>
        </w:rPr>
      </w:pPr>
    </w:p>
    <w:p w14:paraId="486CADA5" w14:textId="77777777" w:rsidR="00996B51" w:rsidRPr="004E28E1" w:rsidRDefault="006D6A6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Que la información solicitada, no sólo sobrepasaba las capacidades técnicas del Sistema de Acceso a la Información Mexiquense (SAIMEX), sino también las capacidades administrativas y humanas de la Dirección de Administración para realizar en el plazo legal establecido la entrega total de la información en versión pública al contener información de naturaleza confidencial, ya que sólo cuenta con una servidora pública asignada para dicha actividad, de manera que no se cuenta con la estructura humana y material para realizar exclusivamente versiones públicas de la información que generan y remiten las áreas administrativas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por lo que es insuficiente el personal asignado para su elaboración y de efectuarla con los recursos actuales, lo que implicaría distraer al personal de las funciones sustantivas que se tienen encomendadas.</w:t>
      </w:r>
    </w:p>
    <w:p w14:paraId="0C4E5DCC" w14:textId="77777777" w:rsidR="00996B51" w:rsidRPr="004E28E1" w:rsidRDefault="006D6A6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Que, incluso el sistema de Acceso a la Información Mexiquense (SAIMEX) no cuenta con la capacidad suficiente para subir la información correspondiente a 21 GB. </w:t>
      </w:r>
    </w:p>
    <w:p w14:paraId="35712032" w14:textId="77777777" w:rsidR="00996B51" w:rsidRPr="004E28E1" w:rsidRDefault="00996B51">
      <w:pPr>
        <w:spacing w:line="360" w:lineRule="auto"/>
        <w:jc w:val="both"/>
        <w:rPr>
          <w:rFonts w:ascii="Palatino Linotype" w:eastAsia="Palatino Linotype" w:hAnsi="Palatino Linotype" w:cs="Palatino Linotype"/>
        </w:rPr>
      </w:pPr>
    </w:p>
    <w:p w14:paraId="4FECE3C6" w14:textId="77777777" w:rsidR="00996B51" w:rsidRPr="004E28E1" w:rsidRDefault="006D6A63">
      <w:pPr>
        <w:spacing w:line="360" w:lineRule="auto"/>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rPr>
        <w:t xml:space="preserve">Aunado a lo anterior,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manifestó que el cambio de modalidad fue soportado por la Dirección General de Informática de este Instituto, oficio que fue adjuntado en respuesta, a través del cual registro su incidencia ante la Dirección de Informática de este Instituto.</w:t>
      </w:r>
    </w:p>
    <w:p w14:paraId="4DEAF2F4" w14:textId="77777777" w:rsidR="00996B51" w:rsidRPr="004E28E1" w:rsidRDefault="00996B51">
      <w:pPr>
        <w:spacing w:line="360" w:lineRule="auto"/>
        <w:jc w:val="both"/>
        <w:rPr>
          <w:rFonts w:ascii="Palatino Linotype" w:eastAsia="Palatino Linotype" w:hAnsi="Palatino Linotype" w:cs="Palatino Linotype"/>
        </w:rPr>
      </w:pPr>
    </w:p>
    <w:p w14:paraId="4977542E"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contexto, este Instituto considera que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precisó las razones por las cuales la información solicitada implicaba un análisis, estudio y procesamiento de información, que sobrepasaba las capacidades técnicas del Sistema de Acceso a la Información Mexiquense.</w:t>
      </w:r>
    </w:p>
    <w:p w14:paraId="01E544E0" w14:textId="77777777" w:rsidR="00996B51" w:rsidRPr="004E28E1" w:rsidRDefault="00996B51">
      <w:pPr>
        <w:spacing w:line="360" w:lineRule="auto"/>
        <w:jc w:val="both"/>
        <w:rPr>
          <w:rFonts w:ascii="Palatino Linotype" w:eastAsia="Palatino Linotype" w:hAnsi="Palatino Linotype" w:cs="Palatino Linotype"/>
        </w:rPr>
      </w:pPr>
    </w:p>
    <w:p w14:paraId="539008E2"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Caber recordar que el artículo 158 de la Ley de la materia, dispone que cuando la información implique un análisis, estudio o procesamiento de documentos, cuya entrega o reproducción sobrepase las capacidades técnicas, administrativas y humanas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deberá poner la información a disposición del Solicitante en consulta directa.</w:t>
      </w:r>
    </w:p>
    <w:p w14:paraId="57B1B931" w14:textId="77777777" w:rsidR="00996B51" w:rsidRPr="004E28E1" w:rsidRDefault="00996B51">
      <w:pPr>
        <w:spacing w:line="360" w:lineRule="auto"/>
        <w:jc w:val="both"/>
        <w:rPr>
          <w:rFonts w:ascii="Palatino Linotype" w:eastAsia="Palatino Linotype" w:hAnsi="Palatino Linotype" w:cs="Palatino Linotype"/>
        </w:rPr>
      </w:pPr>
    </w:p>
    <w:p w14:paraId="581A7DA4"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Asimismo, a través del desahogo al requerimiento adicional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acreditó lo siguiente:</w:t>
      </w:r>
    </w:p>
    <w:p w14:paraId="0B52EB8D" w14:textId="77777777" w:rsidR="00996B51" w:rsidRPr="004E28E1" w:rsidRDefault="00996B51">
      <w:pPr>
        <w:spacing w:line="360" w:lineRule="auto"/>
        <w:jc w:val="both"/>
        <w:rPr>
          <w:rFonts w:ascii="Palatino Linotype" w:eastAsia="Palatino Linotype" w:hAnsi="Palatino Linotype" w:cs="Palatino Linotype"/>
        </w:rPr>
      </w:pPr>
    </w:p>
    <w:p w14:paraId="07233414"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1.      Número de servidores públicos con los que cuenta el Ayuntamiento de Tlalnepantla de Baz al primero de abril del 2024.</w:t>
      </w:r>
    </w:p>
    <w:p w14:paraId="6C918B0D" w14:textId="77777777" w:rsidR="00996B51" w:rsidRPr="004E28E1" w:rsidRDefault="00996B51">
      <w:pPr>
        <w:spacing w:line="360" w:lineRule="auto"/>
        <w:jc w:val="both"/>
        <w:rPr>
          <w:rFonts w:ascii="Palatino Linotype" w:eastAsia="Palatino Linotype" w:hAnsi="Palatino Linotype" w:cs="Palatino Linotype"/>
        </w:rPr>
      </w:pPr>
    </w:p>
    <w:p w14:paraId="26905CDF"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R.- Señaló que al primero de abril del 2024, contaba con 5,067 Servidores Públicos del Ayuntamiento de Tlalnepantla de Baz, lo que acreditó con el documento en Excel que adjunto al desahogo.  </w:t>
      </w:r>
    </w:p>
    <w:p w14:paraId="0B47A743" w14:textId="77777777" w:rsidR="00996B51" w:rsidRPr="004E28E1" w:rsidRDefault="00996B51">
      <w:pPr>
        <w:spacing w:line="360" w:lineRule="auto"/>
        <w:jc w:val="both"/>
        <w:rPr>
          <w:rFonts w:ascii="Palatino Linotype" w:eastAsia="Palatino Linotype" w:hAnsi="Palatino Linotype" w:cs="Palatino Linotype"/>
        </w:rPr>
      </w:pPr>
    </w:p>
    <w:p w14:paraId="56E87D6B"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2.      Nombre de los servidores públicos con los que cuenta el Ayuntamiento de Tlalnepantla de Baz al primero de abril del 2024.</w:t>
      </w:r>
    </w:p>
    <w:p w14:paraId="30206809" w14:textId="77777777" w:rsidR="00996B51" w:rsidRPr="004E28E1" w:rsidRDefault="00996B51">
      <w:pPr>
        <w:spacing w:line="360" w:lineRule="auto"/>
        <w:jc w:val="both"/>
        <w:rPr>
          <w:rFonts w:ascii="Palatino Linotype" w:eastAsia="Palatino Linotype" w:hAnsi="Palatino Linotype" w:cs="Palatino Linotype"/>
        </w:rPr>
      </w:pPr>
    </w:p>
    <w:p w14:paraId="6643E5E7"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R.- Proporciono un listado en formato Excel de los nombres de los Servidores Públicos del Ayuntamiento de Tlalnepantla de Baz.</w:t>
      </w:r>
    </w:p>
    <w:p w14:paraId="55D7B771" w14:textId="77777777" w:rsidR="00996B51" w:rsidRPr="004E28E1" w:rsidRDefault="00996B51">
      <w:pPr>
        <w:spacing w:line="360" w:lineRule="auto"/>
        <w:jc w:val="both"/>
        <w:rPr>
          <w:rFonts w:ascii="Palatino Linotype" w:eastAsia="Palatino Linotype" w:hAnsi="Palatino Linotype" w:cs="Palatino Linotype"/>
        </w:rPr>
      </w:pPr>
    </w:p>
    <w:p w14:paraId="4FA552C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3.       Qué documentos integran un expediente de personal, y bajo que lineamiento, norma o fundamento legal se integran y remita un ejemplo un expediente mismo que deberá digitalizarse en resolución máxima de 150Dpi's, escala de grises y formato "PDF", extraído directamente del escáner.</w:t>
      </w:r>
    </w:p>
    <w:p w14:paraId="146659C4" w14:textId="77777777" w:rsidR="00996B51" w:rsidRPr="004E28E1" w:rsidRDefault="00996B51">
      <w:pPr>
        <w:spacing w:line="360" w:lineRule="auto"/>
        <w:jc w:val="both"/>
        <w:rPr>
          <w:rFonts w:ascii="Palatino Linotype" w:eastAsia="Palatino Linotype" w:hAnsi="Palatino Linotype" w:cs="Palatino Linotype"/>
        </w:rPr>
      </w:pPr>
    </w:p>
    <w:p w14:paraId="358E7F22"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R.- Indicó que los expedientes se formaban en términos de lo señalado por el artículo 47 de la Ley de Trabajo de los Servidores Públicos del Estado y Municipios y 32 de la Ley Orgánica Municipal del Estado de México y adjuntó un ejemplo de un expediente laboral del </w:t>
      </w:r>
      <w:proofErr w:type="gramStart"/>
      <w:r w:rsidRPr="004E28E1">
        <w:rPr>
          <w:rFonts w:ascii="Palatino Linotype" w:eastAsia="Palatino Linotype" w:hAnsi="Palatino Linotype" w:cs="Palatino Linotype"/>
        </w:rPr>
        <w:t>Director</w:t>
      </w:r>
      <w:proofErr w:type="gramEnd"/>
      <w:r w:rsidRPr="004E28E1">
        <w:rPr>
          <w:rFonts w:ascii="Palatino Linotype" w:eastAsia="Palatino Linotype" w:hAnsi="Palatino Linotype" w:cs="Palatino Linotype"/>
        </w:rPr>
        <w:t xml:space="preserve"> de Servicios Públicos. </w:t>
      </w:r>
    </w:p>
    <w:p w14:paraId="36B00768" w14:textId="77777777" w:rsidR="00996B51" w:rsidRPr="004E28E1" w:rsidRDefault="00996B51">
      <w:pPr>
        <w:spacing w:line="360" w:lineRule="auto"/>
        <w:jc w:val="both"/>
        <w:rPr>
          <w:rFonts w:ascii="Palatino Linotype" w:eastAsia="Palatino Linotype" w:hAnsi="Palatino Linotype" w:cs="Palatino Linotype"/>
        </w:rPr>
      </w:pPr>
    </w:p>
    <w:p w14:paraId="1A18E245"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4.      Número de documentos aproximado con los que cuentan cada expediente de personal de los servidores públicos del Ayuntamiento de Tlalnepantla de Baz al primero de abril del 2024, sin considerar aquellos que deben clasificarse como confidenciales en su totalidad; de manera enunciativa, más no limitativa: acta de nacimiento, Clave Única de Registro de Población (CURP), cédula de identificación fiscal,  comprobante de domicilio, credencial para votar, cartas de recomendación, Cartilla de Servicio Militar, contrato bancario, entre otros.</w:t>
      </w:r>
    </w:p>
    <w:p w14:paraId="47AD4177" w14:textId="77777777" w:rsidR="00996B51" w:rsidRPr="004E28E1" w:rsidRDefault="00996B51">
      <w:pPr>
        <w:spacing w:line="360" w:lineRule="auto"/>
        <w:jc w:val="both"/>
        <w:rPr>
          <w:rFonts w:ascii="Palatino Linotype" w:eastAsia="Palatino Linotype" w:hAnsi="Palatino Linotype" w:cs="Palatino Linotype"/>
        </w:rPr>
      </w:pPr>
    </w:p>
    <w:p w14:paraId="5CB5483F"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R.- Señaló que son 15 documentos que integran el expediente personal.</w:t>
      </w:r>
    </w:p>
    <w:p w14:paraId="31A186CF" w14:textId="77777777" w:rsidR="00996B51" w:rsidRPr="004E28E1" w:rsidRDefault="00996B51">
      <w:pPr>
        <w:spacing w:line="360" w:lineRule="auto"/>
        <w:jc w:val="both"/>
        <w:rPr>
          <w:rFonts w:ascii="Palatino Linotype" w:eastAsia="Palatino Linotype" w:hAnsi="Palatino Linotype" w:cs="Palatino Linotype"/>
        </w:rPr>
      </w:pPr>
    </w:p>
    <w:p w14:paraId="1CBD789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5. Cualquier otro dato que permita esclarecer que los documentos que integran los expedientes de personal de los servidores públicos del Ayuntamiento de Tlalnepantla de Baz al primero de abril del 2024, susceptibles de ser entregados en versión pública, ascienden a 21 GB o 30 GB y adjunte pruebas de ello, por ejemplo, capturas de pantalla en donde se advierta el peso de la información. </w:t>
      </w:r>
    </w:p>
    <w:p w14:paraId="2BC7CD9D" w14:textId="77777777" w:rsidR="00996B51" w:rsidRPr="004E28E1" w:rsidRDefault="00996B51">
      <w:pPr>
        <w:spacing w:line="360" w:lineRule="auto"/>
        <w:jc w:val="both"/>
        <w:rPr>
          <w:rFonts w:ascii="Palatino Linotype" w:eastAsia="Palatino Linotype" w:hAnsi="Palatino Linotype" w:cs="Palatino Linotype"/>
        </w:rPr>
      </w:pPr>
    </w:p>
    <w:p w14:paraId="2B27BF93"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R.- adjuntó la siguiente captura de pantalla:</w:t>
      </w:r>
    </w:p>
    <w:p w14:paraId="2EED4571" w14:textId="77777777" w:rsidR="00996B51" w:rsidRPr="004E28E1" w:rsidRDefault="00996B51">
      <w:pPr>
        <w:spacing w:line="360" w:lineRule="auto"/>
        <w:jc w:val="both"/>
        <w:rPr>
          <w:rFonts w:ascii="Palatino Linotype" w:eastAsia="Palatino Linotype" w:hAnsi="Palatino Linotype" w:cs="Palatino Linotype"/>
        </w:rPr>
      </w:pPr>
    </w:p>
    <w:p w14:paraId="5F8DCE20"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lastRenderedPageBreak/>
        <w:drawing>
          <wp:inline distT="0" distB="0" distL="0" distR="0" wp14:anchorId="07E25D18" wp14:editId="121A0E01">
            <wp:extent cx="5462130" cy="4796189"/>
            <wp:effectExtent l="0" t="0" r="0" b="0"/>
            <wp:docPr id="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462130" cy="4796189"/>
                    </a:xfrm>
                    <a:prstGeom prst="rect">
                      <a:avLst/>
                    </a:prstGeom>
                    <a:ln/>
                  </pic:spPr>
                </pic:pic>
              </a:graphicData>
            </a:graphic>
          </wp:inline>
        </w:drawing>
      </w:r>
    </w:p>
    <w:p w14:paraId="5E2985CD" w14:textId="77777777" w:rsidR="00996B51" w:rsidRPr="004E28E1" w:rsidRDefault="00996B51">
      <w:pPr>
        <w:spacing w:line="360" w:lineRule="auto"/>
        <w:jc w:val="both"/>
        <w:rPr>
          <w:rFonts w:ascii="Palatino Linotype" w:eastAsia="Palatino Linotype" w:hAnsi="Palatino Linotype" w:cs="Palatino Linotype"/>
        </w:rPr>
      </w:pPr>
    </w:p>
    <w:p w14:paraId="79FF040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Por lo demás, es de señalar que el área competente para conocer de la información solicitada, en este caso la Dirección de Administración, como se precisó en párrafos anteriores, fue la quien hizo el cambio de modalidad a consulta directa; lo que da certeza y robustece la imposibilidad de proporcionar la información en el medio señalado en la solicitud. Conforme a lo anterior, se considera que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acreditó de manera fundada y motivada, el cambio de modalidad a </w:t>
      </w:r>
      <w:r w:rsidRPr="004E28E1">
        <w:rPr>
          <w:rFonts w:ascii="Palatino Linotype" w:eastAsia="Palatino Linotype" w:hAnsi="Palatino Linotype" w:cs="Palatino Linotype"/>
        </w:rPr>
        <w:lastRenderedPageBreak/>
        <w:t>consulta directa, para atender la presente el requerimiento de información, materia del presente asunto.</w:t>
      </w:r>
    </w:p>
    <w:p w14:paraId="474B6D38" w14:textId="77777777" w:rsidR="00996B51" w:rsidRPr="004E28E1" w:rsidRDefault="00996B51">
      <w:pPr>
        <w:spacing w:line="360" w:lineRule="auto"/>
        <w:jc w:val="both"/>
        <w:rPr>
          <w:rFonts w:ascii="Palatino Linotype" w:eastAsia="Palatino Linotype" w:hAnsi="Palatino Linotype" w:cs="Palatino Linotype"/>
        </w:rPr>
      </w:pPr>
    </w:p>
    <w:p w14:paraId="33A9D8FB"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ese sentido, este Organismo Garante procedió a realizar el siguiente calculó, en razón que del desahogo al requerimiento adicional la Dirección de Administración del Ayuntamiento de Tlalnepantla, informó que a la fecha de la solicitud contaba con 5067 Servidores Públicos y del ejemplo que mando dicha Dirección de un expediente laboral equivale a:</w:t>
      </w:r>
    </w:p>
    <w:p w14:paraId="15F5F4A5" w14:textId="77777777" w:rsidR="00996B51" w:rsidRPr="004E28E1" w:rsidRDefault="00996B51">
      <w:pPr>
        <w:spacing w:line="360" w:lineRule="auto"/>
        <w:jc w:val="both"/>
        <w:rPr>
          <w:rFonts w:ascii="Palatino Linotype" w:eastAsia="Palatino Linotype" w:hAnsi="Palatino Linotype" w:cs="Palatino Linotype"/>
        </w:rPr>
      </w:pPr>
    </w:p>
    <w:p w14:paraId="17B7212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noProof/>
          <w:lang w:val="es-MX"/>
        </w:rPr>
        <w:drawing>
          <wp:inline distT="0" distB="0" distL="0" distR="0" wp14:anchorId="0C97FD41" wp14:editId="3DDB65A1">
            <wp:extent cx="5612130" cy="164465"/>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12130" cy="164465"/>
                    </a:xfrm>
                    <a:prstGeom prst="rect">
                      <a:avLst/>
                    </a:prstGeom>
                    <a:ln/>
                  </pic:spPr>
                </pic:pic>
              </a:graphicData>
            </a:graphic>
          </wp:inline>
        </w:drawing>
      </w:r>
      <w:r w:rsidRPr="004E28E1">
        <w:rPr>
          <w:noProof/>
          <w:lang w:val="es-MX"/>
        </w:rPr>
        <mc:AlternateContent>
          <mc:Choice Requires="wpg">
            <w:drawing>
              <wp:anchor distT="0" distB="0" distL="114300" distR="114300" simplePos="0" relativeHeight="251658240" behindDoc="0" locked="0" layoutInCell="1" hidden="0" allowOverlap="1" wp14:anchorId="24D6A21D" wp14:editId="5915F718">
                <wp:simplePos x="0" y="0"/>
                <wp:positionH relativeFrom="column">
                  <wp:posOffset>5308600</wp:posOffset>
                </wp:positionH>
                <wp:positionV relativeFrom="paragraph">
                  <wp:posOffset>165100</wp:posOffset>
                </wp:positionV>
                <wp:extent cx="233291" cy="328134"/>
                <wp:effectExtent l="0" t="0" r="0" b="0"/>
                <wp:wrapNone/>
                <wp:docPr id="73" name="Flecha: hacia arriba 73"/>
                <wp:cNvGraphicFramePr/>
                <a:graphic xmlns:a="http://schemas.openxmlformats.org/drawingml/2006/main">
                  <a:graphicData uri="http://schemas.microsoft.com/office/word/2010/wordprocessingShape">
                    <wps:wsp>
                      <wps:cNvSpPr/>
                      <wps:spPr>
                        <a:xfrm>
                          <a:off x="5243642" y="3630221"/>
                          <a:ext cx="204716" cy="299559"/>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252085B1" w14:textId="77777777" w:rsidR="00996B51" w:rsidRDefault="00996B5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5308600</wp:posOffset>
                </wp:positionH>
                <wp:positionV relativeFrom="paragraph">
                  <wp:posOffset>165100</wp:posOffset>
                </wp:positionV>
                <wp:extent cx="233291" cy="328134"/>
                <wp:effectExtent b="0" l="0" r="0" t="0"/>
                <wp:wrapNone/>
                <wp:docPr id="73"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233291" cy="328134"/>
                        </a:xfrm>
                        <a:prstGeom prst="rect"/>
                        <a:ln/>
                      </pic:spPr>
                    </pic:pic>
                  </a:graphicData>
                </a:graphic>
              </wp:anchor>
            </w:drawing>
          </mc:Fallback>
        </mc:AlternateContent>
      </w:r>
    </w:p>
    <w:p w14:paraId="677FAC62" w14:textId="77777777" w:rsidR="00996B51" w:rsidRPr="004E28E1" w:rsidRDefault="00996B51">
      <w:pPr>
        <w:spacing w:line="360" w:lineRule="auto"/>
        <w:jc w:val="both"/>
        <w:rPr>
          <w:rFonts w:ascii="Palatino Linotype" w:eastAsia="Palatino Linotype" w:hAnsi="Palatino Linotype" w:cs="Palatino Linotype"/>
        </w:rPr>
      </w:pPr>
    </w:p>
    <w:p w14:paraId="280515E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3, 577 kilobits que multiplicarlo con el número de servidores públicos que contaba a la fecha de la solicitud nos da como resultado 18,124,659 Kb, lo que equivale a 18 GB aproximadamente, con lo que se acredita que la información solicitada supera las capacidades del SAIMEX, toda vez que en diversas ocasiones la Dirección General de Informática, ha informado que el Sistema de Acceso a la Información Mexiquense (SAIMEX), cuenta con la capacidad de recibir archivos con un peso aproximado de hasta 500Mb, que corresponde a un aproximado de 8,000 hojas, por cada solicitud de acceso a la información pública, como se observa a continuación en la siguiente captura de pantalla que se inserta de manera de ejemplo: </w:t>
      </w:r>
    </w:p>
    <w:p w14:paraId="6626F545" w14:textId="77777777" w:rsidR="00996B51" w:rsidRPr="004E28E1" w:rsidRDefault="00996B51">
      <w:pPr>
        <w:spacing w:line="360" w:lineRule="auto"/>
        <w:jc w:val="both"/>
      </w:pPr>
    </w:p>
    <w:p w14:paraId="7F9C3F8A" w14:textId="77777777" w:rsidR="00996B51" w:rsidRPr="004E28E1" w:rsidRDefault="00996B51">
      <w:pPr>
        <w:spacing w:line="360" w:lineRule="auto"/>
        <w:jc w:val="both"/>
      </w:pPr>
    </w:p>
    <w:p w14:paraId="283E8B6B" w14:textId="77777777" w:rsidR="00996B51" w:rsidRPr="004E28E1" w:rsidRDefault="006D6A63">
      <w:pPr>
        <w:spacing w:line="360" w:lineRule="auto"/>
        <w:jc w:val="both"/>
        <w:rPr>
          <w:rFonts w:ascii="Palatino Linotype" w:eastAsia="Palatino Linotype" w:hAnsi="Palatino Linotype" w:cs="Palatino Linotype"/>
        </w:rPr>
      </w:pPr>
      <w:r w:rsidRPr="004E28E1">
        <w:rPr>
          <w:noProof/>
          <w:lang w:val="es-MX"/>
        </w:rPr>
        <w:lastRenderedPageBreak/>
        <w:drawing>
          <wp:inline distT="0" distB="0" distL="0" distR="0" wp14:anchorId="3AB53547" wp14:editId="54C9AB4D">
            <wp:extent cx="5624360" cy="1169391"/>
            <wp:effectExtent l="0" t="0" r="0" b="0"/>
            <wp:docPr id="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46790" t="43250" b="43478"/>
                    <a:stretch>
                      <a:fillRect/>
                    </a:stretch>
                  </pic:blipFill>
                  <pic:spPr>
                    <a:xfrm>
                      <a:off x="0" y="0"/>
                      <a:ext cx="5624360" cy="1169391"/>
                    </a:xfrm>
                    <a:prstGeom prst="rect">
                      <a:avLst/>
                    </a:prstGeom>
                    <a:ln/>
                  </pic:spPr>
                </pic:pic>
              </a:graphicData>
            </a:graphic>
          </wp:inline>
        </w:drawing>
      </w:r>
    </w:p>
    <w:p w14:paraId="02774C23" w14:textId="77777777" w:rsidR="00996B51" w:rsidRPr="004E28E1" w:rsidRDefault="00996B51">
      <w:pPr>
        <w:spacing w:line="360" w:lineRule="auto"/>
        <w:jc w:val="both"/>
        <w:rPr>
          <w:rFonts w:ascii="Palatino Linotype" w:eastAsia="Palatino Linotype" w:hAnsi="Palatino Linotype" w:cs="Palatino Linotype"/>
        </w:rPr>
      </w:pPr>
    </w:p>
    <w:p w14:paraId="35B07A0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igual forma, se advierte que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le otorgó a la solicitante 7 días hábiles para llevarse a cabo la consulta directa, comprendido del 22 de abril al 3 de junio del año 2024; lo que fue restrictivo en cuanto al tiempo de consulta de la información, además que dichos días ya transcurrieron a la fecha de la resolución, contraviniendo lo señalado por el segundo párrafo del artículo 166 de la Ley de la Materia que señala: </w:t>
      </w:r>
    </w:p>
    <w:p w14:paraId="4E468243" w14:textId="77777777" w:rsidR="00996B51" w:rsidRPr="004E28E1" w:rsidRDefault="00996B51">
      <w:pPr>
        <w:spacing w:line="360" w:lineRule="auto"/>
        <w:jc w:val="both"/>
        <w:rPr>
          <w:rFonts w:ascii="Palatino Linotype" w:eastAsia="Palatino Linotype" w:hAnsi="Palatino Linotype" w:cs="Palatino Linotype"/>
        </w:rPr>
      </w:pPr>
    </w:p>
    <w:p w14:paraId="020030C4"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5C5B7C4F"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La Unidad de Transparencia tendrá disponible la información solicitada, </w:t>
      </w:r>
      <w:r w:rsidRPr="004E28E1">
        <w:rPr>
          <w:rFonts w:ascii="Palatino Linotype" w:eastAsia="Palatino Linotype" w:hAnsi="Palatino Linotype" w:cs="Palatino Linotype"/>
          <w:b/>
          <w:i/>
          <w:sz w:val="22"/>
          <w:szCs w:val="22"/>
          <w:u w:val="single"/>
        </w:rPr>
        <w:t>durante un plazo mínimo de sesenta días hábiles</w:t>
      </w:r>
      <w:r w:rsidRPr="004E28E1">
        <w:rPr>
          <w:rFonts w:ascii="Palatino Linotype" w:eastAsia="Palatino Linotype" w:hAnsi="Palatino Linotype" w:cs="Palatino Linotype"/>
          <w:b/>
          <w:i/>
          <w:sz w:val="22"/>
          <w:szCs w:val="22"/>
        </w:rPr>
        <w:t>, contado a partir de que el solicitante hubiere realizado, en su caso, el pago respectivo, el cual deberá efectuarse en un plazo no mayor a treinta días hábiles.</w:t>
      </w:r>
      <w:r w:rsidRPr="004E28E1">
        <w:rPr>
          <w:rFonts w:ascii="Palatino Linotype" w:eastAsia="Palatino Linotype" w:hAnsi="Palatino Linotype" w:cs="Palatino Linotype"/>
          <w:i/>
          <w:sz w:val="22"/>
          <w:szCs w:val="22"/>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3CBCC9E1"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Una vez entregada la información, el solicitante acusará recibo por escrito, dándose por terminado el trámite de acceso a la información” (Sic)</w:t>
      </w:r>
    </w:p>
    <w:p w14:paraId="31998BCA" w14:textId="77777777" w:rsidR="00996B51" w:rsidRPr="004E28E1" w:rsidRDefault="00996B51">
      <w:pPr>
        <w:spacing w:line="360" w:lineRule="auto"/>
        <w:jc w:val="both"/>
        <w:rPr>
          <w:rFonts w:ascii="Palatino Linotype" w:eastAsia="Palatino Linotype" w:hAnsi="Palatino Linotype" w:cs="Palatino Linotype"/>
        </w:rPr>
      </w:pPr>
    </w:p>
    <w:p w14:paraId="6A94900F"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Aunado a lo descrito, el Organismo Garante Nacional, ha considerado que no resulta suficiente justificar una imposibilidad técnica y humana para acreditar un cambio </w:t>
      </w:r>
      <w:r w:rsidRPr="004E28E1">
        <w:rPr>
          <w:rFonts w:ascii="Palatino Linotype" w:eastAsia="Palatino Linotype" w:hAnsi="Palatino Linotype" w:cs="Palatino Linotype"/>
        </w:rPr>
        <w:lastRenderedPageBreak/>
        <w:t xml:space="preserve">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proporcionó otras modalidades para de la entrega de la información, a través de su respuesta que adjuntó al Sistema de Acceso a la Información Mexiquense (SAIMEX); tal como la reproducción de la información o de parte de la misma en otra modalidad, le será otorgada previa pago de derechos correspondientes de conformidad con el artículo 148 del Código Financiero del Estado de México y Municipios, sin que sea necesario presente nueva solicitud de información. </w:t>
      </w:r>
    </w:p>
    <w:p w14:paraId="60677AD2"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Sin embargo, como se advierte de las constancias que integran el expediente del asunto que nos ocupa,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se limitó a ofrecer el cambio de modalidad a consulta directa, así como para el caso de que requiera la reproducción de la información o de parte de la misma en otra modalidad, le será otorgada previa pago de derechos correspondientes de conformidad con el artículo 148 del Código Financiero del Estado de México y Municipios, sin que sea necesario presente nueva solicitud de información, sin precisar, que dichos pago de derechos es por la emisión de copias simples o certificadas, la expedición de información en medios magnéticos o en disco compacto, o bien la el escaneo y digitalización, previo pago de derechos, de conformidad con lo establecido en el artículo 73 del Código Financiero del Estado </w:t>
      </w:r>
      <w:r w:rsidRPr="004E28E1">
        <w:rPr>
          <w:rFonts w:ascii="Palatino Linotype" w:eastAsia="Palatino Linotype" w:hAnsi="Palatino Linotype" w:cs="Palatino Linotype"/>
        </w:rPr>
        <w:lastRenderedPageBreak/>
        <w:t>de México y Municipios, sin perder de vista que el mismo precepto legal dispone también que la entrega de información no tendrá costo si el solicitante proporciona el medio magnético o el disco compacto en el que requiera la información, salvo el costo por escaneo y digitalización, de ser el caso.</w:t>
      </w:r>
    </w:p>
    <w:p w14:paraId="7CDFAF4A"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este sentido, el </w:t>
      </w:r>
      <w:r w:rsidRPr="004E28E1">
        <w:rPr>
          <w:rFonts w:ascii="Palatino Linotype" w:eastAsia="Palatino Linotype" w:hAnsi="Palatino Linotype" w:cs="Palatino Linotype"/>
          <w:b/>
        </w:rPr>
        <w:t xml:space="preserve">Sujeto Obligado, </w:t>
      </w:r>
      <w:r w:rsidRPr="004E28E1">
        <w:rPr>
          <w:rFonts w:ascii="Palatino Linotype" w:eastAsia="Palatino Linotype" w:hAnsi="Palatino Linotype" w:cs="Palatino Linotype"/>
        </w:rPr>
        <w:t>si bien acreditó la entrega de la información mediante una modalidad distinta a la solicitada, también lo es que no ofreció todos los medios por los cuales pudiera entregar la información,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14:paraId="2C54A464" w14:textId="77777777" w:rsidR="00996B51" w:rsidRPr="004E28E1" w:rsidRDefault="006D6A63">
      <w:pPr>
        <w:pBdr>
          <w:top w:val="nil"/>
          <w:left w:val="nil"/>
          <w:bottom w:val="nil"/>
          <w:right w:val="nil"/>
          <w:between w:val="nil"/>
        </w:pBdr>
        <w:spacing w:before="120" w:after="120" w:line="360" w:lineRule="auto"/>
        <w:jc w:val="both"/>
        <w:rPr>
          <w:rFonts w:ascii="Palatino Linotype" w:eastAsia="Palatino Linotype" w:hAnsi="Palatino Linotype" w:cs="Palatino Linotype"/>
          <w:b/>
          <w:u w:val="single"/>
        </w:rPr>
      </w:pPr>
      <w:r w:rsidRPr="004E28E1">
        <w:rPr>
          <w:rFonts w:ascii="Palatino Linotype" w:eastAsia="Palatino Linotype" w:hAnsi="Palatino Linotype" w:cs="Palatino Linotype"/>
        </w:rPr>
        <w:t xml:space="preserve">Bajo los argumentos expuestos, resulta procedente ordenar al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poner a disposición de la persona solicitante los Expedientes laborales de todos los servidores públicos del Municipio Tlalnepantla de Baz, en funciones al primero de abril del año 2024, en versión pública, en todas las modalidades posibles, de manera enunciativa, más no limitativa: </w:t>
      </w:r>
      <w:r w:rsidRPr="004E28E1">
        <w:rPr>
          <w:rFonts w:ascii="Palatino Linotype" w:eastAsia="Palatino Linotype" w:hAnsi="Palatino Linotype" w:cs="Palatino Linotype"/>
          <w:b/>
          <w:u w:val="single"/>
        </w:rPr>
        <w:t>disco compacto, dispositivos de almacenamiento (CD-ROOM, USB, Disco duro extraíble, etc.), consulta directa, copias simples o certificadas, con posibilidad de entrega en la Unidad de Transparencia o a domicilio por correo certificado, previo pago de los derechos correspondientes.</w:t>
      </w:r>
    </w:p>
    <w:p w14:paraId="46336991" w14:textId="77777777" w:rsidR="00996B51" w:rsidRPr="004E28E1" w:rsidRDefault="00996B51">
      <w:pPr>
        <w:pBdr>
          <w:top w:val="nil"/>
          <w:left w:val="nil"/>
          <w:bottom w:val="nil"/>
          <w:right w:val="nil"/>
          <w:between w:val="nil"/>
        </w:pBdr>
        <w:spacing w:before="120" w:after="120" w:line="360" w:lineRule="auto"/>
        <w:jc w:val="both"/>
        <w:rPr>
          <w:rFonts w:ascii="Palatino Linotype" w:eastAsia="Palatino Linotype" w:hAnsi="Palatino Linotype" w:cs="Palatino Linotype"/>
          <w:b/>
        </w:rPr>
      </w:pPr>
    </w:p>
    <w:p w14:paraId="3D65C654" w14:textId="77777777" w:rsidR="00996B51" w:rsidRPr="004E28E1" w:rsidRDefault="006D6A63">
      <w:pPr>
        <w:spacing w:before="120" w:after="12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Es necesario aclarar, para el caso que no pueda subir la información en una liga electrónica de acceso en Internet, por no contar con presupuesto, ni con el equipo </w:t>
      </w:r>
      <w:r w:rsidRPr="004E28E1">
        <w:rPr>
          <w:rFonts w:ascii="Palatino Linotype" w:eastAsia="Palatino Linotype" w:hAnsi="Palatino Linotype" w:cs="Palatino Linotype"/>
        </w:rPr>
        <w:lastRenderedPageBreak/>
        <w:t>electrónico adecuado para tal circunstancia, podrá omitir dicha modalidad, para la entrega de la misma.</w:t>
      </w:r>
    </w:p>
    <w:p w14:paraId="04765884"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Finalmente, es de mencionar </w:t>
      </w:r>
      <w:proofErr w:type="gramStart"/>
      <w:r w:rsidRPr="004E28E1">
        <w:rPr>
          <w:rFonts w:ascii="Palatino Linotype" w:eastAsia="Palatino Linotype" w:hAnsi="Palatino Linotype" w:cs="Palatino Linotype"/>
        </w:rPr>
        <w:t>que</w:t>
      </w:r>
      <w:proofErr w:type="gramEnd"/>
      <w:r w:rsidRPr="004E28E1">
        <w:rPr>
          <w:rFonts w:ascii="Palatino Linotype" w:eastAsia="Palatino Linotype" w:hAnsi="Palatino Linotype" w:cs="Palatino Linotype"/>
        </w:rPr>
        <w:t xml:space="preserve"> si bien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señaló la temporalidad para llevarse a cabo la consulta directa, comprendido del 22 de abril al 3 de junio del año 2024; lo que fue restrictivo como se precisó en párrafos anteriores, </w:t>
      </w:r>
      <w:r w:rsidRPr="004E28E1">
        <w:rPr>
          <w:rFonts w:ascii="Palatino Linotype" w:eastAsia="Palatino Linotype" w:hAnsi="Palatino Linotype" w:cs="Palatino Linotype"/>
          <w:b/>
        </w:rPr>
        <w:t>este plazo se deberá volver a contar a partir del día siguiente al que se notifique la presente resolución</w:t>
      </w:r>
      <w:r w:rsidRPr="004E28E1">
        <w:rPr>
          <w:rFonts w:ascii="Palatino Linotype" w:eastAsia="Palatino Linotype" w:hAnsi="Palatino Linotype" w:cs="Palatino Linotype"/>
        </w:rPr>
        <w:t>, en términos del segundo párrafo del artículo 166 de la Ley de Transparencia y Acceso a la Información Pública del Estado de México y Municipios.</w:t>
      </w:r>
    </w:p>
    <w:p w14:paraId="4B2E64D1"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Si dentro del transcurso del término señalado en el párrafo anterior, la parte</w:t>
      </w:r>
      <w:r w:rsidRPr="004E28E1">
        <w:rPr>
          <w:rFonts w:ascii="Palatino Linotype" w:eastAsia="Palatino Linotype" w:hAnsi="Palatino Linotype" w:cs="Palatino Linotype"/>
          <w:b/>
        </w:rPr>
        <w:t xml:space="preserve"> RECURRENTE </w:t>
      </w:r>
      <w:r w:rsidRPr="004E28E1">
        <w:rPr>
          <w:rFonts w:ascii="Palatino Linotype" w:eastAsia="Palatino Linotype" w:hAnsi="Palatino Linotype" w:cs="Palatino Linotype"/>
        </w:rPr>
        <w:t>acude por la información, el</w:t>
      </w:r>
      <w:r w:rsidRPr="004E28E1">
        <w:rPr>
          <w:rFonts w:ascii="Palatino Linotype" w:eastAsia="Palatino Linotype" w:hAnsi="Palatino Linotype" w:cs="Palatino Linotype"/>
          <w:b/>
        </w:rPr>
        <w:t xml:space="preserve"> SUJETO OBLIGADO</w:t>
      </w:r>
      <w:r w:rsidRPr="004E28E1">
        <w:rPr>
          <w:rFonts w:ascii="Palatino Linotype" w:eastAsia="Palatino Linotype" w:hAnsi="Palatino Linotype" w:cs="Palatino Linotype"/>
        </w:rPr>
        <w:t xml:space="preserve">  debe remitir a este Instituto, por conducto de la Secretaría Técnica del Pleno, el acuse de recibo de la información de la parte</w:t>
      </w:r>
      <w:r w:rsidRPr="004E28E1">
        <w:rPr>
          <w:rFonts w:ascii="Palatino Linotype" w:eastAsia="Palatino Linotype" w:hAnsi="Palatino Linotype" w:cs="Palatino Linotype"/>
          <w:b/>
        </w:rPr>
        <w:t xml:space="preserve"> RECURRENTE</w:t>
      </w:r>
      <w:r w:rsidRPr="004E28E1">
        <w:rPr>
          <w:rFonts w:ascii="Palatino Linotype" w:eastAsia="Palatino Linotype" w:hAnsi="Palatino Linotype" w:cs="Palatino Linotype"/>
        </w:rPr>
        <w:t>; sin embargo, si una vez fenecido el plazo, el solicitante no acudiera por los documentos ordenados, el</w:t>
      </w:r>
      <w:r w:rsidRPr="004E28E1">
        <w:rPr>
          <w:rFonts w:ascii="Palatino Linotype" w:eastAsia="Palatino Linotype" w:hAnsi="Palatino Linotype" w:cs="Palatino Linotype"/>
          <w:b/>
        </w:rPr>
        <w:t xml:space="preserve"> SUJETO OBLIGADO</w:t>
      </w:r>
      <w:r w:rsidRPr="004E28E1">
        <w:rPr>
          <w:rFonts w:ascii="Palatino Linotype" w:eastAsia="Palatino Linotype" w:hAnsi="Palatino Linotype" w:cs="Palatino Linotype"/>
        </w:rPr>
        <w:t xml:space="preserve">, mediante acuerdo </w:t>
      </w:r>
      <w:r w:rsidRPr="004E28E1">
        <w:rPr>
          <w:rFonts w:ascii="Palatino Linotype" w:eastAsia="Palatino Linotype" w:hAnsi="Palatino Linotype" w:cs="Palatino Linotype"/>
          <w:b/>
        </w:rPr>
        <w:t>dará por concluida la solicitud</w:t>
      </w:r>
      <w:r w:rsidRPr="004E28E1">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4DDE8DDA" w14:textId="77777777" w:rsidR="00996B51" w:rsidRPr="004E28E1" w:rsidRDefault="006D6A63">
      <w:pPr>
        <w:spacing w:before="240" w:after="240" w:line="360" w:lineRule="auto"/>
        <w:ind w:right="51"/>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lo hasta aquí expuesto, se concluye que los motivos de inconformidad de la parte </w:t>
      </w:r>
      <w:r w:rsidRPr="004E28E1">
        <w:rPr>
          <w:rFonts w:ascii="Palatino Linotype" w:eastAsia="Palatino Linotype" w:hAnsi="Palatino Linotype" w:cs="Palatino Linotype"/>
          <w:b/>
        </w:rPr>
        <w:t xml:space="preserve">RECURRENTE </w:t>
      </w:r>
      <w:r w:rsidRPr="004E28E1">
        <w:rPr>
          <w:rFonts w:ascii="Palatino Linotype" w:eastAsia="Palatino Linotype" w:hAnsi="Palatino Linotype" w:cs="Palatino Linotype"/>
        </w:rPr>
        <w:t xml:space="preserve">devienen fundados, siendo procedente </w:t>
      </w:r>
      <w:r w:rsidRPr="004E28E1">
        <w:rPr>
          <w:rFonts w:ascii="Palatino Linotype" w:eastAsia="Palatino Linotype" w:hAnsi="Palatino Linotype" w:cs="Palatino Linotype"/>
          <w:i/>
        </w:rPr>
        <w:t>Modificar</w:t>
      </w:r>
      <w:r w:rsidRPr="004E28E1">
        <w:rPr>
          <w:rFonts w:ascii="Palatino Linotype" w:eastAsia="Palatino Linotype" w:hAnsi="Palatino Linotype" w:cs="Palatino Linotype"/>
        </w:rPr>
        <w:t xml:space="preserve"> la respuesta proporcionada por el </w:t>
      </w:r>
      <w:r w:rsidRPr="004E28E1">
        <w:rPr>
          <w:rFonts w:ascii="Palatino Linotype" w:eastAsia="Palatino Linotype" w:hAnsi="Palatino Linotype" w:cs="Palatino Linotype"/>
          <w:b/>
        </w:rPr>
        <w:t xml:space="preserve">SUJETO OBLIGADO </w:t>
      </w:r>
      <w:r w:rsidRPr="004E28E1">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DF4BB8F" w14:textId="77777777" w:rsidR="00996B51" w:rsidRPr="004E28E1" w:rsidRDefault="00996B51">
      <w:pPr>
        <w:spacing w:before="240" w:after="240" w:line="360" w:lineRule="auto"/>
        <w:jc w:val="both"/>
        <w:rPr>
          <w:rFonts w:ascii="Palatino Linotype" w:eastAsia="Palatino Linotype" w:hAnsi="Palatino Linotype" w:cs="Palatino Linotype"/>
        </w:rPr>
      </w:pPr>
    </w:p>
    <w:p w14:paraId="60CC5535"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En otro orden ideas y en atención a que el particular requirió la documentación contenida en los expediente laborales de los servidores públicos del Ayuntamiento de Tlalnepantla de Baz, en necesario precisar que documentación contiene dichos expedientes con la finalidad si los mismos pueden ser entregados en versión pública o clasificados como confidencialidad total; de ahí que, resulta conveniente señalar lo establecido por el artículo 47 de la Ley del Trabajo de los Servidores Públicos del Estado y Municipios, el cual refiere que para ingresar al servicio público, se requiere, entre otras cosas, cumplir con diversos requisitos. </w:t>
      </w:r>
    </w:p>
    <w:p w14:paraId="19EDC0A0" w14:textId="77777777" w:rsidR="00996B51" w:rsidRPr="004E28E1" w:rsidRDefault="00996B51">
      <w:pPr>
        <w:spacing w:line="360" w:lineRule="auto"/>
        <w:jc w:val="both"/>
        <w:rPr>
          <w:rFonts w:ascii="Palatino Linotype" w:eastAsia="Palatino Linotype" w:hAnsi="Palatino Linotype" w:cs="Palatino Linotype"/>
        </w:rPr>
      </w:pPr>
    </w:p>
    <w:p w14:paraId="510382F4"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ese contexto, es conducente hacer referencia sobre aquellas exigencias a cumplir que señala el artículo en comento:</w:t>
      </w:r>
    </w:p>
    <w:p w14:paraId="0EC3B9C3" w14:textId="77777777" w:rsidR="00996B51" w:rsidRPr="004E28E1" w:rsidRDefault="00996B51">
      <w:pPr>
        <w:spacing w:line="360" w:lineRule="auto"/>
        <w:jc w:val="both"/>
        <w:rPr>
          <w:rFonts w:ascii="Palatino Linotype" w:eastAsia="Palatino Linotype" w:hAnsi="Palatino Linotype" w:cs="Palatino Linotype"/>
        </w:rPr>
      </w:pPr>
    </w:p>
    <w:p w14:paraId="05BA2FA1"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ARTÍCULO 47.</w:t>
      </w:r>
      <w:r w:rsidRPr="004E28E1">
        <w:rPr>
          <w:rFonts w:ascii="Palatino Linotype" w:eastAsia="Palatino Linotype" w:hAnsi="Palatino Linotype" w:cs="Palatino Linotype"/>
          <w:i/>
          <w:sz w:val="22"/>
          <w:szCs w:val="22"/>
        </w:rPr>
        <w:t xml:space="preserve"> Para ingresar al servicio público se requiere:</w:t>
      </w:r>
    </w:p>
    <w:p w14:paraId="52C1F965"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 Presentar una solicitud utilizando la forma oficial que se autorice por la institución pública o dependencia correspondiente;</w:t>
      </w:r>
    </w:p>
    <w:p w14:paraId="76898396"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II. Ser de nacionalidad mexicana, con la excepción prevista en el artículo 17 de la presente ley; </w:t>
      </w:r>
    </w:p>
    <w:p w14:paraId="148A00EA"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III. Estar en pleno ejercicio de sus derechos civiles y políticos, en su caso;</w:t>
      </w:r>
    </w:p>
    <w:p w14:paraId="0D51C862"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IV. Acreditar, cuando proceda, el cumplimiento de la Ley del Servicio Militar Nacional;</w:t>
      </w:r>
    </w:p>
    <w:p w14:paraId="158113FF"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 Derogada.</w:t>
      </w:r>
    </w:p>
    <w:p w14:paraId="13E8E08D"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VI. No haber sido separado anteriormente del servicio por las causas previstas en el artículo 93 de la presente ley;</w:t>
      </w:r>
    </w:p>
    <w:p w14:paraId="67FB3C90"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VII. Tener buena salud, lo que se comprobará con los certificados médicos correspondientes, en la forma en que se establezca en cada institución pública;</w:t>
      </w:r>
    </w:p>
    <w:p w14:paraId="2C4F5B1F"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VIII. Cumplir con los requisitos que se establezcan para los diferentes puestos;</w:t>
      </w:r>
    </w:p>
    <w:p w14:paraId="7B6782EF"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IX. Acreditar por medio de los exámenes correspondientes los conocimientos y aptitudes necesarios para el desempeño del puesto; y </w:t>
      </w:r>
    </w:p>
    <w:p w14:paraId="4D170063"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X. No estar inhabilitado para el ejercicio del servicio público.</w:t>
      </w:r>
    </w:p>
    <w:p w14:paraId="0676AFA8" w14:textId="77777777" w:rsidR="00996B51" w:rsidRPr="004E28E1" w:rsidRDefault="006D6A63">
      <w:pPr>
        <w:spacing w:line="276" w:lineRule="auto"/>
        <w:ind w:left="567" w:right="53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lastRenderedPageBreak/>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123D83C5" w14:textId="77777777" w:rsidR="00996B51" w:rsidRPr="004E28E1" w:rsidRDefault="00996B51">
      <w:pPr>
        <w:spacing w:line="360" w:lineRule="auto"/>
        <w:ind w:right="539"/>
        <w:jc w:val="both"/>
        <w:rPr>
          <w:rFonts w:ascii="Palatino Linotype" w:eastAsia="Palatino Linotype" w:hAnsi="Palatino Linotype" w:cs="Palatino Linotype"/>
          <w:i/>
          <w:strike/>
        </w:rPr>
      </w:pPr>
    </w:p>
    <w:p w14:paraId="5CF4D7D5"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Conforme a lo anterior, se logra advertir que toda persona que ingrese al servicio público debe cumplir con las especificaciones los interesados deben cumplir con los elementos señalados, así como aquellos requisitos que se establezcan para los diferentes puestos, sin embargo, se observa que entre los requisitos que establece el artículo en cita, algunos hacen referencia a un documento en específico, mientras que otros no; por lo que es conveniente analizar qué documentos pueden colmar dichos requisitos, son los siguientes:</w:t>
      </w:r>
    </w:p>
    <w:p w14:paraId="3808FA38" w14:textId="77777777" w:rsidR="00996B51" w:rsidRPr="004E28E1" w:rsidRDefault="00996B51">
      <w:pPr>
        <w:spacing w:after="280" w:line="360" w:lineRule="auto"/>
        <w:jc w:val="both"/>
        <w:rPr>
          <w:rFonts w:ascii="Palatino Linotype" w:eastAsia="Palatino Linotype" w:hAnsi="Palatino Linotype" w:cs="Palatino Linotype"/>
        </w:rPr>
      </w:pPr>
    </w:p>
    <w:tbl>
      <w:tblPr>
        <w:tblStyle w:val="af3"/>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4E28E1" w:rsidRPr="004E28E1" w14:paraId="50CDD175" w14:textId="77777777">
        <w:trPr>
          <w:tblHeader/>
        </w:trPr>
        <w:tc>
          <w:tcPr>
            <w:tcW w:w="3767" w:type="dxa"/>
            <w:shd w:val="clear" w:color="auto" w:fill="DDD9C4"/>
            <w:vAlign w:val="center"/>
          </w:tcPr>
          <w:p w14:paraId="4B740924" w14:textId="77777777" w:rsidR="00996B51" w:rsidRPr="004E28E1" w:rsidRDefault="006D6A63">
            <w:pPr>
              <w:tabs>
                <w:tab w:val="left" w:pos="284"/>
                <w:tab w:val="left" w:pos="426"/>
              </w:tabs>
              <w:ind w:right="49"/>
              <w:jc w:val="center"/>
              <w:rPr>
                <w:rFonts w:ascii="Palatino Linotype" w:eastAsia="Palatino Linotype" w:hAnsi="Palatino Linotype" w:cs="Palatino Linotype"/>
                <w:b/>
                <w:sz w:val="20"/>
                <w:szCs w:val="20"/>
              </w:rPr>
            </w:pPr>
            <w:r w:rsidRPr="004E28E1">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14:paraId="3D8F78E7" w14:textId="77777777" w:rsidR="00996B51" w:rsidRPr="004E28E1" w:rsidRDefault="006D6A63">
            <w:pPr>
              <w:tabs>
                <w:tab w:val="left" w:pos="284"/>
                <w:tab w:val="left" w:pos="426"/>
              </w:tabs>
              <w:ind w:right="49"/>
              <w:jc w:val="center"/>
              <w:rPr>
                <w:rFonts w:ascii="Palatino Linotype" w:eastAsia="Palatino Linotype" w:hAnsi="Palatino Linotype" w:cs="Palatino Linotype"/>
                <w:b/>
                <w:sz w:val="20"/>
                <w:szCs w:val="20"/>
              </w:rPr>
            </w:pPr>
            <w:r w:rsidRPr="004E28E1">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14:paraId="441E130E" w14:textId="77777777" w:rsidR="00996B51" w:rsidRPr="004E28E1" w:rsidRDefault="006D6A63">
            <w:pPr>
              <w:tabs>
                <w:tab w:val="left" w:pos="284"/>
                <w:tab w:val="left" w:pos="426"/>
              </w:tabs>
              <w:ind w:right="49"/>
              <w:jc w:val="center"/>
              <w:rPr>
                <w:rFonts w:ascii="Palatino Linotype" w:eastAsia="Palatino Linotype" w:hAnsi="Palatino Linotype" w:cs="Palatino Linotype"/>
                <w:b/>
                <w:sz w:val="20"/>
                <w:szCs w:val="20"/>
              </w:rPr>
            </w:pPr>
            <w:r w:rsidRPr="004E28E1">
              <w:rPr>
                <w:rFonts w:ascii="Palatino Linotype" w:eastAsia="Palatino Linotype" w:hAnsi="Palatino Linotype" w:cs="Palatino Linotype"/>
                <w:b/>
                <w:sz w:val="20"/>
                <w:szCs w:val="20"/>
              </w:rPr>
              <w:t>Clasificación de la Información</w:t>
            </w:r>
          </w:p>
        </w:tc>
      </w:tr>
      <w:tr w:rsidR="004E28E1" w:rsidRPr="004E28E1" w14:paraId="6A329A7E" w14:textId="77777777">
        <w:tc>
          <w:tcPr>
            <w:tcW w:w="3767" w:type="dxa"/>
            <w:vAlign w:val="center"/>
          </w:tcPr>
          <w:p w14:paraId="02E95963"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Presentar una solicitud utilizando la forma oficial que se autorice por la institución pública o dependencia correspondiente.</w:t>
            </w:r>
          </w:p>
        </w:tc>
        <w:tc>
          <w:tcPr>
            <w:tcW w:w="2607" w:type="dxa"/>
            <w:vAlign w:val="center"/>
          </w:tcPr>
          <w:p w14:paraId="4D16E34F"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 xml:space="preserve">Solicitud de empleo, ficha curricular, </w:t>
            </w:r>
            <w:proofErr w:type="spellStart"/>
            <w:r w:rsidRPr="004E28E1">
              <w:rPr>
                <w:rFonts w:ascii="Palatino Linotype" w:eastAsia="Palatino Linotype" w:hAnsi="Palatino Linotype" w:cs="Palatino Linotype"/>
                <w:sz w:val="18"/>
                <w:szCs w:val="18"/>
              </w:rPr>
              <w:t>curriculum</w:t>
            </w:r>
            <w:proofErr w:type="spellEnd"/>
            <w:r w:rsidRPr="004E28E1">
              <w:rPr>
                <w:rFonts w:ascii="Palatino Linotype" w:eastAsia="Palatino Linotype" w:hAnsi="Palatino Linotype" w:cs="Palatino Linotype"/>
                <w:sz w:val="18"/>
                <w:szCs w:val="18"/>
              </w:rPr>
              <w:t xml:space="preserve"> vitae o documento análogo</w:t>
            </w:r>
          </w:p>
        </w:tc>
        <w:tc>
          <w:tcPr>
            <w:tcW w:w="2410" w:type="dxa"/>
            <w:vAlign w:val="center"/>
          </w:tcPr>
          <w:p w14:paraId="021B3E53"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En versión Pública.</w:t>
            </w:r>
          </w:p>
        </w:tc>
      </w:tr>
      <w:tr w:rsidR="004E28E1" w:rsidRPr="004E28E1" w14:paraId="56179E09" w14:textId="77777777">
        <w:trPr>
          <w:trHeight w:val="517"/>
        </w:trPr>
        <w:tc>
          <w:tcPr>
            <w:tcW w:w="3767" w:type="dxa"/>
            <w:vAlign w:val="center"/>
          </w:tcPr>
          <w:p w14:paraId="325DB14A"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Ser de nacionalidad mexicana.</w:t>
            </w:r>
          </w:p>
        </w:tc>
        <w:tc>
          <w:tcPr>
            <w:tcW w:w="2607" w:type="dxa"/>
            <w:vAlign w:val="center"/>
          </w:tcPr>
          <w:p w14:paraId="4F67225F"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Acta de nacimiento</w:t>
            </w:r>
          </w:p>
        </w:tc>
        <w:tc>
          <w:tcPr>
            <w:tcW w:w="2410" w:type="dxa"/>
            <w:vAlign w:val="center"/>
          </w:tcPr>
          <w:p w14:paraId="429E8315"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Confidencial</w:t>
            </w:r>
          </w:p>
        </w:tc>
      </w:tr>
      <w:tr w:rsidR="004E28E1" w:rsidRPr="004E28E1" w14:paraId="4F956702" w14:textId="77777777">
        <w:tc>
          <w:tcPr>
            <w:tcW w:w="3767" w:type="dxa"/>
            <w:vAlign w:val="center"/>
          </w:tcPr>
          <w:p w14:paraId="63169E34"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Estar en pleno ejercicio de sus derechos civiles y políticos.</w:t>
            </w:r>
          </w:p>
        </w:tc>
        <w:tc>
          <w:tcPr>
            <w:tcW w:w="2607" w:type="dxa"/>
            <w:vAlign w:val="center"/>
          </w:tcPr>
          <w:p w14:paraId="75C0100C"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Credencial de Elector</w:t>
            </w:r>
          </w:p>
        </w:tc>
        <w:tc>
          <w:tcPr>
            <w:tcW w:w="2410" w:type="dxa"/>
            <w:vAlign w:val="center"/>
          </w:tcPr>
          <w:p w14:paraId="6434906C"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Confidencial</w:t>
            </w:r>
          </w:p>
        </w:tc>
      </w:tr>
      <w:tr w:rsidR="004E28E1" w:rsidRPr="004E28E1" w14:paraId="74D526D7" w14:textId="77777777">
        <w:tc>
          <w:tcPr>
            <w:tcW w:w="3767" w:type="dxa"/>
            <w:vAlign w:val="center"/>
          </w:tcPr>
          <w:p w14:paraId="319DA785"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Acreditar, cuando proceda, el cumplimiento de la Ley del Servicio Militar Nacional.</w:t>
            </w:r>
          </w:p>
        </w:tc>
        <w:tc>
          <w:tcPr>
            <w:tcW w:w="2607" w:type="dxa"/>
            <w:vAlign w:val="center"/>
          </w:tcPr>
          <w:p w14:paraId="08307375"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Cartilla de Servicio Militar</w:t>
            </w:r>
          </w:p>
        </w:tc>
        <w:tc>
          <w:tcPr>
            <w:tcW w:w="2410" w:type="dxa"/>
            <w:vAlign w:val="center"/>
          </w:tcPr>
          <w:p w14:paraId="45CA16B0"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Confidencial</w:t>
            </w:r>
          </w:p>
        </w:tc>
      </w:tr>
      <w:tr w:rsidR="004E28E1" w:rsidRPr="004E28E1" w14:paraId="7639C7C4" w14:textId="77777777">
        <w:tc>
          <w:tcPr>
            <w:tcW w:w="3767" w:type="dxa"/>
            <w:vAlign w:val="center"/>
          </w:tcPr>
          <w:p w14:paraId="303FFC32"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 xml:space="preserve">Derogado </w:t>
            </w:r>
          </w:p>
        </w:tc>
        <w:tc>
          <w:tcPr>
            <w:tcW w:w="2607" w:type="dxa"/>
            <w:vAlign w:val="center"/>
          </w:tcPr>
          <w:p w14:paraId="21BAC7D5"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Derogado</w:t>
            </w:r>
          </w:p>
        </w:tc>
        <w:tc>
          <w:tcPr>
            <w:tcW w:w="2410" w:type="dxa"/>
            <w:vAlign w:val="center"/>
          </w:tcPr>
          <w:p w14:paraId="1590FCAA"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N/A</w:t>
            </w:r>
          </w:p>
        </w:tc>
      </w:tr>
      <w:tr w:rsidR="004E28E1" w:rsidRPr="004E28E1" w14:paraId="4A5EE244" w14:textId="77777777">
        <w:tc>
          <w:tcPr>
            <w:tcW w:w="3767" w:type="dxa"/>
            <w:vAlign w:val="center"/>
          </w:tcPr>
          <w:p w14:paraId="21B1AB62"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No haber sido separado anteriormente del servicio por las causas previstas en el artículo 93 de la presente ley.</w:t>
            </w:r>
          </w:p>
        </w:tc>
        <w:tc>
          <w:tcPr>
            <w:tcW w:w="2607" w:type="dxa"/>
            <w:vAlign w:val="center"/>
          </w:tcPr>
          <w:p w14:paraId="380887C6"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Manifestación bajo protesta de decir verdad.</w:t>
            </w:r>
          </w:p>
        </w:tc>
        <w:tc>
          <w:tcPr>
            <w:tcW w:w="2410" w:type="dxa"/>
            <w:vAlign w:val="center"/>
          </w:tcPr>
          <w:p w14:paraId="3A4D811C"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Documento íntegro</w:t>
            </w:r>
          </w:p>
        </w:tc>
      </w:tr>
      <w:tr w:rsidR="004E28E1" w:rsidRPr="004E28E1" w14:paraId="1CE50817" w14:textId="77777777">
        <w:tc>
          <w:tcPr>
            <w:tcW w:w="3767" w:type="dxa"/>
            <w:vAlign w:val="center"/>
          </w:tcPr>
          <w:p w14:paraId="351B3567"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Tener buena salud, lo que se comprobará con los certificados médicos.</w:t>
            </w:r>
          </w:p>
        </w:tc>
        <w:tc>
          <w:tcPr>
            <w:tcW w:w="2607" w:type="dxa"/>
            <w:vAlign w:val="center"/>
          </w:tcPr>
          <w:p w14:paraId="6FDC7D11"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Certificado Médico</w:t>
            </w:r>
          </w:p>
        </w:tc>
        <w:tc>
          <w:tcPr>
            <w:tcW w:w="2410" w:type="dxa"/>
            <w:vAlign w:val="center"/>
          </w:tcPr>
          <w:p w14:paraId="78B6EE68"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Confidencial</w:t>
            </w:r>
          </w:p>
        </w:tc>
      </w:tr>
      <w:tr w:rsidR="004E28E1" w:rsidRPr="004E28E1" w14:paraId="45585D89" w14:textId="77777777">
        <w:tc>
          <w:tcPr>
            <w:tcW w:w="3767" w:type="dxa"/>
            <w:vAlign w:val="center"/>
          </w:tcPr>
          <w:p w14:paraId="19741B05"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lastRenderedPageBreak/>
              <w:t>Cumplir con los requisitos que se establezcan para los diferentes puestos.</w:t>
            </w:r>
          </w:p>
        </w:tc>
        <w:tc>
          <w:tcPr>
            <w:tcW w:w="2607" w:type="dxa"/>
            <w:vAlign w:val="center"/>
          </w:tcPr>
          <w:p w14:paraId="163D5F4B"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 xml:space="preserve">Para el caso de los puestos de mandos medios y superiores de estructura, no existe una cédula de identificación del puesto ni </w:t>
            </w:r>
            <w:proofErr w:type="gramStart"/>
            <w:r w:rsidRPr="004E28E1">
              <w:rPr>
                <w:rFonts w:ascii="Palatino Linotype" w:eastAsia="Palatino Linotype" w:hAnsi="Palatino Linotype" w:cs="Palatino Linotype"/>
                <w:sz w:val="18"/>
                <w:szCs w:val="18"/>
              </w:rPr>
              <w:t>un  catálogo</w:t>
            </w:r>
            <w:proofErr w:type="gramEnd"/>
            <w:r w:rsidRPr="004E28E1">
              <w:rPr>
                <w:rFonts w:ascii="Palatino Linotype" w:eastAsia="Palatino Linotype" w:hAnsi="Palatino Linotype" w:cs="Palatino Linotype"/>
                <w:sz w:val="18"/>
                <w:szCs w:val="18"/>
              </w:rPr>
              <w:t xml:space="preserve"> general de puestos para estos niveles, según información obtenida de la fracción XII del artículo 92 de la Ley de Transparencia Local, relativa al “Perfil de puestos de los servidores públicos” contenida en el IPOMEX.</w:t>
            </w:r>
          </w:p>
        </w:tc>
        <w:tc>
          <w:tcPr>
            <w:tcW w:w="2410" w:type="dxa"/>
            <w:vAlign w:val="center"/>
          </w:tcPr>
          <w:p w14:paraId="4B7D76DE"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En versión Pública</w:t>
            </w:r>
          </w:p>
          <w:p w14:paraId="27460C73" w14:textId="77777777" w:rsidR="00996B51" w:rsidRPr="004E28E1" w:rsidRDefault="00996B51">
            <w:pPr>
              <w:tabs>
                <w:tab w:val="left" w:pos="284"/>
                <w:tab w:val="left" w:pos="426"/>
              </w:tabs>
              <w:ind w:right="49"/>
              <w:jc w:val="center"/>
              <w:rPr>
                <w:rFonts w:ascii="Palatino Linotype" w:eastAsia="Palatino Linotype" w:hAnsi="Palatino Linotype" w:cs="Palatino Linotype"/>
                <w:sz w:val="20"/>
                <w:szCs w:val="20"/>
              </w:rPr>
            </w:pPr>
          </w:p>
        </w:tc>
      </w:tr>
      <w:tr w:rsidR="004E28E1" w:rsidRPr="004E28E1" w14:paraId="1003215B" w14:textId="77777777">
        <w:tc>
          <w:tcPr>
            <w:tcW w:w="3767" w:type="dxa"/>
            <w:vAlign w:val="center"/>
          </w:tcPr>
          <w:p w14:paraId="6A092EBA"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Acreditar por medio de los exámenes correspondientes los conocimientos y aptitudes necesarios para el desempeño del puesto.</w:t>
            </w:r>
          </w:p>
        </w:tc>
        <w:tc>
          <w:tcPr>
            <w:tcW w:w="2607" w:type="dxa"/>
            <w:vAlign w:val="center"/>
          </w:tcPr>
          <w:p w14:paraId="7D528D3A"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El documento obtenido por haber acreditado los exámenes de oposición o de conocimientos o aptitudes necesarios para ejercer el cargo.</w:t>
            </w:r>
          </w:p>
        </w:tc>
        <w:tc>
          <w:tcPr>
            <w:tcW w:w="2410" w:type="dxa"/>
            <w:vAlign w:val="center"/>
          </w:tcPr>
          <w:p w14:paraId="6300ED58"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En versión Pública.</w:t>
            </w:r>
          </w:p>
          <w:p w14:paraId="359E2BCD" w14:textId="77777777" w:rsidR="00996B51" w:rsidRPr="004E28E1" w:rsidRDefault="00996B51">
            <w:pPr>
              <w:tabs>
                <w:tab w:val="left" w:pos="284"/>
                <w:tab w:val="left" w:pos="426"/>
              </w:tabs>
              <w:ind w:right="49"/>
              <w:jc w:val="center"/>
              <w:rPr>
                <w:rFonts w:ascii="Palatino Linotype" w:eastAsia="Palatino Linotype" w:hAnsi="Palatino Linotype" w:cs="Palatino Linotype"/>
                <w:sz w:val="18"/>
                <w:szCs w:val="18"/>
              </w:rPr>
            </w:pPr>
          </w:p>
        </w:tc>
      </w:tr>
      <w:tr w:rsidR="004E28E1" w:rsidRPr="004E28E1" w14:paraId="49F38F6A" w14:textId="77777777">
        <w:tc>
          <w:tcPr>
            <w:tcW w:w="3767" w:type="dxa"/>
            <w:vAlign w:val="center"/>
          </w:tcPr>
          <w:p w14:paraId="63235747"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No estar inhabilitado para el ejercicio del servicio público.</w:t>
            </w:r>
          </w:p>
        </w:tc>
        <w:tc>
          <w:tcPr>
            <w:tcW w:w="2607" w:type="dxa"/>
            <w:vAlign w:val="center"/>
          </w:tcPr>
          <w:p w14:paraId="5DD839F9"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Constancia de no inhabilitación.</w:t>
            </w:r>
          </w:p>
        </w:tc>
        <w:tc>
          <w:tcPr>
            <w:tcW w:w="2410" w:type="dxa"/>
            <w:vAlign w:val="center"/>
          </w:tcPr>
          <w:p w14:paraId="4B34F6F9"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En versión Pública.</w:t>
            </w:r>
          </w:p>
        </w:tc>
      </w:tr>
      <w:tr w:rsidR="004E28E1" w:rsidRPr="004E28E1" w14:paraId="412D14CD" w14:textId="77777777">
        <w:tc>
          <w:tcPr>
            <w:tcW w:w="3767" w:type="dxa"/>
            <w:vAlign w:val="center"/>
          </w:tcPr>
          <w:p w14:paraId="1FD1B0FF"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Presentar certificado expedido por la Unidad del Registro de Deudores Alimentarios Morosos en el que conste, si se encuentra inscrito o no en el mismo.</w:t>
            </w:r>
          </w:p>
        </w:tc>
        <w:tc>
          <w:tcPr>
            <w:tcW w:w="2607" w:type="dxa"/>
            <w:vAlign w:val="center"/>
          </w:tcPr>
          <w:p w14:paraId="4A7FF829"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Certificado de No Deudor Alimentario Moroso.</w:t>
            </w:r>
          </w:p>
        </w:tc>
        <w:tc>
          <w:tcPr>
            <w:tcW w:w="2410" w:type="dxa"/>
            <w:vAlign w:val="center"/>
          </w:tcPr>
          <w:p w14:paraId="2A600859"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En versión Pública.</w:t>
            </w:r>
          </w:p>
        </w:tc>
      </w:tr>
      <w:tr w:rsidR="00996B51" w:rsidRPr="004E28E1" w14:paraId="0C18E305" w14:textId="77777777">
        <w:tc>
          <w:tcPr>
            <w:tcW w:w="3767" w:type="dxa"/>
            <w:shd w:val="clear" w:color="auto" w:fill="auto"/>
            <w:vAlign w:val="center"/>
          </w:tcPr>
          <w:p w14:paraId="7983C779"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Para iniciar la prestación de los servicios</w:t>
            </w:r>
          </w:p>
        </w:tc>
        <w:tc>
          <w:tcPr>
            <w:tcW w:w="2607" w:type="dxa"/>
            <w:shd w:val="clear" w:color="auto" w:fill="auto"/>
            <w:vAlign w:val="center"/>
          </w:tcPr>
          <w:p w14:paraId="4F886657" w14:textId="77777777" w:rsidR="00996B51" w:rsidRPr="004E28E1" w:rsidRDefault="006D6A63">
            <w:pPr>
              <w:tabs>
                <w:tab w:val="left" w:pos="284"/>
                <w:tab w:val="left" w:pos="426"/>
              </w:tabs>
              <w:ind w:right="49"/>
              <w:jc w:val="both"/>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Nombramiento, contrato o formato único de Movimientos de Personal.</w:t>
            </w:r>
          </w:p>
        </w:tc>
        <w:tc>
          <w:tcPr>
            <w:tcW w:w="2410" w:type="dxa"/>
            <w:vAlign w:val="center"/>
          </w:tcPr>
          <w:p w14:paraId="3ECAFB56" w14:textId="77777777" w:rsidR="00996B51" w:rsidRPr="004E28E1" w:rsidRDefault="006D6A63">
            <w:pPr>
              <w:tabs>
                <w:tab w:val="left" w:pos="284"/>
                <w:tab w:val="left" w:pos="426"/>
              </w:tabs>
              <w:ind w:right="49"/>
              <w:jc w:val="center"/>
              <w:rPr>
                <w:rFonts w:ascii="Palatino Linotype" w:eastAsia="Palatino Linotype" w:hAnsi="Palatino Linotype" w:cs="Palatino Linotype"/>
                <w:sz w:val="18"/>
                <w:szCs w:val="18"/>
              </w:rPr>
            </w:pPr>
            <w:r w:rsidRPr="004E28E1">
              <w:rPr>
                <w:rFonts w:ascii="Palatino Linotype" w:eastAsia="Palatino Linotype" w:hAnsi="Palatino Linotype" w:cs="Palatino Linotype"/>
                <w:sz w:val="18"/>
                <w:szCs w:val="18"/>
              </w:rPr>
              <w:t>En versión Pública.</w:t>
            </w:r>
          </w:p>
        </w:tc>
      </w:tr>
    </w:tbl>
    <w:p w14:paraId="31C9E2F3" w14:textId="77777777" w:rsidR="00996B51" w:rsidRPr="004E28E1" w:rsidRDefault="00996B51">
      <w:pPr>
        <w:spacing w:before="280" w:line="360" w:lineRule="auto"/>
        <w:jc w:val="both"/>
        <w:rPr>
          <w:rFonts w:ascii="Palatino Linotype" w:eastAsia="Palatino Linotype" w:hAnsi="Palatino Linotype" w:cs="Palatino Linotype"/>
        </w:rPr>
      </w:pPr>
    </w:p>
    <w:p w14:paraId="29145D98" w14:textId="77777777" w:rsidR="00996B51" w:rsidRPr="004E28E1" w:rsidRDefault="006D6A63">
      <w:pPr>
        <w:tabs>
          <w:tab w:val="left" w:pos="709"/>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Así, una vez conocido los documentos que conforme a la normatividad deben de integrar el expediente laboral de los servidores públicos en el Ayuntamiento de Tlalnepantla de Baz conforme al artículo 47 de la Ley de Trabajo de los Servidores Públicos del Estado y Municipios, se procede al análisis pormenorizado de las documentales que deben conformar el expediente laboral de la servidora pública sobre el cual versa la solicitud de información, para efecto de determinar la procedencia de su entrega.</w:t>
      </w:r>
    </w:p>
    <w:p w14:paraId="0D57577B" w14:textId="77777777" w:rsidR="00996B51" w:rsidRPr="004E28E1" w:rsidRDefault="00996B51">
      <w:pPr>
        <w:tabs>
          <w:tab w:val="left" w:pos="709"/>
        </w:tabs>
        <w:spacing w:line="360" w:lineRule="auto"/>
        <w:jc w:val="both"/>
        <w:rPr>
          <w:rFonts w:ascii="Palatino Linotype" w:eastAsia="Palatino Linotype" w:hAnsi="Palatino Linotype" w:cs="Palatino Linotype"/>
        </w:rPr>
      </w:pPr>
    </w:p>
    <w:p w14:paraId="6AC3B331" w14:textId="77777777" w:rsidR="00996B51" w:rsidRPr="004E28E1" w:rsidRDefault="006D6A63">
      <w:pPr>
        <w:numPr>
          <w:ilvl w:val="0"/>
          <w:numId w:val="7"/>
        </w:numPr>
        <w:tabs>
          <w:tab w:val="left" w:pos="4962"/>
        </w:tabs>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rPr>
        <w:t>Solicitud de empleo o documento análogo.</w:t>
      </w:r>
    </w:p>
    <w:p w14:paraId="70BE50C4" w14:textId="77777777" w:rsidR="00996B51" w:rsidRPr="004E28E1" w:rsidRDefault="00996B51">
      <w:pPr>
        <w:tabs>
          <w:tab w:val="left" w:pos="4962"/>
        </w:tabs>
        <w:spacing w:line="360" w:lineRule="auto"/>
        <w:ind w:left="720"/>
        <w:jc w:val="both"/>
        <w:rPr>
          <w:rFonts w:ascii="Palatino Linotype" w:eastAsia="Palatino Linotype" w:hAnsi="Palatino Linotype" w:cs="Palatino Linotype"/>
          <w:b/>
        </w:rPr>
      </w:pPr>
    </w:p>
    <w:p w14:paraId="502D539B" w14:textId="77777777" w:rsidR="00996B51" w:rsidRPr="004E28E1" w:rsidRDefault="006D6A63">
      <w:pPr>
        <w:tabs>
          <w:tab w:val="left" w:pos="8222"/>
        </w:tabs>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75ED4A6E" w14:textId="77777777" w:rsidR="00996B51" w:rsidRPr="004E28E1" w:rsidRDefault="00996B51">
      <w:pPr>
        <w:tabs>
          <w:tab w:val="left" w:pos="8222"/>
        </w:tabs>
        <w:spacing w:line="360" w:lineRule="auto"/>
        <w:ind w:right="49"/>
        <w:jc w:val="both"/>
        <w:rPr>
          <w:rFonts w:ascii="Palatino Linotype" w:eastAsia="Palatino Linotype" w:hAnsi="Palatino Linotype" w:cs="Palatino Linotype"/>
        </w:rPr>
      </w:pPr>
    </w:p>
    <w:p w14:paraId="2B4D5818" w14:textId="77777777" w:rsidR="00996B51" w:rsidRPr="004E28E1" w:rsidRDefault="006D6A63">
      <w:pPr>
        <w:tabs>
          <w:tab w:val="left" w:pos="8222"/>
        </w:tabs>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El formato de solicitud de empleo utilizado en Gobierno del Estado de México, es el siguiente:</w:t>
      </w:r>
    </w:p>
    <w:p w14:paraId="51396D8E" w14:textId="77777777" w:rsidR="00996B51" w:rsidRPr="004E28E1" w:rsidRDefault="006D6A63">
      <w:pPr>
        <w:pBdr>
          <w:top w:val="nil"/>
          <w:left w:val="nil"/>
          <w:bottom w:val="nil"/>
          <w:right w:val="nil"/>
          <w:between w:val="nil"/>
        </w:pBdr>
        <w:spacing w:line="360" w:lineRule="auto"/>
        <w:jc w:val="center"/>
        <w:rPr>
          <w:rFonts w:ascii="Palatino Linotype" w:eastAsia="Palatino Linotype" w:hAnsi="Palatino Linotype" w:cs="Palatino Linotype"/>
        </w:rPr>
      </w:pPr>
      <w:r w:rsidRPr="004E28E1">
        <w:rPr>
          <w:rFonts w:ascii="Palatino Linotype" w:eastAsia="Palatino Linotype" w:hAnsi="Palatino Linotype" w:cs="Palatino Linotype"/>
          <w:noProof/>
          <w:lang w:val="es-MX"/>
        </w:rPr>
        <w:drawing>
          <wp:inline distT="0" distB="0" distL="0" distR="0" wp14:anchorId="57BD7FE3" wp14:editId="1BE01C48">
            <wp:extent cx="5367962" cy="3167491"/>
            <wp:effectExtent l="0" t="0" r="0" b="0"/>
            <wp:docPr id="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367962" cy="3167491"/>
                    </a:xfrm>
                    <a:prstGeom prst="rect">
                      <a:avLst/>
                    </a:prstGeom>
                    <a:ln/>
                  </pic:spPr>
                </pic:pic>
              </a:graphicData>
            </a:graphic>
          </wp:inline>
        </w:drawing>
      </w:r>
    </w:p>
    <w:p w14:paraId="232CBC73" w14:textId="77777777" w:rsidR="00996B51" w:rsidRPr="004E28E1" w:rsidRDefault="006D6A63">
      <w:pPr>
        <w:pBdr>
          <w:top w:val="nil"/>
          <w:left w:val="nil"/>
          <w:bottom w:val="nil"/>
          <w:right w:val="nil"/>
          <w:between w:val="nil"/>
        </w:pBdr>
        <w:spacing w:line="360" w:lineRule="auto"/>
        <w:jc w:val="center"/>
        <w:rPr>
          <w:rFonts w:ascii="Palatino Linotype" w:eastAsia="Palatino Linotype" w:hAnsi="Palatino Linotype" w:cs="Palatino Linotype"/>
        </w:rPr>
      </w:pPr>
      <w:r w:rsidRPr="004E28E1">
        <w:rPr>
          <w:rFonts w:ascii="Palatino Linotype" w:eastAsia="Palatino Linotype" w:hAnsi="Palatino Linotype" w:cs="Palatino Linotype"/>
          <w:noProof/>
          <w:lang w:val="es-MX"/>
        </w:rPr>
        <w:lastRenderedPageBreak/>
        <w:drawing>
          <wp:inline distT="0" distB="0" distL="0" distR="0" wp14:anchorId="7FA9B072" wp14:editId="2BE311C2">
            <wp:extent cx="5553850" cy="7230484"/>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553850" cy="7230484"/>
                    </a:xfrm>
                    <a:prstGeom prst="rect">
                      <a:avLst/>
                    </a:prstGeom>
                    <a:ln/>
                  </pic:spPr>
                </pic:pic>
              </a:graphicData>
            </a:graphic>
          </wp:inline>
        </w:drawing>
      </w:r>
    </w:p>
    <w:p w14:paraId="064655C8" w14:textId="77777777" w:rsidR="00996B51" w:rsidRPr="004E28E1" w:rsidRDefault="006D6A63">
      <w:pPr>
        <w:tabs>
          <w:tab w:val="left" w:pos="8222"/>
        </w:tabs>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53559081" w14:textId="77777777" w:rsidR="00996B51" w:rsidRPr="004E28E1" w:rsidRDefault="00996B51">
      <w:pPr>
        <w:tabs>
          <w:tab w:val="left" w:pos="8222"/>
        </w:tabs>
        <w:spacing w:line="360" w:lineRule="auto"/>
        <w:ind w:right="49"/>
        <w:jc w:val="both"/>
        <w:rPr>
          <w:rFonts w:ascii="Palatino Linotype" w:eastAsia="Palatino Linotype" w:hAnsi="Palatino Linotype" w:cs="Palatino Linotype"/>
        </w:rPr>
      </w:pPr>
    </w:p>
    <w:p w14:paraId="14957D35" w14:textId="77777777" w:rsidR="00996B51" w:rsidRPr="004E28E1" w:rsidRDefault="006D6A63">
      <w:pPr>
        <w:tabs>
          <w:tab w:val="left" w:pos="8222"/>
        </w:tabs>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w:t>
      </w:r>
      <w:r w:rsidRPr="004E28E1">
        <w:rPr>
          <w:rFonts w:ascii="Palatino Linotype" w:eastAsia="Palatino Linotype" w:hAnsi="Palatino Linotype" w:cs="Palatino Linotype"/>
          <w:b/>
          <w:i/>
        </w:rPr>
        <w:t>versión pública</w:t>
      </w:r>
      <w:r w:rsidRPr="004E28E1">
        <w:rPr>
          <w:rFonts w:ascii="Palatino Linotype" w:eastAsia="Palatino Linotype" w:hAnsi="Palatino Linotype" w:cs="Palatino Linotype"/>
        </w:rPr>
        <w:t xml:space="preserve">, toda vez que no fue adjuntado en respuesta. </w:t>
      </w:r>
    </w:p>
    <w:p w14:paraId="45F113A6" w14:textId="77777777" w:rsidR="00996B51" w:rsidRPr="004E28E1" w:rsidRDefault="00996B51">
      <w:pPr>
        <w:tabs>
          <w:tab w:val="left" w:pos="709"/>
        </w:tabs>
        <w:spacing w:line="360" w:lineRule="auto"/>
        <w:jc w:val="both"/>
        <w:rPr>
          <w:rFonts w:ascii="Palatino Linotype" w:eastAsia="Palatino Linotype" w:hAnsi="Palatino Linotype" w:cs="Palatino Linotype"/>
        </w:rPr>
      </w:pPr>
    </w:p>
    <w:p w14:paraId="4C8BA663" w14:textId="77777777" w:rsidR="00996B51" w:rsidRPr="004E28E1" w:rsidRDefault="006D6A63">
      <w:pPr>
        <w:numPr>
          <w:ilvl w:val="0"/>
          <w:numId w:val="7"/>
        </w:numP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Acta de Nacimiento</w:t>
      </w:r>
    </w:p>
    <w:p w14:paraId="247B1110" w14:textId="77777777" w:rsidR="00996B51" w:rsidRPr="004E28E1" w:rsidRDefault="00996B51">
      <w:pPr>
        <w:tabs>
          <w:tab w:val="left" w:pos="4962"/>
        </w:tabs>
        <w:spacing w:line="360" w:lineRule="auto"/>
        <w:jc w:val="both"/>
        <w:rPr>
          <w:rFonts w:ascii="Palatino Linotype" w:eastAsia="Palatino Linotype" w:hAnsi="Palatino Linotype" w:cs="Palatino Linotype"/>
        </w:rPr>
      </w:pPr>
    </w:p>
    <w:p w14:paraId="204A5846" w14:textId="77777777" w:rsidR="00996B51" w:rsidRPr="004E28E1" w:rsidRDefault="006D6A63">
      <w:pP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5F293784" w14:textId="77777777" w:rsidR="00996B51" w:rsidRPr="004E28E1" w:rsidRDefault="00996B51">
      <w:pPr>
        <w:tabs>
          <w:tab w:val="left" w:pos="4962"/>
        </w:tabs>
        <w:spacing w:line="360" w:lineRule="auto"/>
        <w:jc w:val="both"/>
        <w:rPr>
          <w:rFonts w:ascii="Palatino Linotype" w:eastAsia="Palatino Linotype" w:hAnsi="Palatino Linotype" w:cs="Palatino Linotype"/>
        </w:rPr>
      </w:pPr>
    </w:p>
    <w:p w14:paraId="4B43A4BC" w14:textId="77777777" w:rsidR="00996B51" w:rsidRPr="004E28E1" w:rsidRDefault="006D6A63">
      <w:pP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Ahora bien, de acuerdo con el Formato Único del Acta de Nacimiento publicado por la Secretaría de Gobernación en el enlace </w:t>
      </w:r>
      <w:hyperlink r:id="rId26">
        <w:r w:rsidRPr="004E28E1">
          <w:rPr>
            <w:rFonts w:ascii="Palatino Linotype" w:eastAsia="Palatino Linotype" w:hAnsi="Palatino Linotype" w:cs="Palatino Linotype"/>
            <w:u w:val="single"/>
          </w:rPr>
          <w:t>http://www.diputados.gob.mx/documentos/N_Acta_Nacimiento.pdf</w:t>
        </w:r>
      </w:hyperlink>
      <w:r w:rsidRPr="004E28E1">
        <w:rPr>
          <w:rFonts w:ascii="Palatino Linotype" w:eastAsia="Palatino Linotype" w:hAnsi="Palatino Linotype" w:cs="Palatino Linotype"/>
        </w:rPr>
        <w:t xml:space="preserve">, se advierte que el Acta de Nacimiento se componte de quince elementos siendo los siguientes: </w:t>
      </w:r>
    </w:p>
    <w:p w14:paraId="7D139BB5" w14:textId="77777777" w:rsidR="00996B51" w:rsidRPr="004E28E1" w:rsidRDefault="00996B51">
      <w:pPr>
        <w:tabs>
          <w:tab w:val="left" w:pos="4962"/>
        </w:tabs>
        <w:spacing w:line="360" w:lineRule="auto"/>
        <w:jc w:val="both"/>
        <w:rPr>
          <w:rFonts w:ascii="Palatino Linotype" w:eastAsia="Palatino Linotype" w:hAnsi="Palatino Linotype" w:cs="Palatino Linotype"/>
        </w:rPr>
      </w:pPr>
    </w:p>
    <w:p w14:paraId="74495FAB"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Folio de Impresión.</w:t>
      </w:r>
    </w:p>
    <w:p w14:paraId="3DE81922"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Denominación del Documento.</w:t>
      </w:r>
    </w:p>
    <w:p w14:paraId="0C190A7E"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Identificador Electrónico. </w:t>
      </w:r>
    </w:p>
    <w:p w14:paraId="37B42EC8"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Elementos del Registro. </w:t>
      </w:r>
    </w:p>
    <w:p w14:paraId="1673928A"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Datos de la Persona Registrada. </w:t>
      </w:r>
    </w:p>
    <w:p w14:paraId="6AC9707A"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Datos de Filiación de la Persona Registrada. </w:t>
      </w:r>
    </w:p>
    <w:p w14:paraId="4CECE8F0"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Anotaciones Marginales. </w:t>
      </w:r>
    </w:p>
    <w:p w14:paraId="37B11954"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Certificación. </w:t>
      </w:r>
    </w:p>
    <w:p w14:paraId="202572B3"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Código Bidimensional QR que contiene información encriptada del acta. </w:t>
      </w:r>
    </w:p>
    <w:p w14:paraId="57AE05EE"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Leyenda “Soy México” </w:t>
      </w:r>
    </w:p>
    <w:p w14:paraId="4A26718C"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Firma Electrónica Avanzada. </w:t>
      </w:r>
    </w:p>
    <w:p w14:paraId="3FDEEBE4"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Firma y datos de la autoridad emisora. </w:t>
      </w:r>
    </w:p>
    <w:p w14:paraId="660C501C"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Código QR. </w:t>
      </w:r>
    </w:p>
    <w:p w14:paraId="016A2A8D"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Código de Verificación.</w:t>
      </w:r>
    </w:p>
    <w:p w14:paraId="60EF17AC" w14:textId="77777777" w:rsidR="00996B51" w:rsidRPr="004E28E1" w:rsidRDefault="006D6A63">
      <w:pPr>
        <w:numPr>
          <w:ilvl w:val="0"/>
          <w:numId w:val="8"/>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Leyenda de instrucciones para la verificación del documento. </w:t>
      </w:r>
    </w:p>
    <w:p w14:paraId="4F6C0105" w14:textId="77777777" w:rsidR="00996B51" w:rsidRPr="004E28E1" w:rsidRDefault="00996B51">
      <w:pPr>
        <w:tabs>
          <w:tab w:val="left" w:pos="4962"/>
        </w:tabs>
        <w:spacing w:line="360" w:lineRule="auto"/>
        <w:jc w:val="both"/>
        <w:rPr>
          <w:rFonts w:ascii="Palatino Linotype" w:eastAsia="Palatino Linotype" w:hAnsi="Palatino Linotype" w:cs="Palatino Linotype"/>
        </w:rPr>
      </w:pPr>
    </w:p>
    <w:p w14:paraId="7D6FF275" w14:textId="77777777" w:rsidR="00996B51" w:rsidRPr="004E28E1" w:rsidRDefault="006D6A63">
      <w:pP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w:t>
      </w:r>
      <w:r w:rsidRPr="004E28E1">
        <w:rPr>
          <w:rFonts w:ascii="Palatino Linotype" w:eastAsia="Palatino Linotype" w:hAnsi="Palatino Linotype" w:cs="Palatino Linotype"/>
        </w:rPr>
        <w:lastRenderedPageBreak/>
        <w:t xml:space="preserve">expide la Secretaría de Salud para acreditar el nacimiento de una persona, sexo, fecha de nacimiento, lugar de nacimiento, entre otros. </w:t>
      </w:r>
    </w:p>
    <w:p w14:paraId="4AB563F2" w14:textId="77777777" w:rsidR="00996B51" w:rsidRPr="004E28E1" w:rsidRDefault="00996B51">
      <w:pPr>
        <w:tabs>
          <w:tab w:val="left" w:pos="4962"/>
        </w:tabs>
        <w:spacing w:line="360" w:lineRule="auto"/>
        <w:jc w:val="both"/>
        <w:rPr>
          <w:rFonts w:ascii="Palatino Linotype" w:eastAsia="Palatino Linotype" w:hAnsi="Palatino Linotype" w:cs="Palatino Linotype"/>
        </w:rPr>
      </w:pPr>
    </w:p>
    <w:p w14:paraId="2BC8150E" w14:textId="77777777" w:rsidR="00996B51" w:rsidRPr="004E28E1" w:rsidRDefault="006D6A63">
      <w:pP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35DC8145" w14:textId="77777777" w:rsidR="00996B51" w:rsidRPr="004E28E1" w:rsidRDefault="00996B51">
      <w:pPr>
        <w:spacing w:line="360" w:lineRule="auto"/>
        <w:jc w:val="both"/>
        <w:rPr>
          <w:rFonts w:ascii="Palatino Linotype" w:eastAsia="Palatino Linotype" w:hAnsi="Palatino Linotype" w:cs="Palatino Linotype"/>
        </w:rPr>
      </w:pPr>
    </w:p>
    <w:p w14:paraId="6757FCF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esta manera, se trata de un documento de </w:t>
      </w:r>
      <w:r w:rsidRPr="004E28E1">
        <w:rPr>
          <w:rFonts w:ascii="Palatino Linotype" w:eastAsia="Palatino Linotype" w:hAnsi="Palatino Linotype" w:cs="Palatino Linotype"/>
          <w:b/>
        </w:rPr>
        <w:t>naturaleza confidencial</w:t>
      </w:r>
      <w:r w:rsidRPr="004E28E1">
        <w:rPr>
          <w:rFonts w:ascii="Palatino Linotype" w:eastAsia="Palatino Linotype" w:hAnsi="Palatino Linotype" w:cs="Palatino Linotype"/>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3590AC2F" w14:textId="77777777" w:rsidR="00996B51" w:rsidRPr="004E28E1" w:rsidRDefault="00996B51">
      <w:pPr>
        <w:spacing w:line="360" w:lineRule="auto"/>
        <w:jc w:val="both"/>
        <w:rPr>
          <w:rFonts w:ascii="Palatino Linotype" w:eastAsia="Palatino Linotype" w:hAnsi="Palatino Linotype" w:cs="Palatino Linotype"/>
        </w:rPr>
      </w:pPr>
    </w:p>
    <w:p w14:paraId="0A2A44BE" w14:textId="77777777" w:rsidR="00996B51" w:rsidRPr="004E28E1" w:rsidRDefault="006D6A63">
      <w:pPr>
        <w:numPr>
          <w:ilvl w:val="0"/>
          <w:numId w:val="7"/>
        </w:num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Identificación oficial vigente con fotografía</w:t>
      </w:r>
    </w:p>
    <w:p w14:paraId="129BF34F" w14:textId="77777777" w:rsidR="00996B51" w:rsidRPr="004E28E1" w:rsidRDefault="00996B51">
      <w:pPr>
        <w:tabs>
          <w:tab w:val="left" w:pos="4962"/>
        </w:tabs>
        <w:spacing w:line="360" w:lineRule="auto"/>
        <w:jc w:val="both"/>
        <w:rPr>
          <w:rFonts w:ascii="Palatino Linotype" w:eastAsia="Palatino Linotype" w:hAnsi="Palatino Linotype" w:cs="Palatino Linotype"/>
          <w:b/>
        </w:rPr>
      </w:pPr>
    </w:p>
    <w:p w14:paraId="03D1DFB7"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Sobre este documento, se debe señalar que la responsabilidad de formar el Padrón Electoral y expedir la credencial de elector, corresponde a la Dirección Ejecutiva del Registro Federal de Electores del Instituto Nacional Electoral, de conformidad con </w:t>
      </w:r>
      <w:r w:rsidRPr="004E28E1">
        <w:rPr>
          <w:rFonts w:ascii="Palatino Linotype" w:eastAsia="Palatino Linotype" w:hAnsi="Palatino Linotype" w:cs="Palatino Linotype"/>
        </w:rPr>
        <w:lastRenderedPageBreak/>
        <w:t>lo establecido en el artículo 54, apartado 1, incisos b) y c) de la Ley General de Instituciones y Procedimientos Electorales.</w:t>
      </w:r>
    </w:p>
    <w:p w14:paraId="258023EF" w14:textId="77777777" w:rsidR="00996B51" w:rsidRPr="004E28E1" w:rsidRDefault="00996B51">
      <w:pPr>
        <w:spacing w:line="360" w:lineRule="auto"/>
        <w:jc w:val="both"/>
        <w:rPr>
          <w:rFonts w:ascii="Palatino Linotype" w:eastAsia="Palatino Linotype" w:hAnsi="Palatino Linotype" w:cs="Palatino Linotype"/>
        </w:rPr>
      </w:pPr>
    </w:p>
    <w:p w14:paraId="3FEF40FF" w14:textId="77777777" w:rsidR="00996B51" w:rsidRPr="004E28E1" w:rsidRDefault="006D6A63">
      <w:p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rPr>
        <w:t>De manera particular el artículo 156, de la Ley General de Instituciones y Procedimientos Electorales dispone que la credencial para votar deberá contener, cuando menos, los siguientes datos:</w:t>
      </w:r>
    </w:p>
    <w:p w14:paraId="589D40D1" w14:textId="77777777" w:rsidR="00996B51" w:rsidRPr="004E28E1" w:rsidRDefault="00996B51">
      <w:pPr>
        <w:ind w:left="567"/>
        <w:jc w:val="both"/>
        <w:rPr>
          <w:rFonts w:ascii="Palatino Linotype" w:eastAsia="Palatino Linotype" w:hAnsi="Palatino Linotype" w:cs="Palatino Linotype"/>
        </w:rPr>
      </w:pPr>
    </w:p>
    <w:p w14:paraId="23CC6506"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a) </w:t>
      </w:r>
      <w:r w:rsidRPr="004E28E1">
        <w:rPr>
          <w:rFonts w:ascii="Palatino Linotype" w:eastAsia="Palatino Linotype" w:hAnsi="Palatino Linotype" w:cs="Palatino Linotype"/>
          <w:i/>
          <w:sz w:val="22"/>
          <w:szCs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734C5B83"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b) </w:t>
      </w:r>
      <w:r w:rsidRPr="004E28E1">
        <w:rPr>
          <w:rFonts w:ascii="Palatino Linotype" w:eastAsia="Palatino Linotype" w:hAnsi="Palatino Linotype" w:cs="Palatino Linotype"/>
          <w:i/>
          <w:sz w:val="22"/>
          <w:szCs w:val="22"/>
        </w:rPr>
        <w:t xml:space="preserve">Sección electoral en donde deberá votar el ciudadano. En el caso de los ciudadanos residentes en el extranjero no será necesario incluir este requisito; </w:t>
      </w:r>
    </w:p>
    <w:p w14:paraId="535FA39B"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c) </w:t>
      </w:r>
      <w:r w:rsidRPr="004E28E1">
        <w:rPr>
          <w:rFonts w:ascii="Palatino Linotype" w:eastAsia="Palatino Linotype" w:hAnsi="Palatino Linotype" w:cs="Palatino Linotype"/>
          <w:i/>
          <w:sz w:val="22"/>
          <w:szCs w:val="22"/>
        </w:rPr>
        <w:t xml:space="preserve">Apellido paterno, apellido materno y nombre completo; </w:t>
      </w:r>
    </w:p>
    <w:p w14:paraId="17144442"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d) </w:t>
      </w:r>
      <w:r w:rsidRPr="004E28E1">
        <w:rPr>
          <w:rFonts w:ascii="Palatino Linotype" w:eastAsia="Palatino Linotype" w:hAnsi="Palatino Linotype" w:cs="Palatino Linotype"/>
          <w:i/>
          <w:sz w:val="22"/>
          <w:szCs w:val="22"/>
        </w:rPr>
        <w:t xml:space="preserve">Domicilio; </w:t>
      </w:r>
    </w:p>
    <w:p w14:paraId="7F8B4E5F"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e) </w:t>
      </w:r>
      <w:r w:rsidRPr="004E28E1">
        <w:rPr>
          <w:rFonts w:ascii="Palatino Linotype" w:eastAsia="Palatino Linotype" w:hAnsi="Palatino Linotype" w:cs="Palatino Linotype"/>
          <w:i/>
          <w:sz w:val="22"/>
          <w:szCs w:val="22"/>
        </w:rPr>
        <w:t xml:space="preserve">Sexo; </w:t>
      </w:r>
    </w:p>
    <w:p w14:paraId="1E4A8DC5"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f) </w:t>
      </w:r>
      <w:r w:rsidRPr="004E28E1">
        <w:rPr>
          <w:rFonts w:ascii="Palatino Linotype" w:eastAsia="Palatino Linotype" w:hAnsi="Palatino Linotype" w:cs="Palatino Linotype"/>
          <w:i/>
          <w:sz w:val="22"/>
          <w:szCs w:val="22"/>
        </w:rPr>
        <w:t>Edad y año de registro;</w:t>
      </w:r>
    </w:p>
    <w:p w14:paraId="2D2D90C4"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g) </w:t>
      </w:r>
      <w:r w:rsidRPr="004E28E1">
        <w:rPr>
          <w:rFonts w:ascii="Palatino Linotype" w:eastAsia="Palatino Linotype" w:hAnsi="Palatino Linotype" w:cs="Palatino Linotype"/>
          <w:i/>
          <w:sz w:val="22"/>
          <w:szCs w:val="22"/>
        </w:rPr>
        <w:t xml:space="preserve">Firma, huella digital y fotografía del elector; </w:t>
      </w:r>
    </w:p>
    <w:p w14:paraId="48176CA5"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h) </w:t>
      </w:r>
      <w:r w:rsidRPr="004E28E1">
        <w:rPr>
          <w:rFonts w:ascii="Palatino Linotype" w:eastAsia="Palatino Linotype" w:hAnsi="Palatino Linotype" w:cs="Palatino Linotype"/>
          <w:i/>
          <w:sz w:val="22"/>
          <w:szCs w:val="22"/>
        </w:rPr>
        <w:t xml:space="preserve">Clave de registro, y </w:t>
      </w:r>
    </w:p>
    <w:p w14:paraId="45AFCDAF"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i) </w:t>
      </w:r>
      <w:r w:rsidRPr="004E28E1">
        <w:rPr>
          <w:rFonts w:ascii="Palatino Linotype" w:eastAsia="Palatino Linotype" w:hAnsi="Palatino Linotype" w:cs="Palatino Linotype"/>
          <w:i/>
          <w:sz w:val="22"/>
          <w:szCs w:val="22"/>
        </w:rPr>
        <w:t xml:space="preserve">Clave Única del Registro de Población. </w:t>
      </w:r>
    </w:p>
    <w:p w14:paraId="047280F4" w14:textId="77777777" w:rsidR="00996B51" w:rsidRPr="004E28E1" w:rsidRDefault="00996B51">
      <w:pPr>
        <w:ind w:left="851" w:right="850"/>
        <w:jc w:val="both"/>
        <w:rPr>
          <w:rFonts w:ascii="Palatino Linotype" w:eastAsia="Palatino Linotype" w:hAnsi="Palatino Linotype" w:cs="Palatino Linotype"/>
          <w:b/>
          <w:i/>
          <w:sz w:val="22"/>
          <w:szCs w:val="22"/>
        </w:rPr>
      </w:pPr>
    </w:p>
    <w:p w14:paraId="37C9C3F8"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2. </w:t>
      </w:r>
      <w:r w:rsidRPr="004E28E1">
        <w:rPr>
          <w:rFonts w:ascii="Palatino Linotype" w:eastAsia="Palatino Linotype" w:hAnsi="Palatino Linotype" w:cs="Palatino Linotype"/>
          <w:i/>
          <w:sz w:val="22"/>
          <w:szCs w:val="22"/>
        </w:rPr>
        <w:t xml:space="preserve">Además tendrá: </w:t>
      </w:r>
    </w:p>
    <w:p w14:paraId="526FC4D4"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a) </w:t>
      </w:r>
      <w:r w:rsidRPr="004E28E1">
        <w:rPr>
          <w:rFonts w:ascii="Palatino Linotype" w:eastAsia="Palatino Linotype" w:hAnsi="Palatino Linotype" w:cs="Palatino Linotype"/>
          <w:i/>
          <w:sz w:val="22"/>
          <w:szCs w:val="22"/>
        </w:rPr>
        <w:t xml:space="preserve">Espacios necesarios para marcar año y elección de que se trate; </w:t>
      </w:r>
    </w:p>
    <w:p w14:paraId="24DEDAA6"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b) </w:t>
      </w:r>
      <w:r w:rsidRPr="004E28E1">
        <w:rPr>
          <w:rFonts w:ascii="Palatino Linotype" w:eastAsia="Palatino Linotype" w:hAnsi="Palatino Linotype" w:cs="Palatino Linotype"/>
          <w:i/>
          <w:sz w:val="22"/>
          <w:szCs w:val="22"/>
        </w:rPr>
        <w:t xml:space="preserve">Firma impresa del </w:t>
      </w:r>
      <w:proofErr w:type="gramStart"/>
      <w:r w:rsidRPr="004E28E1">
        <w:rPr>
          <w:rFonts w:ascii="Palatino Linotype" w:eastAsia="Palatino Linotype" w:hAnsi="Palatino Linotype" w:cs="Palatino Linotype"/>
          <w:i/>
          <w:sz w:val="22"/>
          <w:szCs w:val="22"/>
        </w:rPr>
        <w:t>Secretario Ejecutivo</w:t>
      </w:r>
      <w:proofErr w:type="gramEnd"/>
      <w:r w:rsidRPr="004E28E1">
        <w:rPr>
          <w:rFonts w:ascii="Palatino Linotype" w:eastAsia="Palatino Linotype" w:hAnsi="Palatino Linotype" w:cs="Palatino Linotype"/>
          <w:i/>
          <w:sz w:val="22"/>
          <w:szCs w:val="22"/>
        </w:rPr>
        <w:t xml:space="preserve"> del Instituto; </w:t>
      </w:r>
    </w:p>
    <w:p w14:paraId="1476DFC9"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c) </w:t>
      </w:r>
      <w:r w:rsidRPr="004E28E1">
        <w:rPr>
          <w:rFonts w:ascii="Palatino Linotype" w:eastAsia="Palatino Linotype" w:hAnsi="Palatino Linotype" w:cs="Palatino Linotype"/>
          <w:i/>
          <w:sz w:val="22"/>
          <w:szCs w:val="22"/>
        </w:rPr>
        <w:t xml:space="preserve">Año de emisión; </w:t>
      </w:r>
    </w:p>
    <w:p w14:paraId="2F73CE74"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d) </w:t>
      </w:r>
      <w:r w:rsidRPr="004E28E1">
        <w:rPr>
          <w:rFonts w:ascii="Palatino Linotype" w:eastAsia="Palatino Linotype" w:hAnsi="Palatino Linotype" w:cs="Palatino Linotype"/>
          <w:i/>
          <w:sz w:val="22"/>
          <w:szCs w:val="22"/>
        </w:rPr>
        <w:t xml:space="preserve">Año en el que expira su vigencia, y </w:t>
      </w:r>
    </w:p>
    <w:p w14:paraId="08C406F8"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e) </w:t>
      </w:r>
      <w:r w:rsidRPr="004E28E1">
        <w:rPr>
          <w:rFonts w:ascii="Palatino Linotype" w:eastAsia="Palatino Linotype" w:hAnsi="Palatino Linotype" w:cs="Palatino Linotype"/>
          <w:i/>
          <w:sz w:val="22"/>
          <w:szCs w:val="22"/>
        </w:rPr>
        <w:t>En el caso de la que se expida al ciudadano residente en el extranjero, la leyenda “Para Votar desde el Extranjero”.</w:t>
      </w:r>
    </w:p>
    <w:p w14:paraId="634C0EDD" w14:textId="77777777" w:rsidR="00996B51" w:rsidRPr="004E28E1" w:rsidRDefault="00996B51">
      <w:pPr>
        <w:spacing w:line="360" w:lineRule="auto"/>
        <w:jc w:val="both"/>
        <w:rPr>
          <w:rFonts w:ascii="Palatino Linotype" w:eastAsia="Palatino Linotype" w:hAnsi="Palatino Linotype" w:cs="Palatino Linotype"/>
        </w:rPr>
      </w:pPr>
    </w:p>
    <w:p w14:paraId="77E32C04"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Como se advierte, todos los elementos contenidos en la credencial hacen a su titular, identificado, identificable e incluso ubicable en su domicilio. El número o la clave de la credencial de elector, son únicos e irrepetibles y; de manera general este </w:t>
      </w:r>
      <w:r w:rsidRPr="004E28E1">
        <w:rPr>
          <w:rFonts w:ascii="Palatino Linotype" w:eastAsia="Palatino Linotype" w:hAnsi="Palatino Linotype" w:cs="Palatino Linotype"/>
        </w:rPr>
        <w:lastRenderedPageBreak/>
        <w:t>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11C9FB2" w14:textId="77777777" w:rsidR="00996B51" w:rsidRPr="004E28E1" w:rsidRDefault="00996B51">
      <w:pPr>
        <w:spacing w:line="360" w:lineRule="auto"/>
        <w:jc w:val="both"/>
        <w:rPr>
          <w:rFonts w:ascii="Palatino Linotype" w:eastAsia="Palatino Linotype" w:hAnsi="Palatino Linotype" w:cs="Palatino Linotype"/>
        </w:rPr>
      </w:pPr>
    </w:p>
    <w:p w14:paraId="22274E73"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58F96300" w14:textId="77777777" w:rsidR="00996B51" w:rsidRPr="004E28E1" w:rsidRDefault="00996B51">
      <w:pPr>
        <w:spacing w:line="360" w:lineRule="auto"/>
        <w:jc w:val="both"/>
        <w:rPr>
          <w:rFonts w:ascii="Palatino Linotype" w:eastAsia="Palatino Linotype" w:hAnsi="Palatino Linotype" w:cs="Palatino Linotype"/>
        </w:rPr>
      </w:pPr>
    </w:p>
    <w:p w14:paraId="7257CCF1"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4E28E1">
        <w:rPr>
          <w:rFonts w:ascii="Palatino Linotype" w:eastAsia="Palatino Linotype" w:hAnsi="Palatino Linotype" w:cs="Palatino Linotype"/>
          <w:b/>
        </w:rPr>
        <w:t xml:space="preserve">la credencial de elector, es confidencial </w:t>
      </w:r>
      <w:r w:rsidRPr="004E28E1">
        <w:rPr>
          <w:rFonts w:ascii="Palatino Linotype" w:eastAsia="Palatino Linotype" w:hAnsi="Palatino Linotype" w:cs="Palatino Linotype"/>
        </w:rPr>
        <w:t>y actualiza la causal de clasificación, establecida en el artículo 143, fracción I, de la Ley de Transparencia y Acceso a la Información Pública del Estado de México y Municipios.</w:t>
      </w:r>
    </w:p>
    <w:p w14:paraId="2D5E2081" w14:textId="77777777" w:rsidR="00996B51" w:rsidRPr="004E28E1" w:rsidRDefault="00996B51">
      <w:pPr>
        <w:spacing w:line="360" w:lineRule="auto"/>
        <w:jc w:val="both"/>
        <w:rPr>
          <w:rFonts w:ascii="Palatino Linotype" w:eastAsia="Palatino Linotype" w:hAnsi="Palatino Linotype" w:cs="Palatino Linotype"/>
        </w:rPr>
      </w:pPr>
    </w:p>
    <w:p w14:paraId="0F11BE85" w14:textId="77777777" w:rsidR="00996B51" w:rsidRPr="004E28E1" w:rsidRDefault="006D6A63">
      <w:pPr>
        <w:numPr>
          <w:ilvl w:val="0"/>
          <w:numId w:val="7"/>
        </w:num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rPr>
        <w:t>Cartilla militar.</w:t>
      </w:r>
    </w:p>
    <w:p w14:paraId="36C6BCFF" w14:textId="77777777" w:rsidR="00996B51" w:rsidRPr="004E28E1" w:rsidRDefault="006D6A6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14:paraId="014D63D3" w14:textId="77777777" w:rsidR="00996B51" w:rsidRPr="004E28E1" w:rsidRDefault="006D6A63">
      <w:pPr>
        <w:pBdr>
          <w:top w:val="nil"/>
          <w:left w:val="nil"/>
          <w:bottom w:val="nil"/>
          <w:right w:val="nil"/>
          <w:between w:val="nil"/>
        </w:pBdr>
        <w:spacing w:before="240"/>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“ARTÍCULO 151.-</w:t>
      </w:r>
      <w:r w:rsidRPr="004E28E1">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10FB3952"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 Un retrato de frente;</w:t>
      </w:r>
    </w:p>
    <w:p w14:paraId="10D2C3F4"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 Sus generales (nombre y apellidos paterno y materno, edad, ocupación, estado civil y domicilio);</w:t>
      </w:r>
    </w:p>
    <w:p w14:paraId="00B4195C"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III.- Matrícula;</w:t>
      </w:r>
    </w:p>
    <w:p w14:paraId="183D929D"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IV.- Clase a que pertenece;</w:t>
      </w:r>
    </w:p>
    <w:p w14:paraId="0D2E4501"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 Corporación a que se le destine;</w:t>
      </w:r>
    </w:p>
    <w:p w14:paraId="4319E1EC"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VI.- Unidad a la que deba incorporarse en caso de movilización;</w:t>
      </w:r>
    </w:p>
    <w:p w14:paraId="52FCFB2B"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VII.- Firma de la autoridad que la expida;</w:t>
      </w:r>
    </w:p>
    <w:p w14:paraId="4E3C71B1"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VIII.- Firma del interesado, si sabe hacerlo;</w:t>
      </w:r>
    </w:p>
    <w:p w14:paraId="7FE281AB"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IX.- Sello de la Junta Municipal de Reclutamiento o Consulado;</w:t>
      </w:r>
    </w:p>
    <w:p w14:paraId="2F956C51" w14:textId="77777777" w:rsidR="00996B51" w:rsidRPr="004E28E1" w:rsidRDefault="006D6A63">
      <w:pPr>
        <w:pBdr>
          <w:top w:val="nil"/>
          <w:left w:val="nil"/>
          <w:bottom w:val="nil"/>
          <w:right w:val="nil"/>
          <w:between w:val="nil"/>
        </w:pBdr>
        <w:ind w:left="567" w:right="55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X.- Huella digital.</w:t>
      </w:r>
    </w:p>
    <w:p w14:paraId="1269282F" w14:textId="77777777" w:rsidR="00996B51" w:rsidRPr="004E28E1" w:rsidRDefault="00996B51">
      <w:pPr>
        <w:jc w:val="both"/>
        <w:rPr>
          <w:rFonts w:ascii="Palatino Linotype" w:eastAsia="Palatino Linotype" w:hAnsi="Palatino Linotype" w:cs="Palatino Linotype"/>
        </w:rPr>
      </w:pPr>
    </w:p>
    <w:p w14:paraId="673754DC"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Mientras que el artículo 17 y 18 del Reglamento de la Ley del Servicio Militar, rezan así:</w:t>
      </w:r>
    </w:p>
    <w:p w14:paraId="50BF6831" w14:textId="77777777" w:rsidR="00996B51" w:rsidRPr="004E28E1" w:rsidRDefault="00996B51">
      <w:pPr>
        <w:jc w:val="both"/>
        <w:rPr>
          <w:rFonts w:ascii="Palatino Linotype" w:eastAsia="Palatino Linotype" w:hAnsi="Palatino Linotype" w:cs="Palatino Linotype"/>
        </w:rPr>
      </w:pPr>
    </w:p>
    <w:p w14:paraId="5A0D0BB2" w14:textId="77777777" w:rsidR="00996B51" w:rsidRPr="004E28E1" w:rsidRDefault="006D6A63">
      <w:pPr>
        <w:ind w:left="567" w:right="90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“ARTÍCULO 17.</w:t>
      </w:r>
      <w:r w:rsidRPr="004E28E1">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41869B15" w14:textId="77777777" w:rsidR="00996B51" w:rsidRPr="004E28E1" w:rsidRDefault="006D6A63">
      <w:pPr>
        <w:ind w:left="567" w:right="90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w:t>
      </w:r>
      <w:r w:rsidRPr="004E28E1">
        <w:rPr>
          <w:rFonts w:ascii="Palatino Linotype" w:eastAsia="Palatino Linotype" w:hAnsi="Palatino Linotype" w:cs="Palatino Linotype"/>
          <w:b/>
          <w:i/>
          <w:sz w:val="22"/>
          <w:szCs w:val="22"/>
        </w:rPr>
        <w:t>ARTÍCULO 18.-</w:t>
      </w:r>
      <w:r w:rsidRPr="004E28E1">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63F8524A" w14:textId="77777777" w:rsidR="00996B51" w:rsidRPr="004E28E1" w:rsidRDefault="006D6A63">
      <w:pPr>
        <w:ind w:left="567" w:right="90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I.-</w:t>
      </w:r>
      <w:r w:rsidRPr="004E28E1">
        <w:rPr>
          <w:rFonts w:ascii="Palatino Linotype" w:eastAsia="Palatino Linotype" w:hAnsi="Palatino Linotype" w:cs="Palatino Linotype"/>
          <w:i/>
          <w:sz w:val="22"/>
          <w:szCs w:val="22"/>
        </w:rPr>
        <w:t> Cartilla de identificación que se entregará al interesado...”</w:t>
      </w:r>
      <w:r w:rsidRPr="004E28E1">
        <w:rPr>
          <w:rFonts w:ascii="Palatino Linotype" w:eastAsia="Palatino Linotype" w:hAnsi="Palatino Linotype" w:cs="Palatino Linotype"/>
          <w:i/>
          <w:sz w:val="20"/>
          <w:szCs w:val="20"/>
        </w:rPr>
        <w:t> </w:t>
      </w:r>
    </w:p>
    <w:p w14:paraId="4879BCAB" w14:textId="77777777" w:rsidR="00996B51" w:rsidRPr="004E28E1" w:rsidRDefault="00996B51">
      <w:pPr>
        <w:spacing w:after="240" w:line="360" w:lineRule="auto"/>
        <w:ind w:right="49"/>
        <w:jc w:val="both"/>
        <w:rPr>
          <w:rFonts w:ascii="Palatino Linotype" w:eastAsia="Palatino Linotype" w:hAnsi="Palatino Linotype" w:cs="Palatino Linotype"/>
        </w:rPr>
      </w:pPr>
    </w:p>
    <w:p w14:paraId="0147D985"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De los preceptos legales trascritos, se obtiene que el documento que permite acreditar la inscripción de cada mexicano, en cumplimiento a la Ley del Servicio Militar, lo es la cartilla de identificación que se entrega al interesado.</w:t>
      </w:r>
    </w:p>
    <w:p w14:paraId="3C707E49" w14:textId="77777777" w:rsidR="00996B51" w:rsidRPr="004E28E1" w:rsidRDefault="006D6A63">
      <w:pPr>
        <w:spacing w:before="240" w:after="240"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en la fracción II, es decir con la clasificación total de la cartilla militar.</w:t>
      </w:r>
    </w:p>
    <w:p w14:paraId="42A98E7D" w14:textId="77777777" w:rsidR="00996B51" w:rsidRPr="004E28E1" w:rsidRDefault="006D6A63">
      <w:pPr>
        <w:numPr>
          <w:ilvl w:val="0"/>
          <w:numId w:val="7"/>
        </w:num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rPr>
        <w:t>Cédula de Identificación Fiscal.</w:t>
      </w:r>
    </w:p>
    <w:p w14:paraId="7DCC19CA" w14:textId="77777777" w:rsidR="00996B51" w:rsidRPr="004E28E1" w:rsidRDefault="00996B51">
      <w:pPr>
        <w:tabs>
          <w:tab w:val="left" w:pos="4962"/>
        </w:tabs>
        <w:spacing w:line="360" w:lineRule="auto"/>
        <w:jc w:val="both"/>
        <w:rPr>
          <w:rFonts w:ascii="Palatino Linotype" w:eastAsia="Palatino Linotype" w:hAnsi="Palatino Linotype" w:cs="Palatino Linotype"/>
        </w:rPr>
      </w:pPr>
    </w:p>
    <w:p w14:paraId="1A06460F"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w:t>
      </w:r>
      <w:r w:rsidRPr="004E28E1">
        <w:rPr>
          <w:rFonts w:ascii="Palatino Linotype" w:eastAsia="Palatino Linotype" w:hAnsi="Palatino Linotype" w:cs="Palatino Linotype"/>
        </w:rPr>
        <w:lastRenderedPageBreak/>
        <w:t>de la Secretaría de Hacienda y Crédito Público, de acuerdo al artículo 27 del Código Fiscal de la Federación.</w:t>
      </w:r>
    </w:p>
    <w:p w14:paraId="7DBA61AC" w14:textId="77777777" w:rsidR="00996B51" w:rsidRPr="004E28E1" w:rsidRDefault="00996B51">
      <w:pPr>
        <w:spacing w:line="360" w:lineRule="auto"/>
        <w:jc w:val="both"/>
        <w:rPr>
          <w:rFonts w:ascii="Palatino Linotype" w:eastAsia="Palatino Linotype" w:hAnsi="Palatino Linotype" w:cs="Palatino Linotype"/>
        </w:rPr>
      </w:pPr>
    </w:p>
    <w:p w14:paraId="7241F47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acuerdo a lo establecido en el artículo en comento, esta clave se compone de trece caracteres alfanuméricos, con datos obtenidos de los apellidos, nombre(s), fecha de nacimiento del titular, más una </w:t>
      </w:r>
      <w:proofErr w:type="spellStart"/>
      <w:r w:rsidRPr="004E28E1">
        <w:rPr>
          <w:rFonts w:ascii="Palatino Linotype" w:eastAsia="Palatino Linotype" w:hAnsi="Palatino Linotype" w:cs="Palatino Linotype"/>
        </w:rPr>
        <w:t>homoclave</w:t>
      </w:r>
      <w:proofErr w:type="spellEnd"/>
      <w:r w:rsidRPr="004E28E1">
        <w:rPr>
          <w:rFonts w:ascii="Palatino Linotype" w:eastAsia="Palatino Linotype" w:hAnsi="Palatino Linotype" w:cs="Palatino Linotype"/>
        </w:rPr>
        <w:t xml:space="preserve"> que establece el sistema automático del Servicio de Administración Tributaria.</w:t>
      </w:r>
    </w:p>
    <w:p w14:paraId="674CC2DC" w14:textId="77777777" w:rsidR="00996B51" w:rsidRPr="004E28E1" w:rsidRDefault="00996B51">
      <w:pPr>
        <w:spacing w:line="360" w:lineRule="auto"/>
        <w:jc w:val="both"/>
        <w:rPr>
          <w:rFonts w:ascii="Palatino Linotype" w:eastAsia="Palatino Linotype" w:hAnsi="Palatino Linotype" w:cs="Palatino Linotype"/>
        </w:rPr>
      </w:pPr>
    </w:p>
    <w:p w14:paraId="06DC6A56" w14:textId="77777777" w:rsidR="00996B51" w:rsidRPr="004E28E1" w:rsidRDefault="006D6A63">
      <w:pPr>
        <w:tabs>
          <w:tab w:val="left" w:pos="4962"/>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contexto, conforme a la página oficial del Servicio de Administración Tributaria, en el apartado Obtén tu cédula de identificación fiscal (consultado el trece de mayo a las catorce horas en la liga </w:t>
      </w:r>
      <w:hyperlink r:id="rId27">
        <w:r w:rsidRPr="004E28E1">
          <w:rPr>
            <w:rFonts w:ascii="Palatino Linotype" w:eastAsia="Palatino Linotype" w:hAnsi="Palatino Linotype" w:cs="Palatino Linotype"/>
            <w:u w:val="single"/>
          </w:rPr>
          <w:t>https://www.sat.gob.mx/aplicacion/28889/obten-tu-cédula-de-identificacion-fiscal</w:t>
        </w:r>
      </w:hyperlink>
      <w:r w:rsidRPr="004E28E1">
        <w:rPr>
          <w:rFonts w:ascii="Palatino Linotype" w:eastAsia="Palatino Linotype" w:hAnsi="Palatino Linotype" w:cs="Palatino Linotype"/>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50E814BF" w14:textId="77777777" w:rsidR="00996B51" w:rsidRPr="004E28E1" w:rsidRDefault="00996B51">
      <w:pPr>
        <w:tabs>
          <w:tab w:val="left" w:pos="4962"/>
        </w:tabs>
        <w:spacing w:line="360" w:lineRule="auto"/>
        <w:jc w:val="both"/>
        <w:rPr>
          <w:rFonts w:ascii="Palatino Linotype" w:eastAsia="Palatino Linotype" w:hAnsi="Palatino Linotype" w:cs="Palatino Linotype"/>
        </w:rPr>
      </w:pPr>
    </w:p>
    <w:p w14:paraId="7270C35E"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B03E123" w14:textId="77777777" w:rsidR="00996B51" w:rsidRPr="004E28E1" w:rsidRDefault="00996B51">
      <w:pPr>
        <w:spacing w:line="360" w:lineRule="auto"/>
        <w:jc w:val="both"/>
        <w:rPr>
          <w:rFonts w:ascii="Palatino Linotype" w:eastAsia="Palatino Linotype" w:hAnsi="Palatino Linotype" w:cs="Palatino Linotype"/>
        </w:rPr>
      </w:pPr>
    </w:p>
    <w:p w14:paraId="0EE0DC73"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375EE6F" w14:textId="77777777" w:rsidR="00996B51" w:rsidRPr="004E28E1" w:rsidRDefault="00996B51">
      <w:pPr>
        <w:spacing w:line="360" w:lineRule="auto"/>
        <w:jc w:val="both"/>
        <w:rPr>
          <w:rFonts w:ascii="Palatino Linotype" w:eastAsia="Palatino Linotype" w:hAnsi="Palatino Linotype" w:cs="Palatino Linotype"/>
        </w:rPr>
      </w:pPr>
    </w:p>
    <w:p w14:paraId="3E48FD2E"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Lo anterior, resulta congruente con el Criterio 19/17 emitido por el Instituto Nacional de Transparencia, Acceso a la Información y Protección de Datos Personales, en el cual se señala lo siguiente:</w:t>
      </w:r>
    </w:p>
    <w:p w14:paraId="112593EC" w14:textId="77777777" w:rsidR="00996B51" w:rsidRPr="004E28E1" w:rsidRDefault="00996B51">
      <w:pPr>
        <w:jc w:val="both"/>
        <w:rPr>
          <w:rFonts w:ascii="Palatino Linotype" w:eastAsia="Palatino Linotype" w:hAnsi="Palatino Linotype" w:cs="Palatino Linotype"/>
        </w:rPr>
      </w:pPr>
    </w:p>
    <w:p w14:paraId="69A87FC7" w14:textId="77777777" w:rsidR="00996B51" w:rsidRPr="004E28E1" w:rsidRDefault="006D6A63">
      <w:pPr>
        <w:widowControl w:val="0"/>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Registro Federal de Contribuyentes (RFC) de personas físicas.</w:t>
      </w:r>
      <w:r w:rsidRPr="004E28E1">
        <w:rPr>
          <w:rFonts w:ascii="Palatino Linotype" w:eastAsia="Palatino Linotype" w:hAnsi="Palatino Linotype" w:cs="Palatino Linotype"/>
          <w:i/>
          <w:sz w:val="22"/>
          <w:szCs w:val="22"/>
        </w:rPr>
        <w:t xml:space="preserve"> El RFC es una clave de carácter fiscal, única e irrepetible, que permite identificar al titular, su edad y fecha de nacimiento, por lo que es un dato personal de carácter confidencial.</w:t>
      </w:r>
    </w:p>
    <w:p w14:paraId="003AD43B" w14:textId="77777777" w:rsidR="00996B51" w:rsidRPr="004E28E1" w:rsidRDefault="00996B51">
      <w:pPr>
        <w:jc w:val="both"/>
        <w:rPr>
          <w:rFonts w:ascii="Palatino Linotype" w:eastAsia="Palatino Linotype" w:hAnsi="Palatino Linotype" w:cs="Palatino Linotype"/>
        </w:rPr>
      </w:pPr>
    </w:p>
    <w:p w14:paraId="6BEC943A"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De tal suerte, el Registro Federal de Contribuyentes de los servidores públicos no guarda relación con la transparencia de los recursos públicos, así como tampoco con el desempeño laboral que pueda tener una persona, por lo que c</w:t>
      </w:r>
      <w:r w:rsidRPr="004E28E1">
        <w:rPr>
          <w:rFonts w:ascii="Palatino Linotype" w:eastAsia="Palatino Linotype" w:hAnsi="Palatino Linotype" w:cs="Palatino Linotype"/>
          <w:b/>
        </w:rPr>
        <w:t xml:space="preserve">onstituye un dato personal confidencial </w:t>
      </w:r>
      <w:r w:rsidRPr="004E28E1">
        <w:rPr>
          <w:rFonts w:ascii="Palatino Linotype" w:eastAsia="Palatino Linotype" w:hAnsi="Palatino Linotype" w:cs="Palatino Linotype"/>
        </w:rPr>
        <w:t>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6DFF6922" w14:textId="77777777" w:rsidR="00996B51" w:rsidRPr="004E28E1" w:rsidRDefault="00996B51">
      <w:pPr>
        <w:spacing w:line="360" w:lineRule="auto"/>
        <w:jc w:val="both"/>
        <w:rPr>
          <w:rFonts w:ascii="Palatino Linotype" w:eastAsia="Palatino Linotype" w:hAnsi="Palatino Linotype" w:cs="Palatino Linotype"/>
        </w:rPr>
      </w:pPr>
    </w:p>
    <w:p w14:paraId="7A713383" w14:textId="77777777" w:rsidR="00996B51" w:rsidRPr="004E28E1" w:rsidRDefault="006D6A63">
      <w:pPr>
        <w:numPr>
          <w:ilvl w:val="0"/>
          <w:numId w:val="7"/>
        </w:num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Domicilio particular y comprobante de domicilio.</w:t>
      </w:r>
    </w:p>
    <w:p w14:paraId="63D213A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D4929F7" w14:textId="77777777" w:rsidR="00996B51" w:rsidRPr="004E28E1" w:rsidRDefault="00996B51">
      <w:pPr>
        <w:spacing w:line="360" w:lineRule="auto"/>
        <w:jc w:val="both"/>
        <w:rPr>
          <w:rFonts w:ascii="Palatino Linotype" w:eastAsia="Palatino Linotype" w:hAnsi="Palatino Linotype" w:cs="Palatino Linotype"/>
        </w:rPr>
      </w:pPr>
    </w:p>
    <w:p w14:paraId="4ADBADF7" w14:textId="77777777" w:rsidR="00996B51" w:rsidRPr="004E28E1" w:rsidRDefault="006D6A63">
      <w:p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rPr>
        <w:t>De la misma manera, lo establece el artículo 29 del Código Civil Federal, al precisar que el domicilio de personas físicas</w:t>
      </w:r>
      <w:r w:rsidRPr="004E28E1">
        <w:rPr>
          <w:rFonts w:ascii="Palatino Linotype" w:eastAsia="Palatino Linotype" w:hAnsi="Palatino Linotype" w:cs="Palatino Linotype"/>
          <w:b/>
        </w:rPr>
        <w:t>, es el lugar donde residen habitualmente, el lugar del centro principal de sus negocios, donde residan o el lugar donde se encuentren.</w:t>
      </w:r>
    </w:p>
    <w:p w14:paraId="68ADB046" w14:textId="77777777" w:rsidR="00996B51" w:rsidRPr="004E28E1" w:rsidRDefault="00996B51">
      <w:pPr>
        <w:spacing w:line="360" w:lineRule="auto"/>
        <w:jc w:val="both"/>
        <w:rPr>
          <w:rFonts w:ascii="Palatino Linotype" w:eastAsia="Palatino Linotype" w:hAnsi="Palatino Linotype" w:cs="Palatino Linotype"/>
          <w:b/>
        </w:rPr>
      </w:pPr>
    </w:p>
    <w:p w14:paraId="6A505B92"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27D5F0B1" w14:textId="77777777" w:rsidR="00996B51" w:rsidRPr="004E28E1" w:rsidRDefault="00996B51">
      <w:pPr>
        <w:spacing w:line="360" w:lineRule="auto"/>
        <w:jc w:val="both"/>
        <w:rPr>
          <w:rFonts w:ascii="Palatino Linotype" w:eastAsia="Palatino Linotype" w:hAnsi="Palatino Linotype" w:cs="Palatino Linotype"/>
        </w:rPr>
      </w:pPr>
    </w:p>
    <w:p w14:paraId="557F8B6B"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w:t>
      </w:r>
      <w:r w:rsidRPr="004E28E1">
        <w:rPr>
          <w:rFonts w:ascii="Palatino Linotype" w:eastAsia="Palatino Linotype" w:hAnsi="Palatino Linotype" w:cs="Palatino Linotype"/>
        </w:rPr>
        <w:lastRenderedPageBreak/>
        <w:t>trabajadora, al contrario, la hace ubicable en su carácter de particular, por lo que, se concluye que el comprobante guarda la naturaleza de privado.</w:t>
      </w:r>
    </w:p>
    <w:p w14:paraId="19146EE6" w14:textId="77777777" w:rsidR="00996B51" w:rsidRPr="004E28E1" w:rsidRDefault="00996B51">
      <w:pPr>
        <w:spacing w:line="360" w:lineRule="auto"/>
        <w:jc w:val="both"/>
        <w:rPr>
          <w:rFonts w:ascii="Palatino Linotype" w:eastAsia="Palatino Linotype" w:hAnsi="Palatino Linotype" w:cs="Palatino Linotype"/>
        </w:rPr>
      </w:pPr>
    </w:p>
    <w:p w14:paraId="3FEF3E07"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Por lo tanto, se actualiza la clasificación del domicilio y su comprobante como</w:t>
      </w:r>
      <w:r w:rsidRPr="004E28E1">
        <w:rPr>
          <w:rFonts w:ascii="Palatino Linotype" w:eastAsia="Palatino Linotype" w:hAnsi="Palatino Linotype" w:cs="Palatino Linotype"/>
          <w:b/>
        </w:rPr>
        <w:t xml:space="preserve"> información confidencial,</w:t>
      </w:r>
      <w:r w:rsidRPr="004E28E1">
        <w:rPr>
          <w:rFonts w:ascii="Palatino Linotype" w:eastAsia="Palatino Linotype" w:hAnsi="Palatino Linotype" w:cs="Palatino Linotype"/>
        </w:rPr>
        <w:t xml:space="preserve"> de conformidad con la fracción I, del artículo 143 de la Ley de Transparencia y Acceso a la Información Pública del Estado de México y Municipios.</w:t>
      </w:r>
    </w:p>
    <w:p w14:paraId="582B6F87" w14:textId="77777777" w:rsidR="00996B51" w:rsidRPr="004E28E1" w:rsidRDefault="00996B51">
      <w:pPr>
        <w:spacing w:line="360" w:lineRule="auto"/>
        <w:jc w:val="both"/>
        <w:rPr>
          <w:rFonts w:ascii="Palatino Linotype" w:eastAsia="Palatino Linotype" w:hAnsi="Palatino Linotype" w:cs="Palatino Linotype"/>
        </w:rPr>
      </w:pPr>
    </w:p>
    <w:p w14:paraId="156277D8" w14:textId="77777777" w:rsidR="00996B51" w:rsidRPr="004E28E1" w:rsidRDefault="006D6A63">
      <w:pPr>
        <w:numPr>
          <w:ilvl w:val="0"/>
          <w:numId w:val="7"/>
        </w:num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rPr>
        <w:t>Cartas de Recomendación.</w:t>
      </w:r>
    </w:p>
    <w:p w14:paraId="7D9C5F39" w14:textId="77777777" w:rsidR="00996B51" w:rsidRPr="004E28E1" w:rsidRDefault="00996B51">
      <w:pPr>
        <w:spacing w:line="360" w:lineRule="auto"/>
        <w:jc w:val="both"/>
        <w:rPr>
          <w:rFonts w:ascii="Palatino Linotype" w:eastAsia="Palatino Linotype" w:hAnsi="Palatino Linotype" w:cs="Palatino Linotype"/>
        </w:rPr>
      </w:pPr>
    </w:p>
    <w:p w14:paraId="72FE1207"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18068E5B" w14:textId="77777777" w:rsidR="00996B51" w:rsidRPr="004E28E1" w:rsidRDefault="00996B51">
      <w:pPr>
        <w:spacing w:line="360" w:lineRule="auto"/>
        <w:jc w:val="both"/>
        <w:rPr>
          <w:rFonts w:ascii="Palatino Linotype" w:eastAsia="Palatino Linotype" w:hAnsi="Palatino Linotype" w:cs="Palatino Linotype"/>
        </w:rPr>
      </w:pPr>
    </w:p>
    <w:p w14:paraId="4E8FFD9E"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Por lo que, se considera que dichos documentos actualizan la clasificación como </w:t>
      </w:r>
      <w:r w:rsidRPr="004E28E1">
        <w:rPr>
          <w:rFonts w:ascii="Palatino Linotype" w:eastAsia="Palatino Linotype" w:hAnsi="Palatino Linotype" w:cs="Palatino Linotype"/>
          <w:b/>
        </w:rPr>
        <w:t>información confidencial</w:t>
      </w:r>
      <w:r w:rsidRPr="004E28E1">
        <w:rPr>
          <w:rFonts w:ascii="Palatino Linotype" w:eastAsia="Palatino Linotype" w:hAnsi="Palatino Linotype" w:cs="Palatino Linotype"/>
        </w:rPr>
        <w:t>, de la causal establecida en el artículo 143, fracción I, de la Ley de Transparencia y Acceso a la Información Pública del Estado de México y Municipios.</w:t>
      </w:r>
    </w:p>
    <w:p w14:paraId="050177F6" w14:textId="77777777" w:rsidR="00996B51" w:rsidRPr="004E28E1" w:rsidRDefault="00996B51">
      <w:pPr>
        <w:spacing w:line="360" w:lineRule="auto"/>
        <w:jc w:val="both"/>
        <w:rPr>
          <w:rFonts w:ascii="Palatino Linotype" w:eastAsia="Palatino Linotype" w:hAnsi="Palatino Linotype" w:cs="Palatino Linotype"/>
        </w:rPr>
      </w:pPr>
    </w:p>
    <w:p w14:paraId="2463B883" w14:textId="77777777" w:rsidR="00996B51" w:rsidRPr="004E28E1" w:rsidRDefault="006D6A63">
      <w:pPr>
        <w:numPr>
          <w:ilvl w:val="0"/>
          <w:numId w:val="7"/>
        </w:num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rPr>
        <w:lastRenderedPageBreak/>
        <w:t xml:space="preserve">Certificado médico. </w:t>
      </w:r>
    </w:p>
    <w:p w14:paraId="20AA5082" w14:textId="77777777" w:rsidR="00996B51" w:rsidRPr="004E28E1" w:rsidRDefault="00996B51">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40DF59AD" w14:textId="77777777" w:rsidR="00996B51" w:rsidRPr="004E28E1" w:rsidRDefault="006D6A63">
      <w:p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rPr>
        <w:t xml:space="preserve">En principio, es de señalar que cualquier información que dé cuenta del </w:t>
      </w:r>
      <w:r w:rsidRPr="004E28E1">
        <w:rPr>
          <w:rFonts w:ascii="Palatino Linotype" w:eastAsia="Palatino Linotype" w:hAnsi="Palatino Linotype" w:cs="Palatino Linotype"/>
          <w:b/>
        </w:rPr>
        <w:t>estado de salud de una persona</w:t>
      </w:r>
      <w:r w:rsidRPr="004E28E1">
        <w:rPr>
          <w:rFonts w:ascii="Palatino Linotype" w:eastAsia="Palatino Linotype" w:hAnsi="Palatino Linotype" w:cs="Palatino Linotype"/>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4E28E1">
        <w:rPr>
          <w:rFonts w:ascii="Palatino Linotype" w:eastAsia="Palatino Linotype" w:hAnsi="Palatino Linotype" w:cs="Palatino Linotype"/>
          <w:b/>
        </w:rPr>
        <w:t>den cuenta del estado de salud, ya sea físico o mental.</w:t>
      </w:r>
    </w:p>
    <w:p w14:paraId="53802281" w14:textId="77777777" w:rsidR="00996B51" w:rsidRPr="004E28E1" w:rsidRDefault="00996B51">
      <w:pPr>
        <w:spacing w:line="360" w:lineRule="auto"/>
        <w:jc w:val="both"/>
        <w:rPr>
          <w:rFonts w:ascii="Palatino Linotype" w:eastAsia="Palatino Linotype" w:hAnsi="Palatino Linotype" w:cs="Palatino Linotype"/>
        </w:rPr>
      </w:pPr>
    </w:p>
    <w:p w14:paraId="75B894D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tales circunstancias, se considera que la información contenida en el certificado médico, únicamente identifica el estado de salud físico y mental de la servidora pública, lo cual guarda el carácter </w:t>
      </w:r>
      <w:r w:rsidRPr="004E28E1">
        <w:rPr>
          <w:rFonts w:ascii="Palatino Linotype" w:eastAsia="Palatino Linotype" w:hAnsi="Palatino Linotype" w:cs="Palatino Linotype"/>
          <w:b/>
        </w:rPr>
        <w:t>confidencial</w:t>
      </w:r>
      <w:r w:rsidRPr="004E28E1">
        <w:rPr>
          <w:rFonts w:ascii="Palatino Linotype" w:eastAsia="Palatino Linotype" w:hAnsi="Palatino Linotype" w:cs="Palatino Linotype"/>
        </w:rPr>
        <w:t>, en términos del artículo 143, fracción I, de la Ley de Transparencia y Acceso a la Información Pública del Estado de México y Municipios.</w:t>
      </w:r>
    </w:p>
    <w:p w14:paraId="4532DE1D" w14:textId="77777777" w:rsidR="00996B51" w:rsidRPr="004E28E1" w:rsidRDefault="00996B51">
      <w:pPr>
        <w:spacing w:line="360" w:lineRule="auto"/>
        <w:jc w:val="both"/>
        <w:rPr>
          <w:rFonts w:ascii="Palatino Linotype" w:eastAsia="Palatino Linotype" w:hAnsi="Palatino Linotype" w:cs="Palatino Linotype"/>
        </w:rPr>
      </w:pPr>
    </w:p>
    <w:p w14:paraId="4B7FC87D" w14:textId="77777777" w:rsidR="00996B51" w:rsidRPr="004E28E1" w:rsidRDefault="006D6A63">
      <w:pPr>
        <w:numPr>
          <w:ilvl w:val="0"/>
          <w:numId w:val="7"/>
        </w:numP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rPr>
        <w:t>Constancia y Clave Única de Registro de Población.</w:t>
      </w:r>
    </w:p>
    <w:p w14:paraId="003B47F8" w14:textId="77777777" w:rsidR="00996B51" w:rsidRPr="004E28E1" w:rsidRDefault="00996B51">
      <w:pPr>
        <w:tabs>
          <w:tab w:val="left" w:pos="4962"/>
        </w:tabs>
        <w:spacing w:line="360" w:lineRule="auto"/>
        <w:jc w:val="both"/>
        <w:rPr>
          <w:rFonts w:ascii="Palatino Linotype" w:eastAsia="Palatino Linotype" w:hAnsi="Palatino Linotype" w:cs="Palatino Linotype"/>
          <w:b/>
        </w:rPr>
      </w:pPr>
    </w:p>
    <w:p w14:paraId="7D449F6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CA50A7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290493B" w14:textId="77777777" w:rsidR="00996B51" w:rsidRPr="004E28E1" w:rsidRDefault="00996B51">
      <w:pPr>
        <w:spacing w:line="360" w:lineRule="auto"/>
        <w:jc w:val="both"/>
        <w:rPr>
          <w:rFonts w:ascii="Palatino Linotype" w:eastAsia="Palatino Linotype" w:hAnsi="Palatino Linotype" w:cs="Palatino Linotype"/>
        </w:rPr>
      </w:pPr>
    </w:p>
    <w:p w14:paraId="245644E3"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orden de ideas, la Secretaría de Gobernación en las direcciones </w:t>
      </w:r>
      <w:hyperlink r:id="rId28">
        <w:r w:rsidRPr="004E28E1">
          <w:rPr>
            <w:rFonts w:ascii="Palatino Linotype" w:eastAsia="Palatino Linotype" w:hAnsi="Palatino Linotype" w:cs="Palatino Linotype"/>
            <w:u w:val="single"/>
          </w:rPr>
          <w:t>https://consultas.curp.gob.mx/CurpSP/html/informacionecurpPS.html</w:t>
        </w:r>
      </w:hyperlink>
      <w:r w:rsidRPr="004E28E1">
        <w:rPr>
          <w:rFonts w:ascii="Palatino Linotype" w:eastAsia="Palatino Linotype" w:hAnsi="Palatino Linotype" w:cs="Palatino Linotype"/>
        </w:rPr>
        <w:t xml:space="preserve"> y </w:t>
      </w:r>
      <w:hyperlink r:id="rId29">
        <w:r w:rsidRPr="004E28E1">
          <w:rPr>
            <w:rFonts w:ascii="Palatino Linotype" w:eastAsia="Palatino Linotype" w:hAnsi="Palatino Linotype" w:cs="Palatino Linotype"/>
            <w:u w:val="single"/>
          </w:rPr>
          <w:t>https://www.gob.mx/segob/renapo/acciones-y-programas/clave-unica-de-registro-de-poblacion-curp-142226</w:t>
        </w:r>
      </w:hyperlink>
      <w:r w:rsidRPr="004E28E1">
        <w:rPr>
          <w:rFonts w:ascii="Palatino Linotype" w:eastAsia="Palatino Linotype" w:hAnsi="Palatino Linotype" w:cs="Palatino Linotype"/>
          <w:u w:val="single"/>
        </w:rPr>
        <w:t xml:space="preserve"> </w:t>
      </w:r>
      <w:r w:rsidRPr="004E28E1">
        <w:rPr>
          <w:rFonts w:ascii="Palatino Linotype" w:eastAsia="Palatino Linotype" w:hAnsi="Palatino Linotype" w:cs="Palatino Linotype"/>
        </w:rPr>
        <w:t>(consultadas el veinte de abril de dos mil veintidós,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1C9D7409" w14:textId="77777777" w:rsidR="00996B51" w:rsidRPr="004E28E1" w:rsidRDefault="00996B51">
      <w:pPr>
        <w:spacing w:line="360" w:lineRule="auto"/>
        <w:jc w:val="both"/>
        <w:rPr>
          <w:rFonts w:ascii="Palatino Linotype" w:eastAsia="Palatino Linotype" w:hAnsi="Palatino Linotype" w:cs="Palatino Linotype"/>
        </w:rPr>
      </w:pPr>
    </w:p>
    <w:p w14:paraId="5F794041" w14:textId="77777777" w:rsidR="00996B51" w:rsidRPr="004E28E1" w:rsidRDefault="006D6A63">
      <w:pPr>
        <w:numPr>
          <w:ilvl w:val="0"/>
          <w:numId w:val="9"/>
        </w:num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El primero y segundo apellidos, así como al nombre de pila;</w:t>
      </w:r>
    </w:p>
    <w:p w14:paraId="49A2E64A" w14:textId="77777777" w:rsidR="00996B51" w:rsidRPr="004E28E1" w:rsidRDefault="006D6A63">
      <w:pPr>
        <w:numPr>
          <w:ilvl w:val="0"/>
          <w:numId w:val="9"/>
        </w:num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La fecha de nacimiento;</w:t>
      </w:r>
    </w:p>
    <w:p w14:paraId="09697536" w14:textId="77777777" w:rsidR="00996B51" w:rsidRPr="004E28E1" w:rsidRDefault="006D6A63">
      <w:pPr>
        <w:numPr>
          <w:ilvl w:val="0"/>
          <w:numId w:val="9"/>
        </w:num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El sexo, y</w:t>
      </w:r>
    </w:p>
    <w:p w14:paraId="2DC2414E" w14:textId="77777777" w:rsidR="00996B51" w:rsidRPr="004E28E1" w:rsidRDefault="006D6A63">
      <w:pPr>
        <w:numPr>
          <w:ilvl w:val="0"/>
          <w:numId w:val="9"/>
        </w:num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La entidad federativa de nacimiento.</w:t>
      </w:r>
    </w:p>
    <w:p w14:paraId="10501904" w14:textId="77777777" w:rsidR="00996B51" w:rsidRPr="004E28E1" w:rsidRDefault="00996B51">
      <w:pPr>
        <w:spacing w:line="360" w:lineRule="auto"/>
        <w:jc w:val="both"/>
        <w:rPr>
          <w:rFonts w:ascii="Palatino Linotype" w:eastAsia="Palatino Linotype" w:hAnsi="Palatino Linotype" w:cs="Palatino Linotype"/>
        </w:rPr>
      </w:pPr>
    </w:p>
    <w:p w14:paraId="6BDC737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Los dos últimos elementos de la Clave Única de Registro de Población evitan la duplicidad de la Clave y garantizan su correcta integración.</w:t>
      </w:r>
    </w:p>
    <w:p w14:paraId="03465AE0" w14:textId="77777777" w:rsidR="00996B51" w:rsidRPr="004E28E1" w:rsidRDefault="00996B51">
      <w:pPr>
        <w:spacing w:line="360" w:lineRule="auto"/>
        <w:jc w:val="both"/>
        <w:rPr>
          <w:rFonts w:ascii="Palatino Linotype" w:eastAsia="Palatino Linotype" w:hAnsi="Palatino Linotype" w:cs="Palatino Linotype"/>
        </w:rPr>
      </w:pPr>
    </w:p>
    <w:p w14:paraId="3D18F12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0E864B4" w14:textId="77777777" w:rsidR="00996B51" w:rsidRPr="004E28E1" w:rsidRDefault="00996B51">
      <w:pPr>
        <w:spacing w:line="360" w:lineRule="auto"/>
        <w:jc w:val="both"/>
        <w:rPr>
          <w:rFonts w:ascii="Palatino Linotype" w:eastAsia="Palatino Linotype" w:hAnsi="Palatino Linotype" w:cs="Palatino Linotype"/>
        </w:rPr>
      </w:pPr>
    </w:p>
    <w:p w14:paraId="6E6BF75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14:paraId="3EFD06BF" w14:textId="77777777" w:rsidR="00996B51" w:rsidRPr="004E28E1" w:rsidRDefault="00996B51">
      <w:pPr>
        <w:ind w:left="567"/>
        <w:jc w:val="both"/>
        <w:rPr>
          <w:rFonts w:ascii="Palatino Linotype" w:eastAsia="Palatino Linotype" w:hAnsi="Palatino Linotype" w:cs="Palatino Linotype"/>
        </w:rPr>
      </w:pPr>
    </w:p>
    <w:p w14:paraId="0BF8A4AF"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 xml:space="preserve">Clave Única de Registro de Población (CURP). </w:t>
      </w:r>
      <w:r w:rsidRPr="004E28E1">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CD27223" w14:textId="77777777" w:rsidR="00996B51" w:rsidRPr="004E28E1" w:rsidRDefault="00996B51">
      <w:pPr>
        <w:jc w:val="both"/>
        <w:rPr>
          <w:rFonts w:ascii="Palatino Linotype" w:eastAsia="Palatino Linotype" w:hAnsi="Palatino Linotype" w:cs="Palatino Linotype"/>
        </w:rPr>
      </w:pPr>
    </w:p>
    <w:p w14:paraId="10719B22"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De acuerdo con lo anterior, resulta procedente la clasificación de la Clave Única de Registro de Población; por lo que, la constancia de dicho dato corre al misma suerte, pues únicamente contiene datos que hacen identificables a la servidora pública, que en nada abonan a la transparencia y no rinden cuantas de la forma de actuar de la Encargada de Despacho de la Unidad de Transparencia, por lo que, es</w:t>
      </w:r>
      <w:r w:rsidRPr="004E28E1">
        <w:rPr>
          <w:rFonts w:ascii="Palatino Linotype" w:eastAsia="Palatino Linotype" w:hAnsi="Palatino Linotype" w:cs="Palatino Linotype"/>
          <w:b/>
        </w:rPr>
        <w:t xml:space="preserve"> información </w:t>
      </w:r>
      <w:r w:rsidRPr="004E28E1">
        <w:rPr>
          <w:rFonts w:ascii="Palatino Linotype" w:eastAsia="Palatino Linotype" w:hAnsi="Palatino Linotype" w:cs="Palatino Linotype"/>
          <w:b/>
        </w:rPr>
        <w:lastRenderedPageBreak/>
        <w:t>confidencial</w:t>
      </w:r>
      <w:r w:rsidRPr="004E28E1">
        <w:rPr>
          <w:rFonts w:ascii="Palatino Linotype" w:eastAsia="Palatino Linotype" w:hAnsi="Palatino Linotype" w:cs="Palatino Linotype"/>
        </w:rPr>
        <w:t xml:space="preserve">, en términos del artículo 143, fracción I, de la Ley de Transparencia y Acceso a la Información Pública del Estado de México y Municipios. </w:t>
      </w:r>
    </w:p>
    <w:p w14:paraId="715928D6" w14:textId="77777777" w:rsidR="00996B51" w:rsidRPr="004E28E1" w:rsidRDefault="00996B51">
      <w:pPr>
        <w:spacing w:line="360" w:lineRule="auto"/>
        <w:jc w:val="both"/>
        <w:rPr>
          <w:rFonts w:ascii="Palatino Linotype" w:eastAsia="Palatino Linotype" w:hAnsi="Palatino Linotype" w:cs="Palatino Linotype"/>
        </w:rPr>
      </w:pPr>
    </w:p>
    <w:p w14:paraId="04809082" w14:textId="77777777" w:rsidR="00996B51" w:rsidRPr="004E28E1" w:rsidRDefault="006D6A6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Certificado de no antecedentes penales.</w:t>
      </w:r>
    </w:p>
    <w:p w14:paraId="53347AF4" w14:textId="77777777" w:rsidR="00996B51" w:rsidRPr="004E28E1" w:rsidRDefault="00996B51">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1F5DD788" w14:textId="77777777" w:rsidR="00996B51" w:rsidRPr="004E28E1" w:rsidRDefault="006D6A63">
      <w:pPr>
        <w:tabs>
          <w:tab w:val="left" w:pos="709"/>
        </w:tabs>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Es importante precisar que de acuerdo al artículo 47, fracción V de la Ley del Trabajo de los Servidores Públicos del Estado y Municipios, no es un requisito que actualmente no se solicita, sin embargo, en caso de que dicha información obre en los archivos del Sujeto Obligado deberá entregarse en versión pública. </w:t>
      </w:r>
    </w:p>
    <w:p w14:paraId="6E223DAB" w14:textId="77777777" w:rsidR="00996B51" w:rsidRPr="004E28E1" w:rsidRDefault="00996B51">
      <w:pPr>
        <w:tabs>
          <w:tab w:val="left" w:pos="709"/>
        </w:tabs>
        <w:spacing w:line="360" w:lineRule="auto"/>
        <w:jc w:val="both"/>
        <w:rPr>
          <w:rFonts w:ascii="Palatino Linotype" w:eastAsia="Palatino Linotype" w:hAnsi="Palatino Linotype" w:cs="Palatino Linotype"/>
          <w:b/>
        </w:rPr>
      </w:pPr>
    </w:p>
    <w:p w14:paraId="32A4AAFB" w14:textId="77777777" w:rsidR="00996B51" w:rsidRPr="004E28E1" w:rsidRDefault="006D6A63">
      <w:pPr>
        <w:numPr>
          <w:ilvl w:val="0"/>
          <w:numId w:val="7"/>
        </w:num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rPr>
      </w:pPr>
      <w:r w:rsidRPr="004E28E1">
        <w:rPr>
          <w:rFonts w:ascii="Palatino Linotype" w:eastAsia="Palatino Linotype" w:hAnsi="Palatino Linotype" w:cs="Palatino Linotype"/>
          <w:b/>
        </w:rPr>
        <w:t>Certificado de No Deudor Alimentario Moroso.</w:t>
      </w:r>
    </w:p>
    <w:p w14:paraId="72401B59" w14:textId="77777777" w:rsidR="00996B51" w:rsidRPr="004E28E1" w:rsidRDefault="00996B51">
      <w:pPr>
        <w:spacing w:line="360" w:lineRule="auto"/>
        <w:jc w:val="both"/>
        <w:rPr>
          <w:rFonts w:ascii="Palatino Linotype" w:eastAsia="Palatino Linotype" w:hAnsi="Palatino Linotype" w:cs="Palatino Linotype"/>
        </w:rPr>
      </w:pPr>
    </w:p>
    <w:p w14:paraId="20662011"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Al respecto, en el Proyecto de Decreto por el que se Reforman y Adicionan Diversas Disposiciones para crear el Registro de Deudores Alimentarios del Estado de México, disponible en la dirección electrónica </w:t>
      </w:r>
      <w:hyperlink r:id="rId30" w:anchor=":~:text=La%20inscripci%C3%B3n%20con%20el%20car%C3%A1cter,del%20Estado%20de%20M%C3%A9xico%20e">
        <w:r w:rsidRPr="004E28E1">
          <w:rPr>
            <w:rFonts w:ascii="Palatino Linotype" w:eastAsia="Palatino Linotype" w:hAnsi="Palatino Linotype" w:cs="Palatino Linotype"/>
            <w:u w:val="single"/>
          </w:rPr>
          <w:t>https://www.ipomex.org.mx/recursos/ipo/files_ipo/2014/8/11/630bc7787b59af912a96a9e1bca1c770.pdf#:~:text=La%20inscripci%C3%B3n%20con%20el%20car%C3%A1cter,del%20Estado%20de%20M%C3%A9xico%20e</w:t>
        </w:r>
      </w:hyperlink>
      <w:r w:rsidRPr="004E28E1">
        <w:rPr>
          <w:rFonts w:ascii="Palatino Linotype" w:eastAsia="Palatino Linotype" w:hAnsi="Palatino Linotype" w:cs="Palatino Linotype"/>
        </w:rPr>
        <w:t xml:space="preserve">, pueden advertirse los objetivos de crear dicho registro: </w:t>
      </w:r>
    </w:p>
    <w:p w14:paraId="08E8F409" w14:textId="77777777" w:rsidR="00996B51" w:rsidRPr="004E28E1" w:rsidRDefault="00996B51">
      <w:pPr>
        <w:jc w:val="both"/>
        <w:rPr>
          <w:rFonts w:ascii="Palatino Linotype" w:eastAsia="Palatino Linotype" w:hAnsi="Palatino Linotype" w:cs="Palatino Linotype"/>
        </w:rPr>
      </w:pPr>
    </w:p>
    <w:p w14:paraId="6BE6B829"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0D33F442" w14:textId="77777777" w:rsidR="00996B51" w:rsidRPr="004E28E1" w:rsidRDefault="00996B51">
      <w:pPr>
        <w:ind w:left="851" w:right="850"/>
        <w:jc w:val="both"/>
        <w:rPr>
          <w:rFonts w:ascii="Palatino Linotype" w:eastAsia="Palatino Linotype" w:hAnsi="Palatino Linotype" w:cs="Palatino Linotype"/>
          <w:i/>
          <w:sz w:val="22"/>
          <w:szCs w:val="22"/>
        </w:rPr>
      </w:pPr>
    </w:p>
    <w:p w14:paraId="1D2E4917"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De acuerdo a nuestra legislación, el derecho a los alimentos no sólo se comprende el acceso a los productos para la nutrición y alimentación sino también lo relativo </w:t>
      </w:r>
      <w:r w:rsidRPr="004E28E1">
        <w:rPr>
          <w:rFonts w:ascii="Palatino Linotype" w:eastAsia="Palatino Linotype" w:hAnsi="Palatino Linotype" w:cs="Palatino Linotype"/>
          <w:i/>
          <w:sz w:val="22"/>
          <w:szCs w:val="22"/>
        </w:rPr>
        <w:lastRenderedPageBreak/>
        <w:t>a la educación, vivienda, vestido, asistencia médica, recreación, entre otros; aspectos todos que permiten o posibilitan el desarrollo integral de las personas.</w:t>
      </w:r>
    </w:p>
    <w:p w14:paraId="13B6CB47" w14:textId="77777777" w:rsidR="00996B51" w:rsidRPr="004E28E1" w:rsidRDefault="00996B51">
      <w:pPr>
        <w:ind w:left="851" w:right="850"/>
        <w:jc w:val="both"/>
        <w:rPr>
          <w:rFonts w:ascii="Palatino Linotype" w:eastAsia="Palatino Linotype" w:hAnsi="Palatino Linotype" w:cs="Palatino Linotype"/>
          <w:i/>
          <w:sz w:val="22"/>
          <w:szCs w:val="22"/>
        </w:rPr>
      </w:pPr>
    </w:p>
    <w:p w14:paraId="66A1270D"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4F6409C5" w14:textId="77777777" w:rsidR="00996B51" w:rsidRPr="004E28E1" w:rsidRDefault="00996B51">
      <w:pPr>
        <w:ind w:left="851" w:right="850"/>
        <w:jc w:val="both"/>
        <w:rPr>
          <w:rFonts w:ascii="Palatino Linotype" w:eastAsia="Palatino Linotype" w:hAnsi="Palatino Linotype" w:cs="Palatino Linotype"/>
          <w:i/>
          <w:sz w:val="22"/>
          <w:szCs w:val="22"/>
        </w:rPr>
      </w:pPr>
    </w:p>
    <w:p w14:paraId="4BD7A18F"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Los alimentos tienen carácter preferente a favor de los hijos, sin que pueda eximirse el deudor alimentario de su cumplimiento cuando esté en posibilidades de hacerlo. En el Estado de México,</w:t>
      </w:r>
      <w:r w:rsidRPr="004E28E1">
        <w:rPr>
          <w:rFonts w:ascii="Palatino Linotype" w:eastAsia="Palatino Linotype" w:hAnsi="Palatino Linotype" w:cs="Palatino Linotype"/>
          <w:sz w:val="22"/>
          <w:szCs w:val="22"/>
        </w:rPr>
        <w:t xml:space="preserve"> </w:t>
      </w:r>
      <w:r w:rsidRPr="004E28E1">
        <w:rPr>
          <w:rFonts w:ascii="Palatino Linotype" w:eastAsia="Palatino Linotype" w:hAnsi="Palatino Linotype" w:cs="Palatino Linotype"/>
          <w:i/>
          <w:sz w:val="22"/>
          <w:szCs w:val="22"/>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2A5DC05E" w14:textId="77777777" w:rsidR="00996B51" w:rsidRPr="004E28E1" w:rsidRDefault="00996B51">
      <w:pPr>
        <w:ind w:left="851" w:right="850"/>
        <w:jc w:val="both"/>
        <w:rPr>
          <w:rFonts w:ascii="Palatino Linotype" w:eastAsia="Palatino Linotype" w:hAnsi="Palatino Linotype" w:cs="Palatino Linotype"/>
          <w:i/>
          <w:sz w:val="22"/>
          <w:szCs w:val="22"/>
        </w:rPr>
      </w:pPr>
    </w:p>
    <w:p w14:paraId="69A9B2AF"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4E28E1">
        <w:rPr>
          <w:rFonts w:ascii="Palatino Linotype" w:eastAsia="Palatino Linotype" w:hAnsi="Palatino Linotype" w:cs="Palatino Linotype"/>
          <w:b/>
          <w:i/>
          <w:sz w:val="22"/>
          <w:szCs w:val="22"/>
        </w:rPr>
        <w:t>con la finalidad de asegurar el cumplimiento de las obligaciones alimentarias que tienen los padres para con sus menores hijos.” (Sic)</w:t>
      </w:r>
    </w:p>
    <w:p w14:paraId="2E38C9ED" w14:textId="77777777" w:rsidR="00996B51" w:rsidRPr="004E28E1" w:rsidRDefault="00996B51">
      <w:pPr>
        <w:jc w:val="both"/>
        <w:rPr>
          <w:rFonts w:ascii="Palatino Linotype" w:eastAsia="Palatino Linotype" w:hAnsi="Palatino Linotype" w:cs="Palatino Linotype"/>
        </w:rPr>
      </w:pPr>
    </w:p>
    <w:p w14:paraId="53A76795"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No pasa inadvertido que mediante decreto del Ejecutivo Federal, publicado el cinco de mayo de dos mil veintitrés en el Diario Oficial de la Federación, se reformaron y </w:t>
      </w:r>
      <w:r w:rsidRPr="004E28E1">
        <w:rPr>
          <w:rFonts w:ascii="Palatino Linotype" w:eastAsia="Palatino Linotype" w:hAnsi="Palatino Linotype" w:cs="Palatino Linotype"/>
        </w:rPr>
        <w:lastRenderedPageBreak/>
        <w:t>adicionaron disposiciones de la Ley General de los Derecho de Niñas, Niños y Adolescentes, en materia de pensiones alimenticias, el cual, para efectos del presente estudio, contrario a lo que se establece con antelación, refiere que la calidad de deudor moroso se difundirá en el Registro Nacional de Obligaciones Alimentarias y será público de conformidad con lo dispuesto en la Ley General de Protección de Datos Personales en Posesión de Sujetos Obligados.</w:t>
      </w:r>
      <w:r w:rsidRPr="004E28E1">
        <w:rPr>
          <w:rFonts w:ascii="Palatino Linotype" w:eastAsia="Palatino Linotype" w:hAnsi="Palatino Linotype" w:cs="Palatino Linotype"/>
          <w:vertAlign w:val="superscript"/>
        </w:rPr>
        <w:footnoteReference w:id="1"/>
      </w:r>
    </w:p>
    <w:p w14:paraId="583D9AD7" w14:textId="77777777" w:rsidR="00996B51" w:rsidRPr="004E28E1" w:rsidRDefault="00996B51">
      <w:pPr>
        <w:spacing w:line="360" w:lineRule="auto"/>
        <w:jc w:val="both"/>
        <w:rPr>
          <w:rFonts w:ascii="Palatino Linotype" w:eastAsia="Palatino Linotype" w:hAnsi="Palatino Linotype" w:cs="Palatino Linotype"/>
        </w:rPr>
      </w:pPr>
    </w:p>
    <w:p w14:paraId="4E6A1088" w14:textId="77777777" w:rsidR="00996B51" w:rsidRPr="004E28E1" w:rsidRDefault="006D6A63">
      <w:pPr>
        <w:numPr>
          <w:ilvl w:val="0"/>
          <w:numId w:val="7"/>
        </w:numPr>
        <w:tabs>
          <w:tab w:val="left" w:pos="4962"/>
        </w:tabs>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rPr>
        <w:t xml:space="preserve">Constancia de situación fiscal (Donde viene el R.F.C. con </w:t>
      </w:r>
      <w:proofErr w:type="spellStart"/>
      <w:r w:rsidRPr="004E28E1">
        <w:rPr>
          <w:rFonts w:ascii="Palatino Linotype" w:eastAsia="Palatino Linotype" w:hAnsi="Palatino Linotype" w:cs="Palatino Linotype"/>
          <w:b/>
        </w:rPr>
        <w:t>homoclave</w:t>
      </w:r>
      <w:proofErr w:type="spellEnd"/>
      <w:r w:rsidRPr="004E28E1">
        <w:rPr>
          <w:rFonts w:ascii="Palatino Linotype" w:eastAsia="Palatino Linotype" w:hAnsi="Palatino Linotype" w:cs="Palatino Linotype"/>
          <w:b/>
        </w:rPr>
        <w:t xml:space="preserve"> emitida por el SAT). </w:t>
      </w:r>
    </w:p>
    <w:p w14:paraId="560916DC" w14:textId="77777777" w:rsidR="00996B51" w:rsidRPr="004E28E1" w:rsidRDefault="00996B51">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35BECD84"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Si bien, conforme la Ley del Trabajo de los Servidores Públicos del Estado y Municipios, la presentación del documento donde conste el Registro Federal de Contribuyentes con </w:t>
      </w:r>
      <w:proofErr w:type="spellStart"/>
      <w:r w:rsidRPr="004E28E1">
        <w:rPr>
          <w:rFonts w:ascii="Palatino Linotype" w:eastAsia="Palatino Linotype" w:hAnsi="Palatino Linotype" w:cs="Palatino Linotype"/>
        </w:rPr>
        <w:t>homoclave</w:t>
      </w:r>
      <w:proofErr w:type="spellEnd"/>
      <w:r w:rsidRPr="004E28E1">
        <w:rPr>
          <w:rFonts w:ascii="Palatino Linotype" w:eastAsia="Palatino Linotype" w:hAnsi="Palatino Linotype" w:cs="Palatino Linotype"/>
        </w:rPr>
        <w:t xml:space="preserve"> no constituye un requisito obligatorio para ingresar al servicio público, el Manual de Normas y Procedimientos de Desarrollo y  Administración de Personal “Procedimiento: 021 Alta o Reingreso de Servidoras  Públicas y Servidores Públicos Generales y de Confianza”, prevé que toda persona que ingrese o reingrese al servicio en el sector central del Poder Ejecutivo del Gobierno Estatal, debe presentar, entre otros  documentos, el Registro Federal de Contribuyentes con </w:t>
      </w:r>
      <w:proofErr w:type="spellStart"/>
      <w:r w:rsidRPr="004E28E1">
        <w:rPr>
          <w:rFonts w:ascii="Palatino Linotype" w:eastAsia="Palatino Linotype" w:hAnsi="Palatino Linotype" w:cs="Palatino Linotype"/>
        </w:rPr>
        <w:t>homoclave</w:t>
      </w:r>
      <w:proofErr w:type="spellEnd"/>
      <w:r w:rsidRPr="004E28E1">
        <w:rPr>
          <w:rFonts w:ascii="Palatino Linotype" w:eastAsia="Palatino Linotype" w:hAnsi="Palatino Linotype" w:cs="Palatino Linotype"/>
        </w:rPr>
        <w:t xml:space="preserve"> emitido por el  Servicio de Administración Tributaria (SAT), el cual obra de manera enunciativa más no limitativa en la constancia de situación fiscal.</w:t>
      </w:r>
    </w:p>
    <w:p w14:paraId="73DF0163"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 xml:space="preserve">Al respecto, resulta necesario indicar que conforme a lo señalado por la Comisión Nacional para la Protección y Defensa de los Usuarios de Servicios Financieros </w:t>
      </w:r>
      <w:hyperlink r:id="rId31">
        <w:r w:rsidRPr="004E28E1">
          <w:rPr>
            <w:rFonts w:ascii="Palatino Linotype" w:eastAsia="Palatino Linotype" w:hAnsi="Palatino Linotype" w:cs="Palatino Linotype"/>
            <w:u w:val="single"/>
          </w:rPr>
          <w:t>https://revista.condusef.gob.mx/2014/05/registro-federal-de-contribuyentes/</w:t>
        </w:r>
      </w:hyperlink>
      <w:r w:rsidRPr="004E28E1">
        <w:rPr>
          <w:rFonts w:ascii="Palatino Linotype" w:eastAsia="Palatino Linotype" w:hAnsi="Palatino Linotype" w:cs="Palatino Linotype"/>
        </w:rPr>
        <w:t xml:space="preserve"> el Registro Federal de Contribuyentes (RFC) es una clave alfanumérica que se compone de 13 caracteres. Para el caso de personas físicas, los dos primeros, generalmente corresponden al apellido paterno, el tercero a la inicial del apellido materno y el cuarto al primer nombre. Le sigue el año de nacimiento, mes y día; los tres últimos dígitos son la </w:t>
      </w:r>
      <w:proofErr w:type="spellStart"/>
      <w:r w:rsidRPr="004E28E1">
        <w:rPr>
          <w:rFonts w:ascii="Palatino Linotype" w:eastAsia="Palatino Linotype" w:hAnsi="Palatino Linotype" w:cs="Palatino Linotype"/>
        </w:rPr>
        <w:t>homoclave</w:t>
      </w:r>
      <w:proofErr w:type="spellEnd"/>
      <w:r w:rsidRPr="004E28E1">
        <w:rPr>
          <w:rFonts w:ascii="Palatino Linotype" w:eastAsia="Palatino Linotype" w:hAnsi="Palatino Linotype" w:cs="Palatino Linotype"/>
        </w:rPr>
        <w:t xml:space="preserve"> que es asignada por el Servicio de Administración Tributaria (SAT). Éste sirve para evitar claves duplicadas y homónimos.</w:t>
      </w:r>
    </w:p>
    <w:p w14:paraId="4D453B42" w14:textId="77777777" w:rsidR="00996B51" w:rsidRPr="004E28E1" w:rsidRDefault="00996B51">
      <w:pPr>
        <w:spacing w:line="360" w:lineRule="auto"/>
        <w:ind w:right="49"/>
        <w:jc w:val="both"/>
        <w:rPr>
          <w:rFonts w:ascii="Palatino Linotype" w:eastAsia="Palatino Linotype" w:hAnsi="Palatino Linotype" w:cs="Palatino Linotype"/>
        </w:rPr>
      </w:pPr>
    </w:p>
    <w:p w14:paraId="73FF3C66"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Así, el Registro Federal de Contribuyentes es un dato personal, que hace a las personas físicas identificadas o identificables, además de que las relaciona como un contribuyente de las autoridades fiscales. Asimismo, es de destacar que dicho dato, únicamente sirve para efectos fiscales y pago de contribuciones, por lo que se trata de un dato relevante únicamente para las personas involucradas en el pago de estos, en el presente caso, del pago del Impuesto Sobre el Producto del Trabajo.</w:t>
      </w:r>
    </w:p>
    <w:p w14:paraId="21BD04B3" w14:textId="77777777" w:rsidR="00996B51" w:rsidRPr="004E28E1" w:rsidRDefault="00996B51">
      <w:pPr>
        <w:spacing w:line="360" w:lineRule="auto"/>
        <w:ind w:right="49"/>
        <w:jc w:val="both"/>
        <w:rPr>
          <w:rFonts w:ascii="Palatino Linotype" w:eastAsia="Palatino Linotype" w:hAnsi="Palatino Linotype" w:cs="Palatino Linotype"/>
        </w:rPr>
      </w:pPr>
    </w:p>
    <w:p w14:paraId="6B6A1360"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Por lo que, el Registro Federal de Contribuyentes de los servidores públicos no guarda relación con la transparencia de los recursos públicos, ni con el desempeño laboral que pueda tener una persona, sino que constituye un dato personal confidencial que actualiza la fracción I del artículo 143 de la Ley de Transparencia y Acceso a la Información Pública del Estado de México y Municipios. Robustece lo anterior el criterio de interpretación con clave de control SO/019/2017 emitido por </w:t>
      </w:r>
      <w:r w:rsidRPr="004E28E1">
        <w:rPr>
          <w:rFonts w:ascii="Palatino Linotype" w:eastAsia="Palatino Linotype" w:hAnsi="Palatino Linotype" w:cs="Palatino Linotype"/>
        </w:rPr>
        <w:lastRenderedPageBreak/>
        <w:t>el Instituto Nacional de Transparencia, Acceso a la Información y Protección de Datos Personales, INAI, el cual refiere:</w:t>
      </w:r>
    </w:p>
    <w:p w14:paraId="5F764D99" w14:textId="77777777" w:rsidR="00996B51" w:rsidRPr="004E28E1" w:rsidRDefault="00996B51">
      <w:pPr>
        <w:ind w:right="49"/>
        <w:jc w:val="both"/>
        <w:rPr>
          <w:rFonts w:ascii="Palatino Linotype" w:eastAsia="Palatino Linotype" w:hAnsi="Palatino Linotype" w:cs="Palatino Linotype"/>
        </w:rPr>
      </w:pPr>
    </w:p>
    <w:p w14:paraId="588BCD02" w14:textId="77777777" w:rsidR="00996B51" w:rsidRPr="004E28E1" w:rsidRDefault="006D6A63">
      <w:pPr>
        <w:ind w:left="851" w:right="85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Registro Federal de Contribuyentes (RFC) de personas físicas</w:t>
      </w:r>
      <w:r w:rsidRPr="004E28E1">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644AB2F" w14:textId="77777777" w:rsidR="00996B51" w:rsidRPr="004E28E1" w:rsidRDefault="00996B51">
      <w:pPr>
        <w:ind w:left="567" w:right="616"/>
        <w:jc w:val="both"/>
        <w:rPr>
          <w:rFonts w:ascii="Palatino Linotype" w:eastAsia="Palatino Linotype" w:hAnsi="Palatino Linotype" w:cs="Palatino Linotype"/>
          <w:i/>
        </w:rPr>
      </w:pPr>
    </w:p>
    <w:p w14:paraId="1367DB4E"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acuerdo con lo antes apuntado, el </w:t>
      </w:r>
      <w:proofErr w:type="gramStart"/>
      <w:r w:rsidRPr="004E28E1">
        <w:rPr>
          <w:rFonts w:ascii="Palatino Linotype" w:eastAsia="Palatino Linotype" w:hAnsi="Palatino Linotype" w:cs="Palatino Linotype"/>
        </w:rPr>
        <w:t>RFC vinculado</w:t>
      </w:r>
      <w:proofErr w:type="gramEnd"/>
      <w:r w:rsidRPr="004E28E1">
        <w:rPr>
          <w:rFonts w:ascii="Palatino Linotype" w:eastAsia="Palatino Linotype" w:hAnsi="Palatino Linotype" w:cs="Palatino Linotype"/>
        </w:rPr>
        <w:t xml:space="preserve"> al nombre de su titular, permite identificar la edad de la persona, así como su </w:t>
      </w:r>
      <w:proofErr w:type="spellStart"/>
      <w:r w:rsidRPr="004E28E1">
        <w:rPr>
          <w:rFonts w:ascii="Palatino Linotype" w:eastAsia="Palatino Linotype" w:hAnsi="Palatino Linotype" w:cs="Palatino Linotype"/>
        </w:rPr>
        <w:t>homoclave</w:t>
      </w:r>
      <w:proofErr w:type="spellEnd"/>
      <w:r w:rsidRPr="004E28E1">
        <w:rPr>
          <w:rFonts w:ascii="Palatino Linotype" w:eastAsia="Palatino Linotype" w:hAnsi="Palatino Linotype" w:cs="Palatino Linotype"/>
        </w:rPr>
        <w:t>, siendo esta última única e irrepetible, por lo que es posible concluir que el RFC constituye un dato personal y, por tanto, información confidencial, de conformidad con los previstos en el artículo 18, fracción II de la Ley Federal de Transparencia y Acceso a la Información Pública Gubernamental.</w:t>
      </w:r>
    </w:p>
    <w:p w14:paraId="1254FFC7" w14:textId="77777777" w:rsidR="00996B51" w:rsidRPr="004E28E1" w:rsidRDefault="00996B51">
      <w:pPr>
        <w:spacing w:line="360" w:lineRule="auto"/>
        <w:ind w:right="49"/>
        <w:jc w:val="both"/>
        <w:rPr>
          <w:rFonts w:ascii="Palatino Linotype" w:eastAsia="Palatino Linotype" w:hAnsi="Palatino Linotype" w:cs="Palatino Linotype"/>
        </w:rPr>
      </w:pPr>
    </w:p>
    <w:p w14:paraId="61E530DC"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Ahora, atendiendo que el documento donde puede obrar de manera enunciativa más no limitativa el Registro Federal de Contribuyentes con </w:t>
      </w:r>
      <w:proofErr w:type="spellStart"/>
      <w:r w:rsidRPr="004E28E1">
        <w:rPr>
          <w:rFonts w:ascii="Palatino Linotype" w:eastAsia="Palatino Linotype" w:hAnsi="Palatino Linotype" w:cs="Palatino Linotype"/>
        </w:rPr>
        <w:t>homoclave</w:t>
      </w:r>
      <w:proofErr w:type="spellEnd"/>
      <w:r w:rsidRPr="004E28E1">
        <w:rPr>
          <w:rFonts w:ascii="Palatino Linotype" w:eastAsia="Palatino Linotype" w:hAnsi="Palatino Linotype" w:cs="Palatino Linotype"/>
        </w:rPr>
        <w:t xml:space="preserve"> es la Constancia de Situación Fiscal. </w:t>
      </w:r>
    </w:p>
    <w:p w14:paraId="30905146" w14:textId="77777777" w:rsidR="00996B51" w:rsidRPr="004E28E1" w:rsidRDefault="00996B51">
      <w:pPr>
        <w:spacing w:line="360" w:lineRule="auto"/>
        <w:ind w:right="49"/>
        <w:jc w:val="both"/>
        <w:rPr>
          <w:rFonts w:ascii="Palatino Linotype" w:eastAsia="Palatino Linotype" w:hAnsi="Palatino Linotype" w:cs="Palatino Linotype"/>
        </w:rPr>
      </w:pPr>
    </w:p>
    <w:p w14:paraId="2B8AACBE"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La Constancia de Situación Fiscal, es un documento oficial emitido por el servicio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14:paraId="0211C55A" w14:textId="77777777" w:rsidR="00996B51" w:rsidRPr="004E28E1" w:rsidRDefault="00996B51">
      <w:pPr>
        <w:spacing w:line="360" w:lineRule="auto"/>
        <w:ind w:right="49"/>
        <w:jc w:val="both"/>
        <w:rPr>
          <w:rFonts w:ascii="Palatino Linotype" w:eastAsia="Palatino Linotype" w:hAnsi="Palatino Linotype" w:cs="Palatino Linotype"/>
        </w:rPr>
      </w:pPr>
    </w:p>
    <w:p w14:paraId="7ECCB661"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conformidad con el Servicio de Administración Tributaria, el objetivo de la constancia de situación fiscal, es proporcionar al contribuyente un documento que </w:t>
      </w:r>
      <w:r w:rsidRPr="004E28E1">
        <w:rPr>
          <w:rFonts w:ascii="Palatino Linotype" w:eastAsia="Palatino Linotype" w:hAnsi="Palatino Linotype" w:cs="Palatino Linotype"/>
        </w:rPr>
        <w:lastRenderedPageBreak/>
        <w:t xml:space="preserve">contiene información del Registro Federal de Contribuyentes y la Cédula de Identificación Fiscal. </w:t>
      </w:r>
    </w:p>
    <w:p w14:paraId="0E7D9949" w14:textId="77777777" w:rsidR="00996B51" w:rsidRPr="004E28E1" w:rsidRDefault="00996B51">
      <w:pPr>
        <w:spacing w:line="360" w:lineRule="auto"/>
        <w:ind w:right="49"/>
        <w:jc w:val="both"/>
        <w:rPr>
          <w:rFonts w:ascii="Palatino Linotype" w:eastAsia="Palatino Linotype" w:hAnsi="Palatino Linotype" w:cs="Palatino Linotype"/>
        </w:rPr>
      </w:pPr>
    </w:p>
    <w:p w14:paraId="036E3B3F"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Teniendo estas premisas en cuenta, el portal del Servicio de Administración Tributaria manifiesta que, al realizar la impresión de la constancia de situación fiscal, se obtendrán los siguientes datos:</w:t>
      </w:r>
    </w:p>
    <w:p w14:paraId="36E39C6E" w14:textId="77777777" w:rsidR="00996B51" w:rsidRPr="004E28E1" w:rsidRDefault="00996B51">
      <w:pPr>
        <w:spacing w:line="360" w:lineRule="auto"/>
        <w:ind w:right="49"/>
        <w:jc w:val="both"/>
        <w:rPr>
          <w:rFonts w:ascii="Palatino Linotype" w:eastAsia="Palatino Linotype" w:hAnsi="Palatino Linotype" w:cs="Palatino Linotype"/>
        </w:rPr>
      </w:pPr>
    </w:p>
    <w:p w14:paraId="54F4F8CF"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1. Cédula de Identificación Fiscal (CIF): Que contiene datos como el RFC, nombre de la persona, Código QR e id CIF. </w:t>
      </w:r>
    </w:p>
    <w:p w14:paraId="54F9F6AA"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2. Datos de identificación fiscal: Rubro que contiene, entre otros, datos como RFC, CURP, nombre y apellidos de la persona, fecha de inicio de operaciones, estatus en el padrón de contribuyentes y nombre comercial.</w:t>
      </w:r>
    </w:p>
    <w:p w14:paraId="1478ACF4"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3. Datos del domicilio registrado. </w:t>
      </w:r>
    </w:p>
    <w:p w14:paraId="748FD445"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4. Actividades económicas. </w:t>
      </w:r>
    </w:p>
    <w:p w14:paraId="4CCF4DC8"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5. Regímenes fiscales. </w:t>
      </w:r>
    </w:p>
    <w:p w14:paraId="47E7CF17"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t>6. Obligaciones fiscales.</w:t>
      </w:r>
    </w:p>
    <w:p w14:paraId="2300929A" w14:textId="77777777" w:rsidR="00996B51" w:rsidRPr="004E28E1" w:rsidRDefault="00996B51">
      <w:pPr>
        <w:spacing w:line="360" w:lineRule="auto"/>
        <w:ind w:right="49"/>
        <w:jc w:val="both"/>
        <w:rPr>
          <w:rFonts w:ascii="Palatino Linotype" w:eastAsia="Palatino Linotype" w:hAnsi="Palatino Linotype" w:cs="Palatino Linotype"/>
        </w:rPr>
      </w:pPr>
    </w:p>
    <w:p w14:paraId="6804F157" w14:textId="77777777" w:rsidR="00996B51" w:rsidRPr="004E28E1" w:rsidRDefault="006D6A63">
      <w:pPr>
        <w:spacing w:line="360" w:lineRule="auto"/>
        <w:ind w:right="49"/>
        <w:jc w:val="both"/>
        <w:rPr>
          <w:rFonts w:ascii="Palatino Linotype" w:eastAsia="Palatino Linotype" w:hAnsi="Palatino Linotype" w:cs="Palatino Linotype"/>
          <w:b/>
          <w:i/>
        </w:rPr>
      </w:pPr>
      <w:r w:rsidRPr="004E28E1">
        <w:rPr>
          <w:rFonts w:ascii="Palatino Linotype" w:eastAsia="Palatino Linotype" w:hAnsi="Palatino Linotype" w:cs="Palatino Linotype"/>
        </w:rPr>
        <w:t xml:space="preserve">Como se desprende de lo anterior, la constancia de situación fiscal contiene información que atañe a la esfera privada de su titular, lo cual en nada abona a la transparencia y rendición de cuentas, y por tanto procede la </w:t>
      </w:r>
      <w:r w:rsidRPr="004E28E1">
        <w:rPr>
          <w:rFonts w:ascii="Palatino Linotype" w:eastAsia="Palatino Linotype" w:hAnsi="Palatino Linotype" w:cs="Palatino Linotype"/>
          <w:b/>
          <w:i/>
        </w:rPr>
        <w:t>clasificación en su totalidad.</w:t>
      </w:r>
    </w:p>
    <w:p w14:paraId="20AB76D1" w14:textId="77777777" w:rsidR="00996B51" w:rsidRPr="004E28E1" w:rsidRDefault="00996B51">
      <w:pPr>
        <w:spacing w:line="360" w:lineRule="auto"/>
        <w:ind w:right="49"/>
        <w:jc w:val="both"/>
        <w:rPr>
          <w:rFonts w:ascii="Palatino Linotype" w:eastAsia="Palatino Linotype" w:hAnsi="Palatino Linotype" w:cs="Palatino Linotype"/>
          <w:b/>
          <w:i/>
        </w:rPr>
      </w:pPr>
    </w:p>
    <w:p w14:paraId="6CF9EC17" w14:textId="77777777" w:rsidR="00996B51" w:rsidRPr="004E28E1" w:rsidRDefault="006D6A63">
      <w:pPr>
        <w:spacing w:line="360" w:lineRule="auto"/>
        <w:ind w:right="49"/>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Por lo tanto, para colmar el presente punto, en cumplimiento a la presente resolución dicho ente público deberá remitir el acuerdo del Comité de Transparencia mediante el cual clasifique en su totalidad la documental analizada.</w:t>
      </w:r>
    </w:p>
    <w:p w14:paraId="4AE32916" w14:textId="77777777" w:rsidR="00996B51" w:rsidRPr="004E28E1" w:rsidRDefault="00996B51">
      <w:pPr>
        <w:spacing w:line="360" w:lineRule="auto"/>
        <w:jc w:val="both"/>
        <w:rPr>
          <w:rFonts w:ascii="Palatino Linotype" w:eastAsia="Palatino Linotype" w:hAnsi="Palatino Linotype" w:cs="Palatino Linotype"/>
        </w:rPr>
      </w:pPr>
    </w:p>
    <w:p w14:paraId="07AC1F37" w14:textId="77777777" w:rsidR="00996B51" w:rsidRPr="004E28E1" w:rsidRDefault="006D6A6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4E28E1">
        <w:rPr>
          <w:rFonts w:ascii="Palatino Linotype" w:eastAsia="Palatino Linotype" w:hAnsi="Palatino Linotype" w:cs="Palatino Linotype"/>
          <w:b/>
          <w:u w:val="single"/>
        </w:rPr>
        <w:t>Comprobante de grado máximo de estudios:</w:t>
      </w:r>
    </w:p>
    <w:p w14:paraId="71363BDF" w14:textId="77777777" w:rsidR="00996B51" w:rsidRPr="004E28E1" w:rsidRDefault="00996B51">
      <w:pPr>
        <w:spacing w:line="360" w:lineRule="auto"/>
        <w:jc w:val="both"/>
        <w:rPr>
          <w:rFonts w:ascii="Palatino Linotype" w:eastAsia="Palatino Linotype" w:hAnsi="Palatino Linotype" w:cs="Palatino Linotype"/>
        </w:rPr>
      </w:pPr>
    </w:p>
    <w:p w14:paraId="48A3D15F"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Para el caso de los puestos de mandos medios y superiores de estructura del Ayuntamiento de Tlalnepantla de Baz, conforme a la Ley del Trabajo de los Servidores Públicos del Estado y Municipios, antes señalado, se debe presentar, entre otros documentos, el comprobante de grado máximo de estudios, documento que hace referencia a la preparación académica de la persona candidata a ingresar al servicio público.</w:t>
      </w:r>
    </w:p>
    <w:p w14:paraId="4FA410FD" w14:textId="77777777" w:rsidR="00996B51" w:rsidRPr="004E28E1" w:rsidRDefault="00996B51">
      <w:pPr>
        <w:spacing w:line="360" w:lineRule="auto"/>
        <w:jc w:val="both"/>
        <w:rPr>
          <w:rFonts w:ascii="Palatino Linotype" w:eastAsia="Palatino Linotype" w:hAnsi="Palatino Linotype" w:cs="Palatino Linotype"/>
        </w:rPr>
      </w:pPr>
    </w:p>
    <w:p w14:paraId="642C8DD4" w14:textId="77777777" w:rsidR="00996B51" w:rsidRPr="004E28E1" w:rsidRDefault="006D6A63">
      <w:pPr>
        <w:spacing w:line="360" w:lineRule="auto"/>
        <w:jc w:val="both"/>
      </w:pPr>
      <w:r w:rsidRPr="004E28E1">
        <w:rPr>
          <w:rFonts w:ascii="Palatino Linotype" w:eastAsia="Palatino Linotype" w:hAnsi="Palatino Linotype" w:cs="Palatino Linotype"/>
        </w:rPr>
        <w:t>Asimismo, debe tenerse en cuenta lo dispuesto en los artículos 60 de la Ley General de Educación, 3.27 fracción IV, 3.28, 3.29 y 3.31 segundo párrafo del Código Administrativo del Estado de México, que prevén:</w:t>
      </w:r>
    </w:p>
    <w:p w14:paraId="1C49E8A4" w14:textId="77777777" w:rsidR="00996B51" w:rsidRPr="004E28E1" w:rsidRDefault="006D6A63">
      <w:pPr>
        <w:spacing w:before="240" w:after="240" w:line="276" w:lineRule="auto"/>
        <w:ind w:left="851" w:right="902"/>
        <w:jc w:val="both"/>
        <w:rPr>
          <w:sz w:val="22"/>
          <w:szCs w:val="22"/>
        </w:rPr>
      </w:pPr>
      <w:r w:rsidRPr="004E28E1">
        <w:rPr>
          <w:rFonts w:ascii="Palatino Linotype" w:eastAsia="Palatino Linotype" w:hAnsi="Palatino Linotype" w:cs="Palatino Linotype"/>
          <w:b/>
          <w:i/>
          <w:sz w:val="22"/>
          <w:szCs w:val="22"/>
        </w:rPr>
        <w:t>“ARTÍCULO 60.-</w:t>
      </w:r>
      <w:r w:rsidRPr="004E28E1">
        <w:rPr>
          <w:rFonts w:ascii="Palatino Linotype" w:eastAsia="Palatino Linotype" w:hAnsi="Palatino Linotype" w:cs="Palatino Linotype"/>
          <w:i/>
          <w:sz w:val="22"/>
          <w:szCs w:val="22"/>
        </w:rPr>
        <w:t xml:space="preserve"> Los estudios realizados dentro del sistema educativo nacional tendrán validez en toda la República.</w:t>
      </w:r>
    </w:p>
    <w:p w14:paraId="5A6EA143" w14:textId="77777777" w:rsidR="00996B51" w:rsidRPr="004E28E1" w:rsidRDefault="006D6A63">
      <w:pPr>
        <w:spacing w:before="240" w:after="240" w:line="276" w:lineRule="auto"/>
        <w:ind w:left="851" w:right="902"/>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612D5E54" w14:textId="77777777" w:rsidR="00996B51" w:rsidRPr="004E28E1" w:rsidRDefault="00996B51">
      <w:pPr>
        <w:spacing w:before="240" w:after="240" w:line="276" w:lineRule="auto"/>
        <w:ind w:left="851" w:right="902"/>
        <w:jc w:val="both"/>
        <w:rPr>
          <w:sz w:val="10"/>
          <w:szCs w:val="10"/>
        </w:rPr>
      </w:pPr>
    </w:p>
    <w:p w14:paraId="2488B84D" w14:textId="77777777" w:rsidR="00996B51" w:rsidRPr="004E28E1" w:rsidRDefault="006D6A63">
      <w:pPr>
        <w:spacing w:before="240" w:after="240" w:line="360" w:lineRule="auto"/>
        <w:ind w:right="49"/>
        <w:jc w:val="both"/>
      </w:pPr>
      <w:r w:rsidRPr="004E28E1">
        <w:rPr>
          <w:rFonts w:ascii="Palatino Linotype" w:eastAsia="Palatino Linotype" w:hAnsi="Palatino Linotype" w:cs="Palatino Linotype"/>
        </w:rPr>
        <w:lastRenderedPageBreak/>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2C13182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Ante los argumentos planteados, se puede concluir que constituyen documentos probatorios de estudios; </w:t>
      </w:r>
      <w:r w:rsidRPr="004E28E1">
        <w:rPr>
          <w:rFonts w:ascii="Palatino Linotype" w:eastAsia="Palatino Linotype" w:hAnsi="Palatino Linotype" w:cs="Palatino Linotype"/>
          <w:b/>
          <w:u w:val="single"/>
        </w:rPr>
        <w:t>los certificados, constancias, diplomas, títulos y/o cédula profesional</w:t>
      </w:r>
      <w:r w:rsidRPr="004E28E1">
        <w:rPr>
          <w:rFonts w:ascii="Palatino Linotype" w:eastAsia="Palatino Linotype" w:hAnsi="Palatino Linotype" w:cs="Palatino Linotype"/>
          <w:b/>
        </w:rPr>
        <w:t>,</w:t>
      </w:r>
      <w:r w:rsidRPr="004E28E1">
        <w:rPr>
          <w:rFonts w:ascii="Palatino Linotype" w:eastAsia="Palatino Linotype" w:hAnsi="Palatino Linotype" w:cs="Palatino Linotype"/>
        </w:rPr>
        <w:t xml:space="preserve"> por tratarse de la expresión documental que permite acreditar el grado de estudios de los servidores públicos.</w:t>
      </w:r>
    </w:p>
    <w:p w14:paraId="739229CA" w14:textId="77777777" w:rsidR="00996B51" w:rsidRPr="004E28E1" w:rsidRDefault="00996B51">
      <w:pPr>
        <w:spacing w:line="360" w:lineRule="auto"/>
        <w:jc w:val="both"/>
        <w:rPr>
          <w:rFonts w:ascii="Palatino Linotype" w:eastAsia="Palatino Linotype" w:hAnsi="Palatino Linotype" w:cs="Palatino Linotype"/>
        </w:rPr>
      </w:pPr>
    </w:p>
    <w:p w14:paraId="495A2F3B"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Al respeto, de la cédula profesional, es aquel documento con validez legal, para certificar o demostrar que efectivamente una persona está </w:t>
      </w:r>
      <w:proofErr w:type="gramStart"/>
      <w:r w:rsidRPr="004E28E1">
        <w:rPr>
          <w:rFonts w:ascii="Palatino Linotype" w:eastAsia="Palatino Linotype" w:hAnsi="Palatino Linotype" w:cs="Palatino Linotype"/>
        </w:rPr>
        <w:t>calificado</w:t>
      </w:r>
      <w:proofErr w:type="gramEnd"/>
      <w:r w:rsidRPr="004E28E1">
        <w:rPr>
          <w:rFonts w:ascii="Palatino Linotype" w:eastAsia="Palatino Linotype" w:hAnsi="Palatino Linotype" w:cs="Palatino Linotype"/>
        </w:rPr>
        <w:t xml:space="preserve">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32">
        <w:r w:rsidRPr="004E28E1">
          <w:rPr>
            <w:rFonts w:ascii="Palatino Linotype" w:eastAsia="Palatino Linotype" w:hAnsi="Palatino Linotype" w:cs="Palatino Linotype"/>
            <w:u w:val="single"/>
          </w:rPr>
          <w:t>http://consultatucedula.mx/</w:t>
        </w:r>
      </w:hyperlink>
      <w:r w:rsidRPr="004E28E1">
        <w:rPr>
          <w:rFonts w:ascii="Palatino Linotype" w:eastAsia="Palatino Linotype" w:hAnsi="Palatino Linotype" w:cs="Palatino Linotype"/>
        </w:rPr>
        <w:t>).</w:t>
      </w:r>
    </w:p>
    <w:p w14:paraId="23D2C639" w14:textId="77777777" w:rsidR="00996B51" w:rsidRPr="004E28E1" w:rsidRDefault="00996B51">
      <w:pPr>
        <w:spacing w:line="360" w:lineRule="auto"/>
        <w:jc w:val="both"/>
        <w:rPr>
          <w:rFonts w:ascii="Palatino Linotype" w:eastAsia="Palatino Linotype" w:hAnsi="Palatino Linotype" w:cs="Palatino Linotype"/>
        </w:rPr>
      </w:pPr>
    </w:p>
    <w:p w14:paraId="680B3FB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w:t>
      </w:r>
      <w:r w:rsidRPr="004E28E1">
        <w:rPr>
          <w:rFonts w:ascii="Palatino Linotype" w:eastAsia="Palatino Linotype" w:hAnsi="Palatino Linotype" w:cs="Palatino Linotype"/>
        </w:rPr>
        <w:lastRenderedPageBreak/>
        <w:t>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129916FF" w14:textId="77777777" w:rsidR="00996B51" w:rsidRPr="004E28E1" w:rsidRDefault="00996B51">
      <w:pPr>
        <w:spacing w:line="360" w:lineRule="auto"/>
        <w:jc w:val="both"/>
        <w:rPr>
          <w:rFonts w:ascii="Palatino Linotype" w:eastAsia="Palatino Linotype" w:hAnsi="Palatino Linotype" w:cs="Palatino Linotype"/>
        </w:rPr>
      </w:pPr>
    </w:p>
    <w:p w14:paraId="1613E63E"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14749571" w14:textId="77777777" w:rsidR="00996B51" w:rsidRPr="004E28E1" w:rsidRDefault="00996B51">
      <w:pPr>
        <w:spacing w:line="360" w:lineRule="auto"/>
        <w:jc w:val="both"/>
        <w:rPr>
          <w:rFonts w:ascii="Palatino Linotype" w:eastAsia="Palatino Linotype" w:hAnsi="Palatino Linotype" w:cs="Palatino Linotype"/>
        </w:rPr>
      </w:pPr>
    </w:p>
    <w:p w14:paraId="5795DD60"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De esta manera, si bien la cédula profesional electrónica es un documento de naturaleza pública, el mismo contiene datos personales que se ubican en la hipótesis prevista en la fracción I del artículo 143 de la Ley de Transparencia y Acceso a la Información Pública del Estado de México y Municipios, y procede su entrega en versión pública.</w:t>
      </w:r>
    </w:p>
    <w:p w14:paraId="2B5A9719" w14:textId="77777777" w:rsidR="00996B51" w:rsidRPr="004E28E1" w:rsidRDefault="00996B51">
      <w:pPr>
        <w:spacing w:line="360" w:lineRule="auto"/>
        <w:jc w:val="both"/>
        <w:rPr>
          <w:rFonts w:ascii="Palatino Linotype" w:eastAsia="Palatino Linotype" w:hAnsi="Palatino Linotype" w:cs="Palatino Linotype"/>
        </w:rPr>
      </w:pPr>
    </w:p>
    <w:p w14:paraId="4D63712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Por lo anterior, se procede a realizar el análisis de los datos que integran la cédula profesional electrónica y que actualizan la causal de clasificación como información confidencial prevista en la Ley de la materia:</w:t>
      </w:r>
    </w:p>
    <w:p w14:paraId="7AF89B30" w14:textId="77777777" w:rsidR="00996B51" w:rsidRPr="004E28E1" w:rsidRDefault="00996B51">
      <w:pPr>
        <w:spacing w:line="360" w:lineRule="auto"/>
        <w:jc w:val="both"/>
        <w:rPr>
          <w:rFonts w:ascii="Palatino Linotype" w:eastAsia="Palatino Linotype" w:hAnsi="Palatino Linotype" w:cs="Palatino Linotype"/>
        </w:rPr>
      </w:pPr>
    </w:p>
    <w:p w14:paraId="2E667F3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Clave Única de Registro de Población.</w:t>
      </w:r>
      <w:r w:rsidRPr="004E28E1">
        <w:rPr>
          <w:rFonts w:ascii="Palatino Linotype" w:eastAsia="Palatino Linotype" w:hAnsi="Palatino Linotype" w:cs="Palatino Linotype"/>
        </w:rPr>
        <w:t>  El artículo 36 de la Constitución Política de los Estados Unidos Mexicanos, dispone la obligación de los ciudadanos de inscribirse en el Registro Nacional de Ciudadanos.</w:t>
      </w:r>
    </w:p>
    <w:p w14:paraId="2D2B47B5"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Por lo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 </w:t>
      </w:r>
    </w:p>
    <w:p w14:paraId="706AC5B7" w14:textId="77777777" w:rsidR="00996B51" w:rsidRPr="004E28E1" w:rsidRDefault="00996B51">
      <w:pPr>
        <w:spacing w:line="360" w:lineRule="auto"/>
        <w:jc w:val="both"/>
        <w:rPr>
          <w:rFonts w:ascii="Palatino Linotype" w:eastAsia="Palatino Linotype" w:hAnsi="Palatino Linotype" w:cs="Palatino Linotype"/>
        </w:rPr>
      </w:pPr>
    </w:p>
    <w:p w14:paraId="4B2FEAF3"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Por lo que, resulta procedente la clasificación de la Clave Única de Registro de Población; pues únicamente contiene datos que hacen identificables de los servidores públicos, que en nada abonan a la transparencia y no rinden cuentas de la forma de actuar, por lo que, es un documento privado, en términos del artículo 143, fracción I, de la Ley de Transparencia y Acceso a la Información Pública del Estado de México y Municipios.</w:t>
      </w:r>
    </w:p>
    <w:p w14:paraId="085554A8" w14:textId="77777777" w:rsidR="00996B51" w:rsidRPr="004E28E1" w:rsidRDefault="00996B51">
      <w:pPr>
        <w:spacing w:line="360" w:lineRule="auto"/>
        <w:jc w:val="both"/>
        <w:rPr>
          <w:rFonts w:ascii="Palatino Linotype" w:eastAsia="Palatino Linotype" w:hAnsi="Palatino Linotype" w:cs="Palatino Linotype"/>
        </w:rPr>
      </w:pPr>
    </w:p>
    <w:p w14:paraId="4C9D657B" w14:textId="77777777" w:rsidR="00996B51" w:rsidRPr="004E28E1" w:rsidRDefault="006D6A63">
      <w:p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Código QR.</w:t>
      </w:r>
      <w:r w:rsidRPr="004E28E1">
        <w:rPr>
          <w:rFonts w:ascii="Palatino Linotype" w:eastAsia="Palatino Linotype" w:hAnsi="Palatino Linotype" w:cs="Palatino Linotype"/>
        </w:rPr>
        <w:t xml:space="preserve"> En principio, resulta necesario señalar que este código es capaz de almacenar determinado tipo de información, como una URL, SMS, Email, Texto, </w:t>
      </w:r>
      <w:proofErr w:type="spellStart"/>
      <w:r w:rsidRPr="004E28E1">
        <w:rPr>
          <w:rFonts w:ascii="Palatino Linotype" w:eastAsia="Palatino Linotype" w:hAnsi="Palatino Linotype" w:cs="Palatino Linotype"/>
        </w:rPr>
        <w:t>etc</w:t>
      </w:r>
      <w:proofErr w:type="spellEnd"/>
      <w:r w:rsidRPr="004E28E1">
        <w:rPr>
          <w:rFonts w:ascii="Palatino Linotype" w:eastAsia="Palatino Linotype" w:hAnsi="Palatino Linotype" w:cs="Palatino Linotype"/>
        </w:rPr>
        <w:t xml:space="preserve">, siendo que, para el presente caso, la cédula profesional electrónica contiene una URL en el que se pueden consultar diversa información, como; datos de la institución de procedencia, datos del profesionista, nombre, primer y segundo apellido, CURP y los datos de programa cursado. </w:t>
      </w:r>
    </w:p>
    <w:p w14:paraId="4D4AFF37" w14:textId="77777777" w:rsidR="00996B51" w:rsidRPr="004E28E1" w:rsidRDefault="00996B51">
      <w:pPr>
        <w:pBdr>
          <w:top w:val="nil"/>
          <w:left w:val="nil"/>
          <w:bottom w:val="nil"/>
          <w:right w:val="nil"/>
          <w:between w:val="nil"/>
        </w:pBdr>
        <w:spacing w:line="360" w:lineRule="auto"/>
        <w:jc w:val="both"/>
        <w:rPr>
          <w:rFonts w:ascii="Palatino Linotype" w:eastAsia="Palatino Linotype" w:hAnsi="Palatino Linotype" w:cs="Palatino Linotype"/>
        </w:rPr>
      </w:pPr>
    </w:p>
    <w:p w14:paraId="512DD186" w14:textId="77777777" w:rsidR="00996B51" w:rsidRPr="004E28E1" w:rsidRDefault="006D6A63">
      <w:p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tales circunstancias, se considera que dicho dato actualiza la causal de clasificación prevista en el artículo 143, fracción I de la Ley de la materia, toda vez </w:t>
      </w:r>
      <w:r w:rsidRPr="004E28E1">
        <w:rPr>
          <w:rFonts w:ascii="Palatino Linotype" w:eastAsia="Palatino Linotype" w:hAnsi="Palatino Linotype" w:cs="Palatino Linotype"/>
        </w:rPr>
        <w:lastRenderedPageBreak/>
        <w:t>que da acceso a la Clave Única de Registro de Población de los servidores públicos, dato que como se señaló previamente, es clasificado.</w:t>
      </w:r>
    </w:p>
    <w:p w14:paraId="65CBD4C6" w14:textId="77777777" w:rsidR="00996B51" w:rsidRPr="004E28E1" w:rsidRDefault="00996B51">
      <w:pPr>
        <w:pBdr>
          <w:top w:val="nil"/>
          <w:left w:val="nil"/>
          <w:bottom w:val="nil"/>
          <w:right w:val="nil"/>
          <w:between w:val="nil"/>
        </w:pBdr>
        <w:spacing w:line="360" w:lineRule="auto"/>
        <w:jc w:val="both"/>
        <w:rPr>
          <w:rFonts w:ascii="Palatino Linotype" w:eastAsia="Palatino Linotype" w:hAnsi="Palatino Linotype" w:cs="Palatino Linotype"/>
        </w:rPr>
      </w:pPr>
    </w:p>
    <w:p w14:paraId="57AE9AA0" w14:textId="77777777" w:rsidR="00996B51" w:rsidRPr="004E28E1" w:rsidRDefault="006D6A63">
      <w:p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Cadenas de firmas electrónicas. </w:t>
      </w:r>
      <w:r w:rsidRPr="004E28E1">
        <w:rPr>
          <w:rFonts w:ascii="Palatino Linotype" w:eastAsia="Palatino Linotype" w:hAnsi="Palatino Linotype" w:cs="Palatino Linotype"/>
        </w:rPr>
        <w:t>Estas son elementos de seguridad, de verificación y autenticidad de la cédula profesional electrónica, en las que de su acceso se podrá verificar el contenido del documento.</w:t>
      </w:r>
    </w:p>
    <w:p w14:paraId="606EDF23" w14:textId="77777777" w:rsidR="00996B51" w:rsidRPr="004E28E1" w:rsidRDefault="00996B51">
      <w:pPr>
        <w:pBdr>
          <w:top w:val="nil"/>
          <w:left w:val="nil"/>
          <w:bottom w:val="nil"/>
          <w:right w:val="nil"/>
          <w:between w:val="nil"/>
        </w:pBdr>
        <w:spacing w:line="360" w:lineRule="auto"/>
        <w:jc w:val="both"/>
        <w:rPr>
          <w:rFonts w:ascii="Palatino Linotype" w:eastAsia="Palatino Linotype" w:hAnsi="Palatino Linotype" w:cs="Palatino Linotype"/>
        </w:rPr>
      </w:pPr>
    </w:p>
    <w:p w14:paraId="18733AF4" w14:textId="77777777" w:rsidR="00996B51" w:rsidRPr="004E28E1" w:rsidRDefault="006D6A63">
      <w:p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ese sentido, se considera que dicho dato actualiza la causal de clasificación prevista en el artículo 143, fracción I de la Ley de la materia, toda vez que da acceso a la Clave Única de Registro de Población de los servidores públicos, dato que como se señaló previamente, es clasificado.</w:t>
      </w:r>
    </w:p>
    <w:p w14:paraId="17A95213" w14:textId="77777777" w:rsidR="00996B51" w:rsidRPr="004E28E1" w:rsidRDefault="00996B51">
      <w:pPr>
        <w:pBdr>
          <w:top w:val="nil"/>
          <w:left w:val="nil"/>
          <w:bottom w:val="nil"/>
          <w:right w:val="nil"/>
          <w:between w:val="nil"/>
        </w:pBdr>
        <w:spacing w:line="276" w:lineRule="auto"/>
        <w:ind w:left="360"/>
        <w:jc w:val="both"/>
        <w:rPr>
          <w:rFonts w:ascii="Palatino Linotype" w:eastAsia="Palatino Linotype" w:hAnsi="Palatino Linotype" w:cs="Palatino Linotype"/>
        </w:rPr>
      </w:pPr>
    </w:p>
    <w:p w14:paraId="55BE558E" w14:textId="77777777" w:rsidR="00996B51" w:rsidRPr="004E28E1" w:rsidRDefault="006D6A6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rPr>
      </w:pPr>
      <w:r w:rsidRPr="004E28E1">
        <w:rPr>
          <w:rFonts w:ascii="Palatino Linotype" w:eastAsia="Palatino Linotype" w:hAnsi="Palatino Linotype" w:cs="Palatino Linotype"/>
          <w:b/>
          <w:u w:val="single"/>
        </w:rPr>
        <w:t>Dictamen de acreditación de examen:</w:t>
      </w:r>
    </w:p>
    <w:p w14:paraId="01E4FA56" w14:textId="77777777" w:rsidR="00996B51" w:rsidRPr="004E28E1" w:rsidRDefault="00996B51">
      <w:pPr>
        <w:spacing w:line="360" w:lineRule="auto"/>
        <w:jc w:val="both"/>
        <w:rPr>
          <w:rFonts w:ascii="Palatino Linotype" w:eastAsia="Palatino Linotype" w:hAnsi="Palatino Linotype" w:cs="Palatino Linotype"/>
          <w:b/>
        </w:rPr>
      </w:pPr>
    </w:p>
    <w:p w14:paraId="48646F3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este punto, es de indicar que, para el caso de los puestos de mandos medios y superiores de estructura del Ayuntamiento de Tlalnepantla de Baz, tenga la obligación de presentar exámenes de conocimientos y aptitudes, de esta manera, se determina que la documental en análisis tiene naturaleza de pública en virtud de que la misma da cuenta del grado de conocimientos que tiene la persona candidata a ocupar un cargo público, procede ordenar su entrega, de ser procedente en versión pública. </w:t>
      </w:r>
    </w:p>
    <w:p w14:paraId="500C4144" w14:textId="77777777" w:rsidR="00996B51" w:rsidRPr="004E28E1" w:rsidRDefault="00996B51">
      <w:pPr>
        <w:spacing w:line="360" w:lineRule="auto"/>
        <w:jc w:val="both"/>
        <w:rPr>
          <w:rFonts w:ascii="Palatino Linotype" w:eastAsia="Palatino Linotype" w:hAnsi="Palatino Linotype" w:cs="Palatino Linotype"/>
        </w:rPr>
      </w:pPr>
    </w:p>
    <w:p w14:paraId="0130B0D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Por otra parte, resulta importante, tomar en consideración la información relativa a la fotografía y firma de los servidores públicos, como a continuación se detalla.</w:t>
      </w:r>
    </w:p>
    <w:p w14:paraId="43FCC122" w14:textId="77777777" w:rsidR="00996B51" w:rsidRPr="004E28E1" w:rsidRDefault="00996B51">
      <w:pPr>
        <w:spacing w:line="360" w:lineRule="auto"/>
        <w:jc w:val="both"/>
        <w:rPr>
          <w:rFonts w:ascii="Palatino Linotype" w:eastAsia="Palatino Linotype" w:hAnsi="Palatino Linotype" w:cs="Palatino Linotype"/>
        </w:rPr>
      </w:pPr>
    </w:p>
    <w:p w14:paraId="528A0274"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Fotografía de servidores públicos</w:t>
      </w:r>
      <w:r w:rsidRPr="004E28E1">
        <w:rPr>
          <w:rFonts w:ascii="Palatino Linotype" w:eastAsia="Palatino Linotype" w:hAnsi="Palatino Linotype" w:cs="Palatino Linotype"/>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38CFDED" w14:textId="77777777" w:rsidR="00996B51" w:rsidRPr="004E28E1" w:rsidRDefault="00996B51">
      <w:pPr>
        <w:spacing w:line="360" w:lineRule="auto"/>
        <w:jc w:val="both"/>
        <w:rPr>
          <w:rFonts w:ascii="Palatino Linotype" w:eastAsia="Palatino Linotype" w:hAnsi="Palatino Linotype" w:cs="Palatino Linotype"/>
        </w:rPr>
      </w:pPr>
    </w:p>
    <w:p w14:paraId="22F62226"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5788D65B" w14:textId="77777777" w:rsidR="00996B51" w:rsidRPr="004E28E1" w:rsidRDefault="00996B51">
      <w:pPr>
        <w:spacing w:line="360" w:lineRule="auto"/>
        <w:jc w:val="both"/>
        <w:rPr>
          <w:rFonts w:ascii="Palatino Linotype" w:eastAsia="Palatino Linotype" w:hAnsi="Palatino Linotype" w:cs="Palatino Linotype"/>
        </w:rPr>
      </w:pPr>
    </w:p>
    <w:p w14:paraId="379456FF"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w:t>
      </w:r>
      <w:r w:rsidRPr="004E28E1">
        <w:rPr>
          <w:rFonts w:ascii="Palatino Linotype" w:eastAsia="Palatino Linotype" w:hAnsi="Palatino Linotype" w:cs="Palatino Linotype"/>
        </w:rPr>
        <w:lastRenderedPageBreak/>
        <w:t>Instituto ya se ha pronunciado en el sentido de que la información que los haga identificados o identificables debe clasificarse como reservada).</w:t>
      </w:r>
    </w:p>
    <w:p w14:paraId="50DA4ABB" w14:textId="77777777" w:rsidR="00996B51" w:rsidRPr="004E28E1" w:rsidRDefault="00996B51">
      <w:pPr>
        <w:spacing w:line="360" w:lineRule="auto"/>
        <w:jc w:val="both"/>
        <w:rPr>
          <w:rFonts w:ascii="Palatino Linotype" w:eastAsia="Palatino Linotype" w:hAnsi="Palatino Linotype" w:cs="Palatino Linotype"/>
        </w:rPr>
      </w:pPr>
    </w:p>
    <w:p w14:paraId="6171B675"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2718E21" w14:textId="77777777" w:rsidR="00996B51" w:rsidRPr="004E28E1" w:rsidRDefault="00996B51">
      <w:pPr>
        <w:spacing w:line="360" w:lineRule="auto"/>
        <w:jc w:val="both"/>
        <w:rPr>
          <w:rFonts w:ascii="Palatino Linotype" w:eastAsia="Palatino Linotype" w:hAnsi="Palatino Linotype" w:cs="Palatino Linotype"/>
        </w:rPr>
      </w:pPr>
    </w:p>
    <w:p w14:paraId="396669D8"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8F765DA" w14:textId="77777777" w:rsidR="00996B51" w:rsidRPr="004E28E1" w:rsidRDefault="00996B51">
      <w:pPr>
        <w:spacing w:line="360" w:lineRule="auto"/>
        <w:jc w:val="both"/>
        <w:rPr>
          <w:rFonts w:ascii="Palatino Linotype" w:eastAsia="Palatino Linotype" w:hAnsi="Palatino Linotype" w:cs="Palatino Linotype"/>
        </w:rPr>
      </w:pPr>
    </w:p>
    <w:p w14:paraId="360B22A1"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w:t>
      </w:r>
      <w:r w:rsidRPr="004E28E1">
        <w:rPr>
          <w:rFonts w:ascii="Palatino Linotype" w:eastAsia="Palatino Linotype" w:hAnsi="Palatino Linotype" w:cs="Palatino Linotype"/>
        </w:rPr>
        <w:lastRenderedPageBreak/>
        <w:t>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43C4A6F" w14:textId="77777777" w:rsidR="00996B51" w:rsidRPr="004E28E1" w:rsidRDefault="00996B51">
      <w:pPr>
        <w:spacing w:line="360" w:lineRule="auto"/>
        <w:jc w:val="both"/>
        <w:rPr>
          <w:rFonts w:ascii="Palatino Linotype" w:eastAsia="Palatino Linotype" w:hAnsi="Palatino Linotype" w:cs="Palatino Linotype"/>
        </w:rPr>
      </w:pPr>
    </w:p>
    <w:p w14:paraId="78007D41"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45D22D42" w14:textId="77777777" w:rsidR="00996B51" w:rsidRPr="004E28E1" w:rsidRDefault="00996B51">
      <w:pPr>
        <w:spacing w:line="360" w:lineRule="auto"/>
        <w:jc w:val="both"/>
        <w:rPr>
          <w:rFonts w:ascii="Palatino Linotype" w:eastAsia="Palatino Linotype" w:hAnsi="Palatino Linotype" w:cs="Palatino Linotype"/>
        </w:rPr>
      </w:pPr>
    </w:p>
    <w:p w14:paraId="2B1F268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6516C670" w14:textId="77777777" w:rsidR="00996B51" w:rsidRPr="004E28E1" w:rsidRDefault="00996B51">
      <w:pPr>
        <w:spacing w:line="360" w:lineRule="auto"/>
        <w:jc w:val="both"/>
        <w:rPr>
          <w:rFonts w:ascii="Palatino Linotype" w:eastAsia="Palatino Linotype" w:hAnsi="Palatino Linotype" w:cs="Palatino Linotype"/>
        </w:rPr>
      </w:pPr>
    </w:p>
    <w:p w14:paraId="35C7A103"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Firma</w:t>
      </w:r>
      <w:r w:rsidRPr="004E28E1">
        <w:rPr>
          <w:rFonts w:ascii="Palatino Linotype" w:eastAsia="Palatino Linotype" w:hAnsi="Palatino Linotype" w:cs="Palatino Linotype"/>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w:t>
      </w:r>
      <w:r w:rsidRPr="004E28E1">
        <w:rPr>
          <w:rFonts w:ascii="Palatino Linotype" w:eastAsia="Palatino Linotype" w:hAnsi="Palatino Linotype" w:cs="Palatino Linotype"/>
        </w:rPr>
        <w:lastRenderedPageBreak/>
        <w:t>atribuciones que les fueron conferidas, emiten un acto de autoridad, siendo la firma el medio por el cual se le da validez a dicho acto.</w:t>
      </w:r>
    </w:p>
    <w:p w14:paraId="4678C043"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Robustece lo anterior el criterio orientador 02-19 emitido por el Instituto Nacional de Transparencia, Acceso a la Información y Protección de Datos Personales, INAI, el cual refiere:</w:t>
      </w:r>
    </w:p>
    <w:p w14:paraId="2174B1D1" w14:textId="77777777" w:rsidR="00996B51" w:rsidRPr="004E28E1" w:rsidRDefault="006D6A63">
      <w:pPr>
        <w:spacing w:before="240" w:after="240"/>
        <w:ind w:left="566" w:right="629"/>
        <w:jc w:val="both"/>
        <w:rPr>
          <w:rFonts w:ascii="Palatino Linotype" w:eastAsia="Palatino Linotype" w:hAnsi="Palatino Linotype" w:cs="Palatino Linotype"/>
          <w:i/>
        </w:rPr>
      </w:pPr>
      <w:r w:rsidRPr="004E28E1">
        <w:rPr>
          <w:rFonts w:ascii="Palatino Linotype" w:eastAsia="Palatino Linotype" w:hAnsi="Palatino Linotype" w:cs="Palatino Linotype"/>
        </w:rPr>
        <w:t xml:space="preserve"> </w:t>
      </w:r>
      <w:r w:rsidRPr="004E28E1">
        <w:rPr>
          <w:rFonts w:ascii="Palatino Linotype" w:eastAsia="Palatino Linotype" w:hAnsi="Palatino Linotype" w:cs="Palatino Linotype"/>
          <w:i/>
        </w:rPr>
        <w:t>“</w:t>
      </w:r>
      <w:r w:rsidRPr="004E28E1">
        <w:rPr>
          <w:rFonts w:ascii="Palatino Linotype" w:eastAsia="Palatino Linotype" w:hAnsi="Palatino Linotype" w:cs="Palatino Linotype"/>
          <w:b/>
          <w:i/>
        </w:rPr>
        <w:t>Firma y rúbrica de servidores públicos.</w:t>
      </w:r>
      <w:r w:rsidRPr="004E28E1">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4D672D9"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 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0200B319"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Por su parte la cédula profesional, es el documento que toda persona a quien legalmente se le haya expedido título profesional o grado académico equivalente, podrá obtener con</w:t>
      </w:r>
      <w:r w:rsidRPr="004E28E1">
        <w:rPr>
          <w:rFonts w:ascii="Palatino Linotype" w:eastAsia="Palatino Linotype" w:hAnsi="Palatino Linotype" w:cs="Palatino Linotype"/>
          <w:b/>
        </w:rPr>
        <w:t xml:space="preserve"> </w:t>
      </w:r>
      <w:r w:rsidRPr="004E28E1">
        <w:rPr>
          <w:rFonts w:ascii="Palatino Linotype" w:eastAsia="Palatino Linotype" w:hAnsi="Palatino Linotype" w:cs="Palatino Linotype"/>
        </w:rPr>
        <w:t>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w:t>
      </w:r>
    </w:p>
    <w:p w14:paraId="6FE36566"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lastRenderedPageBreak/>
        <w:t>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01B5F76B"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consecuencia, de todo lo anterior, lo procedente es ordenar al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permita a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lo siguiente:  </w:t>
      </w:r>
    </w:p>
    <w:p w14:paraId="3CE16391" w14:textId="77777777" w:rsidR="00996B51" w:rsidRPr="004E28E1" w:rsidRDefault="00996B51">
      <w:pPr>
        <w:spacing w:line="360" w:lineRule="auto"/>
        <w:jc w:val="both"/>
        <w:rPr>
          <w:rFonts w:ascii="Palatino Linotype" w:eastAsia="Palatino Linotype" w:hAnsi="Palatino Linotype" w:cs="Palatino Linotype"/>
        </w:rPr>
      </w:pPr>
    </w:p>
    <w:p w14:paraId="2DB58526" w14:textId="77777777" w:rsidR="00996B51" w:rsidRPr="004E28E1" w:rsidRDefault="006D6A6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Los Expedientes laborales de todos los servidores públicos del Municipio Tlalnepantla de Baz, al primero de abril del año 2024.</w:t>
      </w:r>
    </w:p>
    <w:p w14:paraId="27C1DA9F" w14:textId="77777777" w:rsidR="00996B51" w:rsidRPr="004E28E1" w:rsidRDefault="00996B51">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52ECDB1B"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versión pública conforme a lo señalado por el considerando quinto del presente fallo.</w:t>
      </w:r>
    </w:p>
    <w:p w14:paraId="639E7060" w14:textId="77777777" w:rsidR="00996B51" w:rsidRPr="004E28E1" w:rsidRDefault="00996B51">
      <w:pPr>
        <w:spacing w:line="360" w:lineRule="auto"/>
        <w:jc w:val="both"/>
        <w:rPr>
          <w:rFonts w:ascii="Palatino Linotype" w:eastAsia="Palatino Linotype" w:hAnsi="Palatino Linotype" w:cs="Palatino Linotype"/>
        </w:rPr>
      </w:pPr>
    </w:p>
    <w:p w14:paraId="5049FD5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Para dar cumplimiento a la Consulta Directa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deberá informar previamente al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el mecanismo o procedimiento que se debe seguir a fin de que éste acceda a la información solicitada, así como los días hábiles, horas, domicilio y el tiempo en que estará disponible la información para la consulta mediante una calendarización. </w:t>
      </w:r>
    </w:p>
    <w:p w14:paraId="41891D71" w14:textId="77777777" w:rsidR="00996B51" w:rsidRPr="004E28E1" w:rsidRDefault="00996B51">
      <w:pPr>
        <w:spacing w:line="360" w:lineRule="auto"/>
        <w:jc w:val="both"/>
        <w:rPr>
          <w:rFonts w:ascii="Palatino Linotype" w:eastAsia="Palatino Linotype" w:hAnsi="Palatino Linotype" w:cs="Palatino Linotype"/>
          <w:b/>
        </w:rPr>
      </w:pPr>
    </w:p>
    <w:p w14:paraId="443B574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Quinto. Versión Pública. </w:t>
      </w:r>
      <w:r w:rsidRPr="004E28E1">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sin menoscabar el derecho a la protección de los datos personales de terceros.</w:t>
      </w:r>
    </w:p>
    <w:p w14:paraId="33906031" w14:textId="77777777" w:rsidR="00996B51" w:rsidRPr="004E28E1" w:rsidRDefault="006D6A63">
      <w:pPr>
        <w:spacing w:before="240" w:after="240" w:line="360" w:lineRule="auto"/>
        <w:ind w:right="50"/>
        <w:jc w:val="both"/>
        <w:rPr>
          <w:rFonts w:ascii="Palatino Linotype" w:eastAsia="Palatino Linotype" w:hAnsi="Palatino Linotype" w:cs="Palatino Linotype"/>
        </w:rPr>
      </w:pPr>
      <w:r w:rsidRPr="004E28E1">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4C6F504" w14:textId="77777777" w:rsidR="00996B51" w:rsidRPr="004E28E1" w:rsidRDefault="006D6A63">
      <w:pPr>
        <w:ind w:left="993" w:right="1041"/>
        <w:jc w:val="both"/>
        <w:rPr>
          <w:rFonts w:ascii="Palatino Linotype" w:eastAsia="Palatino Linotype" w:hAnsi="Palatino Linotype" w:cs="Palatino Linotype"/>
          <w:b/>
          <w:i/>
          <w:sz w:val="22"/>
          <w:szCs w:val="22"/>
        </w:rPr>
      </w:pPr>
      <w:r w:rsidRPr="004E28E1">
        <w:rPr>
          <w:rFonts w:ascii="Palatino Linotype" w:eastAsia="Palatino Linotype" w:hAnsi="Palatino Linotype" w:cs="Palatino Linotype"/>
          <w:b/>
          <w:i/>
          <w:sz w:val="22"/>
          <w:szCs w:val="22"/>
        </w:rPr>
        <w:t xml:space="preserve"> “Artículo 3. Para los efectos de la presente Ley se entenderá por:</w:t>
      </w:r>
    </w:p>
    <w:p w14:paraId="1FB283A8"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IX. Datos personales:</w:t>
      </w:r>
      <w:r w:rsidRPr="004E28E1">
        <w:rPr>
          <w:rFonts w:ascii="Palatino Linotype" w:eastAsia="Palatino Linotype" w:hAnsi="Palatino Linotype" w:cs="Palatino Linotype"/>
          <w:i/>
          <w:sz w:val="22"/>
          <w:szCs w:val="22"/>
        </w:rPr>
        <w:t xml:space="preserve"> </w:t>
      </w:r>
      <w:r w:rsidRPr="004E28E1">
        <w:rPr>
          <w:rFonts w:ascii="Palatino Linotype" w:eastAsia="Palatino Linotype" w:hAnsi="Palatino Linotype" w:cs="Palatino Linotype"/>
          <w:b/>
          <w:i/>
          <w:sz w:val="22"/>
          <w:szCs w:val="22"/>
        </w:rPr>
        <w:t>La información concerniente a una persona, identificada o identificable</w:t>
      </w:r>
      <w:r w:rsidRPr="004E28E1">
        <w:rPr>
          <w:rFonts w:ascii="Palatino Linotype" w:eastAsia="Palatino Linotype" w:hAnsi="Palatino Linotype" w:cs="Palatino Linotype"/>
          <w:i/>
          <w:sz w:val="22"/>
          <w:szCs w:val="22"/>
        </w:rPr>
        <w:t xml:space="preserve"> según lo dispuesto por la Ley de Protección de Datos Personales del Estado de México;</w:t>
      </w:r>
    </w:p>
    <w:p w14:paraId="1E717869"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XX. Información clasificada:</w:t>
      </w:r>
      <w:r w:rsidRPr="004E28E1">
        <w:rPr>
          <w:rFonts w:ascii="Palatino Linotype" w:eastAsia="Palatino Linotype" w:hAnsi="Palatino Linotype" w:cs="Palatino Linotype"/>
          <w:i/>
          <w:sz w:val="22"/>
          <w:szCs w:val="22"/>
        </w:rPr>
        <w:t xml:space="preserve"> Aquella considerada por la presente Ley como reservada o confidencial;</w:t>
      </w:r>
    </w:p>
    <w:p w14:paraId="0225065A"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XXXII. Protección de Datos Personales:</w:t>
      </w:r>
      <w:r w:rsidRPr="004E28E1">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17152A1"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XLV. Versión pública</w:t>
      </w:r>
      <w:r w:rsidRPr="004E28E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37BE393" w14:textId="77777777" w:rsidR="00996B51" w:rsidRPr="004E28E1" w:rsidRDefault="00996B51">
      <w:pPr>
        <w:ind w:left="993" w:right="1041"/>
        <w:jc w:val="both"/>
        <w:rPr>
          <w:rFonts w:ascii="Palatino Linotype" w:eastAsia="Palatino Linotype" w:hAnsi="Palatino Linotype" w:cs="Palatino Linotype"/>
          <w:i/>
          <w:sz w:val="22"/>
          <w:szCs w:val="22"/>
        </w:rPr>
      </w:pPr>
    </w:p>
    <w:p w14:paraId="52D65D43"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“Artículo 6.</w:t>
      </w:r>
      <w:r w:rsidRPr="004E28E1">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sidRPr="004E28E1">
        <w:rPr>
          <w:rFonts w:ascii="Palatino Linotype" w:eastAsia="Palatino Linotype" w:hAnsi="Palatino Linotype" w:cs="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14:paraId="04C4AB89" w14:textId="77777777" w:rsidR="00996B51" w:rsidRPr="004E28E1" w:rsidRDefault="00996B51">
      <w:pPr>
        <w:ind w:left="993" w:right="1041"/>
        <w:jc w:val="both"/>
        <w:rPr>
          <w:rFonts w:ascii="Palatino Linotype" w:eastAsia="Palatino Linotype" w:hAnsi="Palatino Linotype" w:cs="Palatino Linotype"/>
          <w:i/>
          <w:sz w:val="22"/>
          <w:szCs w:val="22"/>
        </w:rPr>
      </w:pPr>
    </w:p>
    <w:p w14:paraId="07F5523B" w14:textId="77777777" w:rsidR="00996B51" w:rsidRPr="004E28E1" w:rsidRDefault="006D6A63">
      <w:pPr>
        <w:ind w:left="993" w:right="1041"/>
        <w:jc w:val="both"/>
        <w:rPr>
          <w:rFonts w:ascii="Palatino Linotype" w:eastAsia="Palatino Linotype" w:hAnsi="Palatino Linotype" w:cs="Palatino Linotype"/>
          <w:b/>
          <w:i/>
          <w:sz w:val="22"/>
          <w:szCs w:val="22"/>
        </w:rPr>
      </w:pPr>
      <w:r w:rsidRPr="004E28E1">
        <w:rPr>
          <w:rFonts w:ascii="Palatino Linotype" w:eastAsia="Palatino Linotype" w:hAnsi="Palatino Linotype" w:cs="Palatino Linotype"/>
          <w:b/>
          <w:i/>
          <w:sz w:val="22"/>
          <w:szCs w:val="22"/>
        </w:rPr>
        <w:t>“Artículo 137.</w:t>
      </w:r>
      <w:r w:rsidRPr="004E28E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9606265" w14:textId="77777777" w:rsidR="00996B51" w:rsidRPr="004E28E1" w:rsidRDefault="00996B51">
      <w:pPr>
        <w:ind w:left="993" w:right="1041"/>
        <w:jc w:val="both"/>
        <w:rPr>
          <w:rFonts w:ascii="Palatino Linotype" w:eastAsia="Palatino Linotype" w:hAnsi="Palatino Linotype" w:cs="Palatino Linotype"/>
          <w:b/>
          <w:i/>
          <w:sz w:val="22"/>
          <w:szCs w:val="22"/>
        </w:rPr>
      </w:pPr>
    </w:p>
    <w:p w14:paraId="31ABA90A"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“Artículo 143</w:t>
      </w:r>
      <w:r w:rsidRPr="004E28E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180B123"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I.</w:t>
      </w:r>
      <w:r w:rsidRPr="004E28E1">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11850A6"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CDACE56" w14:textId="77777777" w:rsidR="00996B51" w:rsidRPr="004E28E1" w:rsidRDefault="006D6A63">
      <w:pPr>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712AB7DE" w14:textId="77777777" w:rsidR="00996B51" w:rsidRPr="004E28E1" w:rsidRDefault="00996B51">
      <w:pPr>
        <w:ind w:left="993" w:right="1041"/>
        <w:jc w:val="both"/>
        <w:rPr>
          <w:rFonts w:ascii="Palatino Linotype" w:eastAsia="Palatino Linotype" w:hAnsi="Palatino Linotype" w:cs="Palatino Linotype"/>
          <w:i/>
          <w:sz w:val="22"/>
          <w:szCs w:val="22"/>
        </w:rPr>
      </w:pPr>
    </w:p>
    <w:p w14:paraId="0EDCBEF4" w14:textId="77777777" w:rsidR="00996B51" w:rsidRPr="004E28E1" w:rsidRDefault="006D6A63">
      <w:pPr>
        <w:spacing w:line="360" w:lineRule="auto"/>
        <w:ind w:right="51"/>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para satisfacer el derecho de acceso a la información pública de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w:t>
      </w:r>
      <w:r w:rsidRPr="004E28E1">
        <w:rPr>
          <w:rFonts w:ascii="Palatino Linotype" w:eastAsia="Palatino Linotype" w:hAnsi="Palatino Linotype" w:cs="Palatino Linotype"/>
        </w:rPr>
        <w:lastRenderedPageBreak/>
        <w:t>o conlleven un riesgo grave para aquel de acuerdo a lo que señala la fracción XII del artículo 4 de la Ley de Protección de Datos Personales en Posesión de Sujetos Obligados del Estado de México.</w:t>
      </w:r>
    </w:p>
    <w:p w14:paraId="4596617E" w14:textId="77777777" w:rsidR="00996B51" w:rsidRPr="004E28E1" w:rsidRDefault="00996B51">
      <w:pPr>
        <w:spacing w:line="360" w:lineRule="auto"/>
        <w:ind w:right="51"/>
        <w:jc w:val="both"/>
        <w:rPr>
          <w:rFonts w:ascii="Palatino Linotype" w:eastAsia="Palatino Linotype" w:hAnsi="Palatino Linotype" w:cs="Palatino Linotype"/>
        </w:rPr>
      </w:pPr>
    </w:p>
    <w:p w14:paraId="35270A39" w14:textId="77777777" w:rsidR="00996B51" w:rsidRPr="004E28E1" w:rsidRDefault="006D6A63">
      <w:pPr>
        <w:spacing w:line="360" w:lineRule="auto"/>
        <w:ind w:right="50"/>
        <w:jc w:val="both"/>
        <w:rPr>
          <w:rFonts w:ascii="Palatino Linotype" w:eastAsia="Palatino Linotype" w:hAnsi="Palatino Linotype" w:cs="Palatino Linotype"/>
        </w:rPr>
      </w:pPr>
      <w:r w:rsidRPr="004E28E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5BFF251" w14:textId="77777777" w:rsidR="00996B51" w:rsidRPr="004E28E1" w:rsidRDefault="00996B51">
      <w:pPr>
        <w:spacing w:line="360" w:lineRule="auto"/>
        <w:ind w:right="50"/>
        <w:jc w:val="both"/>
        <w:rPr>
          <w:rFonts w:ascii="Palatino Linotype" w:eastAsia="Palatino Linotype" w:hAnsi="Palatino Linotype" w:cs="Palatino Linotype"/>
        </w:rPr>
      </w:pPr>
    </w:p>
    <w:p w14:paraId="1FBFDD74" w14:textId="77777777" w:rsidR="00996B51" w:rsidRPr="004E28E1" w:rsidRDefault="006D6A63">
      <w:pPr>
        <w:spacing w:line="360" w:lineRule="auto"/>
        <w:ind w:right="51"/>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4E28E1">
        <w:rPr>
          <w:rFonts w:ascii="Palatino Linotype" w:eastAsia="Palatino Linotype" w:hAnsi="Palatino Linotype" w:cs="Palatino Linotype"/>
        </w:rPr>
        <w:t>Responsable</w:t>
      </w:r>
      <w:proofErr w:type="gramEnd"/>
      <w:r w:rsidRPr="004E28E1">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E9F5E52" w14:textId="77777777" w:rsidR="00996B51" w:rsidRPr="004E28E1" w:rsidRDefault="00996B51">
      <w:pPr>
        <w:spacing w:line="360" w:lineRule="auto"/>
        <w:ind w:right="51"/>
        <w:jc w:val="both"/>
        <w:rPr>
          <w:rFonts w:ascii="Palatino Linotype" w:eastAsia="Palatino Linotype" w:hAnsi="Palatino Linotype" w:cs="Palatino Linotype"/>
        </w:rPr>
      </w:pPr>
    </w:p>
    <w:p w14:paraId="62F22596" w14:textId="77777777" w:rsidR="00996B51" w:rsidRPr="004E28E1" w:rsidRDefault="006D6A63">
      <w:pPr>
        <w:ind w:left="992" w:right="1043"/>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“Artículo 49.</w:t>
      </w:r>
      <w:r w:rsidRPr="004E28E1">
        <w:rPr>
          <w:rFonts w:ascii="Palatino Linotype" w:eastAsia="Palatino Linotype" w:hAnsi="Palatino Linotype" w:cs="Palatino Linotype"/>
          <w:i/>
          <w:sz w:val="22"/>
          <w:szCs w:val="22"/>
        </w:rPr>
        <w:t xml:space="preserve"> </w:t>
      </w:r>
      <w:r w:rsidRPr="004E28E1">
        <w:rPr>
          <w:rFonts w:ascii="Palatino Linotype" w:eastAsia="Palatino Linotype" w:hAnsi="Palatino Linotype" w:cs="Palatino Linotype"/>
          <w:b/>
          <w:i/>
          <w:sz w:val="22"/>
          <w:szCs w:val="22"/>
        </w:rPr>
        <w:t>Los Comités de Transparencia</w:t>
      </w:r>
      <w:r w:rsidRPr="004E28E1">
        <w:rPr>
          <w:rFonts w:ascii="Palatino Linotype" w:eastAsia="Palatino Linotype" w:hAnsi="Palatino Linotype" w:cs="Palatino Linotype"/>
          <w:i/>
          <w:sz w:val="22"/>
          <w:szCs w:val="22"/>
        </w:rPr>
        <w:t xml:space="preserve"> tendrán las siguientes atribuciones:</w:t>
      </w:r>
    </w:p>
    <w:p w14:paraId="7E98D55D" w14:textId="77777777" w:rsidR="00996B51" w:rsidRPr="004E28E1" w:rsidRDefault="006D6A63">
      <w:pPr>
        <w:ind w:left="992" w:right="1043"/>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VIII. Aprobar, modificar o revocar la clasificación de la información</w:t>
      </w:r>
      <w:r w:rsidRPr="004E28E1">
        <w:rPr>
          <w:rFonts w:ascii="Palatino Linotype" w:eastAsia="Palatino Linotype" w:hAnsi="Palatino Linotype" w:cs="Palatino Linotype"/>
          <w:i/>
          <w:sz w:val="22"/>
          <w:szCs w:val="22"/>
        </w:rPr>
        <w:t>…”</w:t>
      </w:r>
    </w:p>
    <w:p w14:paraId="483E43E0" w14:textId="77777777" w:rsidR="00996B51" w:rsidRPr="004E28E1" w:rsidRDefault="006D6A63">
      <w:pPr>
        <w:ind w:left="992" w:right="1043"/>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Artículo 53.</w:t>
      </w:r>
      <w:r w:rsidRPr="004E28E1">
        <w:rPr>
          <w:rFonts w:ascii="Palatino Linotype" w:eastAsia="Palatino Linotype" w:hAnsi="Palatino Linotype" w:cs="Palatino Linotype"/>
          <w:i/>
          <w:sz w:val="22"/>
          <w:szCs w:val="22"/>
        </w:rPr>
        <w:t xml:space="preserve"> Las </w:t>
      </w:r>
      <w:r w:rsidRPr="004E28E1">
        <w:rPr>
          <w:rFonts w:ascii="Palatino Linotype" w:eastAsia="Palatino Linotype" w:hAnsi="Palatino Linotype" w:cs="Palatino Linotype"/>
          <w:b/>
          <w:i/>
          <w:sz w:val="22"/>
          <w:szCs w:val="22"/>
        </w:rPr>
        <w:t>Unidades de Transparencia</w:t>
      </w:r>
      <w:r w:rsidRPr="004E28E1">
        <w:rPr>
          <w:rFonts w:ascii="Palatino Linotype" w:eastAsia="Palatino Linotype" w:hAnsi="Palatino Linotype" w:cs="Palatino Linotype"/>
          <w:i/>
          <w:sz w:val="22"/>
          <w:szCs w:val="22"/>
        </w:rPr>
        <w:t xml:space="preserve"> tendrán las siguientes </w:t>
      </w:r>
      <w:r w:rsidRPr="004E28E1">
        <w:rPr>
          <w:rFonts w:ascii="Palatino Linotype" w:eastAsia="Palatino Linotype" w:hAnsi="Palatino Linotype" w:cs="Palatino Linotype"/>
          <w:b/>
          <w:i/>
          <w:sz w:val="22"/>
          <w:szCs w:val="22"/>
        </w:rPr>
        <w:t>funciones</w:t>
      </w:r>
      <w:r w:rsidRPr="004E28E1">
        <w:rPr>
          <w:rFonts w:ascii="Palatino Linotype" w:eastAsia="Palatino Linotype" w:hAnsi="Palatino Linotype" w:cs="Palatino Linotype"/>
          <w:i/>
          <w:sz w:val="22"/>
          <w:szCs w:val="22"/>
        </w:rPr>
        <w:t>:</w:t>
      </w:r>
    </w:p>
    <w:p w14:paraId="17BEC238" w14:textId="77777777" w:rsidR="00996B51" w:rsidRPr="004E28E1" w:rsidRDefault="006D6A63">
      <w:pPr>
        <w:ind w:left="992" w:right="1043"/>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X. Presentar ante el Comité, el proyecto de clasificación de información</w:t>
      </w:r>
      <w:r w:rsidRPr="004E28E1">
        <w:rPr>
          <w:rFonts w:ascii="Palatino Linotype" w:eastAsia="Palatino Linotype" w:hAnsi="Palatino Linotype" w:cs="Palatino Linotype"/>
          <w:i/>
          <w:sz w:val="22"/>
          <w:szCs w:val="22"/>
        </w:rPr>
        <w:t xml:space="preserve">…” </w:t>
      </w:r>
    </w:p>
    <w:p w14:paraId="0C2D89A8" w14:textId="77777777" w:rsidR="00996B51" w:rsidRPr="004E28E1" w:rsidRDefault="006D6A63">
      <w:pPr>
        <w:ind w:left="992" w:right="1043"/>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“Artículo 59.</w:t>
      </w:r>
      <w:r w:rsidRPr="004E28E1">
        <w:rPr>
          <w:rFonts w:ascii="Palatino Linotype" w:eastAsia="Palatino Linotype" w:hAnsi="Palatino Linotype" w:cs="Palatino Linotype"/>
          <w:i/>
          <w:sz w:val="22"/>
          <w:szCs w:val="22"/>
        </w:rPr>
        <w:t xml:space="preserve"> Los </w:t>
      </w:r>
      <w:r w:rsidRPr="004E28E1">
        <w:rPr>
          <w:rFonts w:ascii="Palatino Linotype" w:eastAsia="Palatino Linotype" w:hAnsi="Palatino Linotype" w:cs="Palatino Linotype"/>
          <w:b/>
          <w:i/>
          <w:sz w:val="22"/>
          <w:szCs w:val="22"/>
        </w:rPr>
        <w:t>servidores públicos habilitados</w:t>
      </w:r>
      <w:r w:rsidRPr="004E28E1">
        <w:rPr>
          <w:rFonts w:ascii="Palatino Linotype" w:eastAsia="Palatino Linotype" w:hAnsi="Palatino Linotype" w:cs="Palatino Linotype"/>
          <w:i/>
          <w:sz w:val="22"/>
          <w:szCs w:val="22"/>
        </w:rPr>
        <w:t xml:space="preserve"> tendrán las </w:t>
      </w:r>
      <w:r w:rsidRPr="004E28E1">
        <w:rPr>
          <w:rFonts w:ascii="Palatino Linotype" w:eastAsia="Palatino Linotype" w:hAnsi="Palatino Linotype" w:cs="Palatino Linotype"/>
          <w:b/>
          <w:i/>
          <w:sz w:val="22"/>
          <w:szCs w:val="22"/>
        </w:rPr>
        <w:t>funciones</w:t>
      </w:r>
      <w:r w:rsidRPr="004E28E1">
        <w:rPr>
          <w:rFonts w:ascii="Palatino Linotype" w:eastAsia="Palatino Linotype" w:hAnsi="Palatino Linotype" w:cs="Palatino Linotype"/>
          <w:i/>
          <w:sz w:val="22"/>
          <w:szCs w:val="22"/>
        </w:rPr>
        <w:t xml:space="preserve"> siguientes:</w:t>
      </w:r>
    </w:p>
    <w:p w14:paraId="4A06A50F" w14:textId="77777777" w:rsidR="00996B51" w:rsidRPr="004E28E1" w:rsidRDefault="006D6A63">
      <w:pPr>
        <w:ind w:left="992" w:right="1043"/>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E28E1">
        <w:rPr>
          <w:rFonts w:ascii="Palatino Linotype" w:eastAsia="Palatino Linotype" w:hAnsi="Palatino Linotype" w:cs="Palatino Linotype"/>
          <w:i/>
          <w:sz w:val="22"/>
          <w:szCs w:val="22"/>
        </w:rPr>
        <w:t>, la cual tendrá los fundamentos y argumentos en que se basa dicha propuesta</w:t>
      </w:r>
      <w:proofErr w:type="gramStart"/>
      <w:r w:rsidRPr="004E28E1">
        <w:rPr>
          <w:rFonts w:ascii="Palatino Linotype" w:eastAsia="Palatino Linotype" w:hAnsi="Palatino Linotype" w:cs="Palatino Linotype"/>
          <w:i/>
          <w:sz w:val="22"/>
          <w:szCs w:val="22"/>
        </w:rPr>
        <w:t>…”(</w:t>
      </w:r>
      <w:proofErr w:type="gramEnd"/>
      <w:r w:rsidRPr="004E28E1">
        <w:rPr>
          <w:rFonts w:ascii="Palatino Linotype" w:eastAsia="Palatino Linotype" w:hAnsi="Palatino Linotype" w:cs="Palatino Linotype"/>
          <w:i/>
          <w:sz w:val="22"/>
          <w:szCs w:val="22"/>
        </w:rPr>
        <w:t>Sic)</w:t>
      </w:r>
    </w:p>
    <w:p w14:paraId="7BF6FEAC" w14:textId="77777777" w:rsidR="00996B51" w:rsidRPr="004E28E1" w:rsidRDefault="00996B51">
      <w:pPr>
        <w:ind w:left="992" w:right="1043"/>
        <w:jc w:val="both"/>
        <w:rPr>
          <w:rFonts w:ascii="Palatino Linotype" w:eastAsia="Palatino Linotype" w:hAnsi="Palatino Linotype" w:cs="Palatino Linotype"/>
          <w:i/>
          <w:sz w:val="22"/>
          <w:szCs w:val="22"/>
        </w:rPr>
      </w:pPr>
    </w:p>
    <w:p w14:paraId="4D94FE9A"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7F825FF" w14:textId="77777777" w:rsidR="00996B51" w:rsidRPr="004E28E1" w:rsidRDefault="00996B51">
      <w:pPr>
        <w:spacing w:line="360" w:lineRule="auto"/>
        <w:jc w:val="both"/>
        <w:rPr>
          <w:rFonts w:ascii="Palatino Linotype" w:eastAsia="Palatino Linotype" w:hAnsi="Palatino Linotype" w:cs="Palatino Linotype"/>
        </w:rPr>
      </w:pPr>
    </w:p>
    <w:p w14:paraId="35D68F7D"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34B7ED0" w14:textId="77777777" w:rsidR="00996B51" w:rsidRPr="004E28E1" w:rsidRDefault="00996B51">
      <w:pPr>
        <w:spacing w:line="360" w:lineRule="auto"/>
        <w:jc w:val="both"/>
        <w:rPr>
          <w:rFonts w:ascii="Palatino Linotype" w:eastAsia="Palatino Linotype" w:hAnsi="Palatino Linotype" w:cs="Palatino Linotype"/>
        </w:rPr>
      </w:pPr>
    </w:p>
    <w:p w14:paraId="024CA139" w14:textId="77777777" w:rsidR="00996B51" w:rsidRPr="004E28E1" w:rsidRDefault="006D6A63">
      <w:pPr>
        <w:spacing w:after="240"/>
        <w:ind w:left="993" w:right="1041"/>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r w:rsidRPr="004E28E1">
        <w:rPr>
          <w:rFonts w:ascii="Palatino Linotype" w:eastAsia="Palatino Linotype" w:hAnsi="Palatino Linotype" w:cs="Palatino Linotype"/>
          <w:b/>
          <w:i/>
          <w:sz w:val="22"/>
          <w:szCs w:val="22"/>
        </w:rPr>
        <w:t>Artículo 149.</w:t>
      </w:r>
      <w:r w:rsidRPr="004E28E1">
        <w:rPr>
          <w:rFonts w:ascii="Palatino Linotype" w:eastAsia="Palatino Linotype" w:hAnsi="Palatino Linotype" w:cs="Palatino Linotype"/>
          <w:i/>
          <w:sz w:val="22"/>
          <w:szCs w:val="22"/>
        </w:rPr>
        <w:t xml:space="preserve"> El </w:t>
      </w:r>
      <w:r w:rsidRPr="004E28E1">
        <w:rPr>
          <w:rFonts w:ascii="Palatino Linotype" w:eastAsia="Palatino Linotype" w:hAnsi="Palatino Linotype" w:cs="Palatino Linotype"/>
          <w:b/>
          <w:i/>
          <w:sz w:val="22"/>
          <w:szCs w:val="22"/>
        </w:rPr>
        <w:t>acuerdo que clasifique la información como confidencial</w:t>
      </w:r>
      <w:r w:rsidRPr="004E28E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4E28E1">
        <w:rPr>
          <w:rFonts w:ascii="Palatino Linotype" w:eastAsia="Palatino Linotype" w:hAnsi="Palatino Linotype" w:cs="Palatino Linotype"/>
          <w:i/>
          <w:sz w:val="22"/>
          <w:szCs w:val="22"/>
        </w:rPr>
        <w:t>.”(</w:t>
      </w:r>
      <w:proofErr w:type="gramEnd"/>
      <w:r w:rsidRPr="004E28E1">
        <w:rPr>
          <w:rFonts w:ascii="Palatino Linotype" w:eastAsia="Palatino Linotype" w:hAnsi="Palatino Linotype" w:cs="Palatino Linotype"/>
          <w:i/>
          <w:sz w:val="22"/>
          <w:szCs w:val="22"/>
        </w:rPr>
        <w:t>Sic)</w:t>
      </w:r>
    </w:p>
    <w:p w14:paraId="50D1A8E7" w14:textId="77777777" w:rsidR="00996B51" w:rsidRPr="004E28E1" w:rsidRDefault="00996B51">
      <w:pPr>
        <w:spacing w:before="240" w:line="360" w:lineRule="auto"/>
        <w:ind w:right="51"/>
        <w:jc w:val="both"/>
        <w:rPr>
          <w:rFonts w:ascii="Palatino Linotype" w:eastAsia="Palatino Linotype" w:hAnsi="Palatino Linotype" w:cs="Palatino Linotype"/>
          <w:i/>
          <w:sz w:val="22"/>
          <w:szCs w:val="22"/>
        </w:rPr>
      </w:pPr>
    </w:p>
    <w:p w14:paraId="1649824E" w14:textId="77777777" w:rsidR="00996B51" w:rsidRPr="004E28E1" w:rsidRDefault="006D6A63">
      <w:pPr>
        <w:spacing w:line="360" w:lineRule="auto"/>
        <w:ind w:right="51"/>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Es decir,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4E28E1">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14:paraId="1D1894BF" w14:textId="77777777" w:rsidR="00996B51" w:rsidRPr="004E28E1" w:rsidRDefault="00996B51">
      <w:pPr>
        <w:spacing w:line="360" w:lineRule="auto"/>
        <w:jc w:val="both"/>
        <w:rPr>
          <w:rFonts w:ascii="Palatino Linotype" w:eastAsia="Palatino Linotype" w:hAnsi="Palatino Linotype" w:cs="Palatino Linotype"/>
        </w:rPr>
      </w:pPr>
    </w:p>
    <w:p w14:paraId="530F35E2"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Al respecto, se destaca que la versión pública que elabore 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E28E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E28E1">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992F86B" w14:textId="77777777" w:rsidR="00996B51" w:rsidRPr="004E28E1" w:rsidRDefault="00996B51">
      <w:pPr>
        <w:ind w:left="709" w:right="709"/>
        <w:jc w:val="both"/>
        <w:rPr>
          <w:rFonts w:ascii="Palatino Linotype" w:eastAsia="Palatino Linotype" w:hAnsi="Palatino Linotype" w:cs="Palatino Linotype"/>
          <w:b/>
          <w:i/>
          <w:sz w:val="22"/>
          <w:szCs w:val="22"/>
        </w:rPr>
      </w:pPr>
    </w:p>
    <w:p w14:paraId="6650E820"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8E609DD"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i/>
          <w:sz w:val="22"/>
          <w:szCs w:val="22"/>
        </w:rPr>
        <w:t>“</w:t>
      </w:r>
      <w:proofErr w:type="gramStart"/>
      <w:r w:rsidRPr="004E28E1">
        <w:rPr>
          <w:rFonts w:ascii="Palatino Linotype" w:eastAsia="Palatino Linotype" w:hAnsi="Palatino Linotype" w:cs="Palatino Linotype"/>
          <w:b/>
          <w:i/>
          <w:sz w:val="22"/>
          <w:szCs w:val="22"/>
        </w:rPr>
        <w:t>Segundo.-</w:t>
      </w:r>
      <w:proofErr w:type="gramEnd"/>
      <w:r w:rsidRPr="004E28E1">
        <w:rPr>
          <w:rFonts w:ascii="Palatino Linotype" w:eastAsia="Palatino Linotype" w:hAnsi="Palatino Linotype" w:cs="Palatino Linotype"/>
          <w:i/>
          <w:sz w:val="22"/>
          <w:szCs w:val="22"/>
        </w:rPr>
        <w:t xml:space="preserve"> Para efectos de los presentes Lineamientos Generales, se entenderá por:</w:t>
      </w:r>
    </w:p>
    <w:p w14:paraId="3C152EE3"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XVIII.</w:t>
      </w:r>
      <w:r w:rsidRPr="004E28E1">
        <w:rPr>
          <w:rFonts w:ascii="Palatino Linotype" w:eastAsia="Palatino Linotype" w:hAnsi="Palatino Linotype" w:cs="Palatino Linotype"/>
          <w:i/>
          <w:sz w:val="22"/>
          <w:szCs w:val="22"/>
        </w:rPr>
        <w:t xml:space="preserve"> </w:t>
      </w:r>
      <w:r w:rsidRPr="004E28E1">
        <w:rPr>
          <w:rFonts w:ascii="Palatino Linotype" w:eastAsia="Palatino Linotype" w:hAnsi="Palatino Linotype" w:cs="Palatino Linotype"/>
          <w:b/>
          <w:i/>
          <w:sz w:val="22"/>
          <w:szCs w:val="22"/>
        </w:rPr>
        <w:t>Versión pública:</w:t>
      </w:r>
      <w:r w:rsidRPr="004E28E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E28E1">
        <w:rPr>
          <w:rFonts w:ascii="Palatino Linotype" w:eastAsia="Palatino Linotype" w:hAnsi="Palatino Linotype" w:cs="Palatino Linotype"/>
          <w:b/>
          <w:i/>
          <w:sz w:val="22"/>
          <w:szCs w:val="22"/>
          <w:u w:val="single"/>
        </w:rPr>
        <w:t>fundando y motivando la</w:t>
      </w:r>
      <w:r w:rsidRPr="004E28E1">
        <w:rPr>
          <w:rFonts w:ascii="Palatino Linotype" w:eastAsia="Palatino Linotype" w:hAnsi="Palatino Linotype" w:cs="Palatino Linotype"/>
          <w:i/>
          <w:sz w:val="22"/>
          <w:szCs w:val="22"/>
        </w:rPr>
        <w:t xml:space="preserve"> reserva o </w:t>
      </w:r>
      <w:r w:rsidRPr="004E28E1">
        <w:rPr>
          <w:rFonts w:ascii="Palatino Linotype" w:eastAsia="Palatino Linotype" w:hAnsi="Palatino Linotype" w:cs="Palatino Linotype"/>
          <w:b/>
          <w:i/>
          <w:sz w:val="22"/>
          <w:szCs w:val="22"/>
          <w:u w:val="single"/>
        </w:rPr>
        <w:t>confidencialidad</w:t>
      </w:r>
      <w:r w:rsidRPr="004E28E1">
        <w:rPr>
          <w:rFonts w:ascii="Palatino Linotype" w:eastAsia="Palatino Linotype" w:hAnsi="Palatino Linotype" w:cs="Palatino Linotype"/>
          <w:i/>
          <w:sz w:val="22"/>
          <w:szCs w:val="22"/>
        </w:rPr>
        <w:t>, a través de la resolución que para tal efecto emita el Comité de Transparencia.</w:t>
      </w:r>
    </w:p>
    <w:p w14:paraId="13B49EDF"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Cuarto.</w:t>
      </w:r>
      <w:r w:rsidRPr="004E28E1">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4E28E1">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14:paraId="133F93C7"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914E6B4"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Quinto.</w:t>
      </w:r>
      <w:r w:rsidRPr="004E28E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E33DB8"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w:t>
      </w:r>
    </w:p>
    <w:p w14:paraId="05C36369"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Séptimo.</w:t>
      </w:r>
      <w:r w:rsidRPr="004E28E1">
        <w:rPr>
          <w:rFonts w:ascii="Palatino Linotype" w:eastAsia="Palatino Linotype" w:hAnsi="Palatino Linotype" w:cs="Palatino Linotype"/>
          <w:i/>
          <w:sz w:val="22"/>
          <w:szCs w:val="22"/>
        </w:rPr>
        <w:t xml:space="preserve"> La clasificación de la información se llevará a cabo en el momento en que:</w:t>
      </w:r>
    </w:p>
    <w:p w14:paraId="33C96307"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I.</w:t>
      </w:r>
      <w:r w:rsidRPr="004E28E1">
        <w:rPr>
          <w:rFonts w:ascii="Palatino Linotype" w:eastAsia="Palatino Linotype" w:hAnsi="Palatino Linotype" w:cs="Palatino Linotype"/>
          <w:i/>
          <w:sz w:val="22"/>
          <w:szCs w:val="22"/>
        </w:rPr>
        <w:t xml:space="preserve"> Se reciba una solicitud de acceso a la información;</w:t>
      </w:r>
    </w:p>
    <w:p w14:paraId="4FE8D0A2" w14:textId="77777777" w:rsidR="00996B51" w:rsidRPr="004E28E1" w:rsidRDefault="006D6A6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II.</w:t>
      </w:r>
      <w:r w:rsidRPr="004E28E1">
        <w:rPr>
          <w:rFonts w:ascii="Palatino Linotype" w:eastAsia="Palatino Linotype" w:hAnsi="Palatino Linotype" w:cs="Palatino Linotype"/>
          <w:i/>
          <w:sz w:val="22"/>
          <w:szCs w:val="22"/>
        </w:rPr>
        <w:t xml:space="preserve"> </w:t>
      </w:r>
      <w:proofErr w:type="gramStart"/>
      <w:r w:rsidRPr="004E28E1">
        <w:rPr>
          <w:rFonts w:ascii="Palatino Linotype" w:eastAsia="Palatino Linotype" w:hAnsi="Palatino Linotype" w:cs="Palatino Linotype"/>
          <w:i/>
          <w:sz w:val="22"/>
          <w:szCs w:val="22"/>
        </w:rPr>
        <w:t>Se  determine</w:t>
      </w:r>
      <w:proofErr w:type="gramEnd"/>
      <w:r w:rsidRPr="004E28E1">
        <w:rPr>
          <w:rFonts w:ascii="Palatino Linotype" w:eastAsia="Palatino Linotype" w:hAnsi="Palatino Linotype" w:cs="Palatino Linotype"/>
          <w:i/>
          <w:sz w:val="22"/>
          <w:szCs w:val="22"/>
        </w:rPr>
        <w:t xml:space="preserve"> mediante resolución del Comité de Transparencia, el órgano garante </w:t>
      </w:r>
    </w:p>
    <w:p w14:paraId="3198C449"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i/>
          <w:sz w:val="22"/>
          <w:szCs w:val="22"/>
        </w:rPr>
        <w:t>competente, o en cumplimiento a una sentencia del Poder Judicial; o</w:t>
      </w:r>
    </w:p>
    <w:p w14:paraId="4CAEF631"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III.</w:t>
      </w:r>
      <w:r w:rsidRPr="004E28E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F278F30"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BAD1906"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Octavo.</w:t>
      </w:r>
      <w:r w:rsidRPr="004E28E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AA5ED4C"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A8D4896" w14:textId="77777777" w:rsidR="00996B51" w:rsidRPr="004E28E1" w:rsidRDefault="006D6A6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9268360"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Noveno.</w:t>
      </w:r>
      <w:r w:rsidRPr="004E28E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58ACE64"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b/>
          <w:i/>
          <w:sz w:val="22"/>
          <w:szCs w:val="22"/>
        </w:rPr>
        <w:t>Décimo.</w:t>
      </w:r>
      <w:r w:rsidRPr="004E28E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w:t>
      </w:r>
      <w:r w:rsidRPr="004E28E1">
        <w:rPr>
          <w:rFonts w:ascii="Palatino Linotype" w:eastAsia="Palatino Linotype" w:hAnsi="Palatino Linotype" w:cs="Palatino Linotype"/>
          <w:i/>
          <w:sz w:val="22"/>
          <w:szCs w:val="22"/>
        </w:rPr>
        <w:lastRenderedPageBreak/>
        <w:t>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91CCE56"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1248453" w14:textId="77777777" w:rsidR="00996B51" w:rsidRPr="004E28E1" w:rsidRDefault="006D6A6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Décimo primero.</w:t>
      </w:r>
      <w:r w:rsidRPr="004E28E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0F517C6" w14:textId="77777777" w:rsidR="00996B51" w:rsidRPr="004E28E1" w:rsidRDefault="00996B51">
      <w:pPr>
        <w:pBdr>
          <w:top w:val="nil"/>
          <w:left w:val="nil"/>
          <w:bottom w:val="nil"/>
          <w:right w:val="nil"/>
          <w:between w:val="nil"/>
        </w:pBdr>
        <w:ind w:right="709"/>
        <w:jc w:val="both"/>
      </w:pPr>
    </w:p>
    <w:p w14:paraId="059E0CE8" w14:textId="77777777" w:rsidR="00996B51" w:rsidRPr="004E28E1" w:rsidRDefault="006D6A63">
      <w:pPr>
        <w:pBdr>
          <w:top w:val="nil"/>
          <w:left w:val="nil"/>
          <w:bottom w:val="nil"/>
          <w:right w:val="nil"/>
          <w:between w:val="nil"/>
        </w:pBdr>
        <w:ind w:left="709" w:right="709"/>
        <w:jc w:val="both"/>
      </w:pPr>
      <w:r w:rsidRPr="004E28E1">
        <w:rPr>
          <w:rFonts w:ascii="Palatino Linotype" w:eastAsia="Palatino Linotype" w:hAnsi="Palatino Linotype" w:cs="Palatino Linotype"/>
          <w:i/>
          <w:sz w:val="22"/>
          <w:szCs w:val="22"/>
        </w:rPr>
        <w:t>[…]</w:t>
      </w:r>
    </w:p>
    <w:p w14:paraId="1B61D69B" w14:textId="77777777" w:rsidR="00996B51" w:rsidRPr="004E28E1" w:rsidRDefault="00996B51">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p>
    <w:p w14:paraId="1372C63D" w14:textId="77777777" w:rsidR="00996B51" w:rsidRPr="004E28E1" w:rsidRDefault="006D6A63">
      <w:pPr>
        <w:pBdr>
          <w:top w:val="nil"/>
          <w:left w:val="nil"/>
          <w:bottom w:val="nil"/>
          <w:right w:val="nil"/>
          <w:between w:val="nil"/>
        </w:pBdr>
        <w:ind w:left="709" w:right="709"/>
        <w:jc w:val="center"/>
      </w:pPr>
      <w:r w:rsidRPr="004E28E1">
        <w:rPr>
          <w:rFonts w:ascii="Palatino Linotype" w:eastAsia="Palatino Linotype" w:hAnsi="Palatino Linotype" w:cs="Palatino Linotype"/>
          <w:b/>
          <w:i/>
          <w:sz w:val="22"/>
          <w:szCs w:val="22"/>
        </w:rPr>
        <w:t>CAPÍTULO VIII</w:t>
      </w:r>
    </w:p>
    <w:p w14:paraId="352BC20A" w14:textId="77777777" w:rsidR="00996B51" w:rsidRPr="004E28E1" w:rsidRDefault="006D6A63">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4E28E1">
        <w:rPr>
          <w:rFonts w:ascii="Palatino Linotype" w:eastAsia="Palatino Linotype" w:hAnsi="Palatino Linotype" w:cs="Palatino Linotype"/>
          <w:b/>
          <w:i/>
          <w:sz w:val="22"/>
          <w:szCs w:val="22"/>
        </w:rPr>
        <w:t>DE LOS ELEMENTOS PARA LA CLASIFICACIÓN</w:t>
      </w:r>
    </w:p>
    <w:p w14:paraId="6ABFD618"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Quincuagésimo</w:t>
      </w:r>
      <w:r w:rsidRPr="004E28E1">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C85361A"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Quincuagésimo primero</w:t>
      </w:r>
      <w:r w:rsidRPr="004E28E1">
        <w:rPr>
          <w:rFonts w:ascii="Palatino Linotype" w:eastAsia="Palatino Linotype" w:hAnsi="Palatino Linotype" w:cs="Palatino Linotype"/>
          <w:i/>
          <w:sz w:val="22"/>
          <w:szCs w:val="22"/>
        </w:rPr>
        <w:t>. Toda acta del Comité de Transparencia deberá contener:</w:t>
      </w:r>
    </w:p>
    <w:p w14:paraId="7D79660C"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I. El número de sesión y fecha; </w:t>
      </w:r>
    </w:p>
    <w:p w14:paraId="354CDC10"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 El nombre del área que solicitó la clasificación de información;</w:t>
      </w:r>
    </w:p>
    <w:p w14:paraId="60A31579"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III. La fundamentación legal y motivación correspondiente;</w:t>
      </w:r>
    </w:p>
    <w:p w14:paraId="6B7B9D9E"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IV. La resolución o resoluciones aprobadas; y</w:t>
      </w:r>
    </w:p>
    <w:p w14:paraId="005AAE5D"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V. La rúbrica o firma digital de cada integrante del Comité de Transparencia. </w:t>
      </w:r>
    </w:p>
    <w:p w14:paraId="31DFD1EB"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284FDAF"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 Los motivos y razonamientos que sustenten la confirmación o modificación de la prueba de daño;</w:t>
      </w:r>
    </w:p>
    <w:p w14:paraId="73051E94"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 Descripción de las partes o secciones reservadas, en caso de clasificación parcial;</w:t>
      </w:r>
    </w:p>
    <w:p w14:paraId="26730549"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III. El periodo por el que mantendrá su clasificación y fecha de expiración; y</w:t>
      </w:r>
    </w:p>
    <w:p w14:paraId="259E7C31"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lastRenderedPageBreak/>
        <w:t>IV. El nombre del titular y área encargada de realizar la versión pública del documento, en su caso.</w:t>
      </w:r>
    </w:p>
    <w:p w14:paraId="4C0F1FE5"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B476197"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C77D00B"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b/>
          <w:i/>
          <w:sz w:val="22"/>
          <w:szCs w:val="22"/>
        </w:rPr>
        <w:t>Quincuagésimo segundo</w:t>
      </w:r>
      <w:r w:rsidRPr="004E28E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B752F4F"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9A4A02B"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BA193D9"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0B1B9FC"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III. Señalar las personas o instancias autorizadas a acceder a la información clasificada.</w:t>
      </w:r>
    </w:p>
    <w:p w14:paraId="7D38BD54"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4C435FB"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w:t>
      </w:r>
    </w:p>
    <w:p w14:paraId="76579866" w14:textId="77777777" w:rsidR="00996B51" w:rsidRPr="004E28E1" w:rsidRDefault="006D6A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97E866E" w14:textId="77777777" w:rsidR="00996B51" w:rsidRPr="004E28E1" w:rsidRDefault="006D6A63">
      <w:pPr>
        <w:pBdr>
          <w:top w:val="nil"/>
          <w:left w:val="nil"/>
          <w:bottom w:val="nil"/>
          <w:right w:val="nil"/>
          <w:between w:val="nil"/>
        </w:pBdr>
        <w:spacing w:after="160"/>
        <w:ind w:left="709" w:right="709"/>
        <w:jc w:val="both"/>
      </w:pPr>
      <w:r w:rsidRPr="004E28E1">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4E28E1">
        <w:rPr>
          <w:rFonts w:ascii="Palatino Linotype" w:eastAsia="Palatino Linotype" w:hAnsi="Palatino Linotype" w:cs="Palatino Linotype"/>
          <w:i/>
          <w:sz w:val="22"/>
          <w:szCs w:val="22"/>
        </w:rPr>
        <w:t>testado</w:t>
      </w:r>
      <w:proofErr w:type="spellEnd"/>
      <w:r w:rsidRPr="004E28E1">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4E28E1">
        <w:rPr>
          <w:rFonts w:ascii="Palatino Linotype" w:eastAsia="Palatino Linotype" w:hAnsi="Palatino Linotype" w:cs="Palatino Linotype"/>
          <w:i/>
          <w:sz w:val="22"/>
          <w:szCs w:val="22"/>
        </w:rPr>
        <w:lastRenderedPageBreak/>
        <w:t>Generales, los presentes Lineamientos y demás normativa aplicable antes de su confirmación por el Comité de Transparencia</w:t>
      </w:r>
      <w:r w:rsidRPr="004E28E1">
        <w:t>.</w:t>
      </w:r>
    </w:p>
    <w:p w14:paraId="25F7E9BA" w14:textId="77777777" w:rsidR="00996B51" w:rsidRPr="004E28E1" w:rsidRDefault="00996B51">
      <w:pPr>
        <w:jc w:val="both"/>
      </w:pPr>
    </w:p>
    <w:p w14:paraId="32CE4E27" w14:textId="77777777" w:rsidR="00996B51" w:rsidRPr="004E28E1" w:rsidRDefault="00996B51"/>
    <w:p w14:paraId="2F98EFE2"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937700B" w14:textId="77777777" w:rsidR="00996B51" w:rsidRPr="004E28E1" w:rsidRDefault="00996B51">
      <w:pPr>
        <w:spacing w:line="360" w:lineRule="auto"/>
        <w:jc w:val="both"/>
        <w:rPr>
          <w:rFonts w:ascii="Palatino Linotype" w:eastAsia="Palatino Linotype" w:hAnsi="Palatino Linotype" w:cs="Palatino Linotype"/>
        </w:rPr>
      </w:pPr>
    </w:p>
    <w:p w14:paraId="7ED21FA6" w14:textId="77777777" w:rsidR="00996B51" w:rsidRPr="004E28E1" w:rsidRDefault="006D6A63">
      <w:pPr>
        <w:shd w:val="clear" w:color="auto" w:fill="FFFFFF"/>
        <w:spacing w:line="360" w:lineRule="auto"/>
        <w:ind w:right="51"/>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w:t>
      </w:r>
    </w:p>
    <w:p w14:paraId="5E151259"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4E28E1">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w:t>
      </w:r>
      <w:r w:rsidRPr="004E28E1">
        <w:rPr>
          <w:rFonts w:ascii="Palatino Linotype" w:eastAsia="Palatino Linotype" w:hAnsi="Palatino Linotype" w:cs="Palatino Linotype"/>
        </w:rPr>
        <w:lastRenderedPageBreak/>
        <w:t xml:space="preserve">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4E28E1">
        <w:rPr>
          <w:rFonts w:ascii="Palatino Linotype" w:eastAsia="Palatino Linotype" w:hAnsi="Palatino Linotype" w:cs="Palatino Linotype"/>
          <w:b/>
        </w:rPr>
        <w:t>que desempeñen funciones operativas</w:t>
      </w:r>
      <w:r w:rsidRPr="004E28E1">
        <w:rPr>
          <w:rFonts w:ascii="Palatino Linotype" w:eastAsia="Palatino Linotype" w:hAnsi="Palatino Linotype" w:cs="Palatino Linotype"/>
        </w:rPr>
        <w:t>.</w:t>
      </w:r>
    </w:p>
    <w:p w14:paraId="696DC1A9"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2AB6EBA"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w:t>
      </w:r>
      <w:r w:rsidRPr="004E28E1">
        <w:rPr>
          <w:rFonts w:ascii="Palatino Linotype" w:eastAsia="Palatino Linotype" w:hAnsi="Palatino Linotype" w:cs="Palatino Linotype"/>
        </w:rPr>
        <w:lastRenderedPageBreak/>
        <w:t>delictivos y/o faltas administrativas; así como evitar que células delictivas neutralizar las acciones en materia de seguridad pública para la preservación del orden y la paz pública, por lo que, no se trata de una medida desproporcional, ni excesiva.</w:t>
      </w:r>
    </w:p>
    <w:p w14:paraId="75C3927C"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6AD792BC" w14:textId="77777777" w:rsidR="00996B51" w:rsidRPr="004E28E1" w:rsidRDefault="006D6A63">
      <w:pPr>
        <w:spacing w:before="120" w:after="12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6B252184" w14:textId="77777777" w:rsidR="00996B51" w:rsidRPr="004E28E1" w:rsidRDefault="006D6A63">
      <w:pPr>
        <w:tabs>
          <w:tab w:val="left" w:pos="4962"/>
        </w:tabs>
        <w:spacing w:before="120" w:after="120"/>
        <w:ind w:left="851" w:right="902"/>
        <w:jc w:val="both"/>
        <w:rPr>
          <w:rFonts w:ascii="Palatino Linotype" w:eastAsia="Palatino Linotype" w:hAnsi="Palatino Linotype" w:cs="Palatino Linotype"/>
          <w:i/>
        </w:rPr>
      </w:pPr>
      <w:r w:rsidRPr="004E28E1">
        <w:rPr>
          <w:rFonts w:ascii="Palatino Linotype" w:eastAsia="Palatino Linotype" w:hAnsi="Palatino Linotype" w:cs="Palatino Linotype"/>
          <w:b/>
          <w:i/>
        </w:rPr>
        <w:t>“Nombres de servidores públicos dedicados a actividades en materia de seguridad, por excepción pueden considerarse información reservada.</w:t>
      </w:r>
      <w:r w:rsidRPr="004E28E1">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4E28E1">
        <w:rPr>
          <w:rFonts w:ascii="Palatino Linotype" w:eastAsia="Palatino Linotype" w:hAnsi="Palatino Linotype" w:cs="Palatino Linotype"/>
          <w:i/>
        </w:rPr>
        <w:t>obstante</w:t>
      </w:r>
      <w:proofErr w:type="gramEnd"/>
      <w:r w:rsidRPr="004E28E1">
        <w:rPr>
          <w:rFonts w:ascii="Palatino Linotype" w:eastAsia="Palatino Linotype" w:hAnsi="Palatino Linotype" w:cs="Palatino Linotype"/>
          <w:i/>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w:t>
      </w:r>
      <w:r w:rsidRPr="004E28E1">
        <w:rPr>
          <w:rFonts w:ascii="Palatino Linotype" w:eastAsia="Palatino Linotype" w:hAnsi="Palatino Linotype" w:cs="Palatino Linotype"/>
          <w:i/>
        </w:rPr>
        <w:lastRenderedPageBreak/>
        <w:t>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A83C276" w14:textId="77777777"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4E28E1">
        <w:rPr>
          <w:rFonts w:ascii="Palatino Linotype" w:eastAsia="Palatino Linotype" w:hAnsi="Palatino Linotype" w:cs="Palatino Linotype"/>
          <w:b/>
        </w:rPr>
        <w:t>funciones de carácter operativo.</w:t>
      </w:r>
    </w:p>
    <w:p w14:paraId="7BC7E5EE" w14:textId="77777777" w:rsidR="00996B51" w:rsidRPr="004E28E1" w:rsidRDefault="006D6A63">
      <w:pPr>
        <w:spacing w:before="240" w:after="36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3ECCDD16" w14:textId="77777777" w:rsidR="00996B51" w:rsidRPr="004E28E1" w:rsidRDefault="006D6A63">
      <w:pPr>
        <w:spacing w:before="120" w:after="120"/>
        <w:ind w:left="851" w:right="760"/>
        <w:jc w:val="both"/>
        <w:rPr>
          <w:rFonts w:ascii="Palatino Linotype" w:eastAsia="Palatino Linotype" w:hAnsi="Palatino Linotype" w:cs="Palatino Linotype"/>
          <w:b/>
          <w:i/>
        </w:rPr>
      </w:pPr>
      <w:r w:rsidRPr="004E28E1">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4E28E1">
        <w:rPr>
          <w:rFonts w:ascii="Palatino Linotype" w:eastAsia="Palatino Linotype" w:hAnsi="Palatino Linotype" w:cs="Palatino Linotype"/>
          <w:i/>
        </w:rPr>
        <w:t xml:space="preserve">El derecho a la información consagrado en </w:t>
      </w:r>
      <w:r w:rsidRPr="004E28E1">
        <w:rPr>
          <w:rFonts w:ascii="Palatino Linotype" w:eastAsia="Palatino Linotype" w:hAnsi="Palatino Linotype" w:cs="Palatino Linotype"/>
          <w:i/>
        </w:rPr>
        <w:lastRenderedPageBreak/>
        <w:t xml:space="preserve">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E28E1">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4E28E1">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4E28E1">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4E28E1">
        <w:rPr>
          <w:rFonts w:ascii="Palatino Linotype" w:eastAsia="Palatino Linotype" w:hAnsi="Palatino Linotype" w:cs="Palatino Linotype"/>
          <w:i/>
        </w:rPr>
        <w:t>”</w:t>
      </w:r>
    </w:p>
    <w:p w14:paraId="544A781F" w14:textId="77777777" w:rsidR="00996B51" w:rsidRPr="004E28E1" w:rsidRDefault="006D6A63">
      <w:pPr>
        <w:spacing w:before="120" w:after="120"/>
        <w:ind w:left="851" w:right="760"/>
        <w:jc w:val="both"/>
        <w:rPr>
          <w:rFonts w:ascii="Palatino Linotype" w:eastAsia="Palatino Linotype" w:hAnsi="Palatino Linotype" w:cs="Palatino Linotype"/>
          <w:i/>
        </w:rPr>
      </w:pPr>
      <w:r w:rsidRPr="004E28E1">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4E28E1">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w:t>
      </w:r>
      <w:r w:rsidRPr="004E28E1">
        <w:rPr>
          <w:rFonts w:ascii="Palatino Linotype" w:eastAsia="Palatino Linotype" w:hAnsi="Palatino Linotype" w:cs="Palatino Linotype"/>
          <w:i/>
        </w:rPr>
        <w:lastRenderedPageBreak/>
        <w:t xml:space="preserve">Constitución Política de los Estados Unidos Mexicanos, porque es jurídicamente adecuado que en las leyes reguladoras de cada materia, </w:t>
      </w:r>
      <w:r w:rsidRPr="004E28E1">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E28E1">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47EF2304" w14:textId="77777777" w:rsidR="00996B51" w:rsidRPr="004E28E1" w:rsidRDefault="006D6A63">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b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C1F1D8E" w14:textId="77777777" w:rsidR="00996B51" w:rsidRPr="004E28E1" w:rsidRDefault="006D6A63">
      <w:pPr>
        <w:widowControl w:val="0"/>
        <w:spacing w:line="360" w:lineRule="auto"/>
        <w:jc w:val="center"/>
        <w:rPr>
          <w:rFonts w:ascii="Palatino Linotype" w:eastAsia="Palatino Linotype" w:hAnsi="Palatino Linotype" w:cs="Palatino Linotype"/>
          <w:b/>
        </w:rPr>
      </w:pPr>
      <w:r w:rsidRPr="004E28E1">
        <w:rPr>
          <w:rFonts w:ascii="Palatino Linotype" w:eastAsia="Palatino Linotype" w:hAnsi="Palatino Linotype" w:cs="Palatino Linotype"/>
          <w:b/>
        </w:rPr>
        <w:t>III. R E S U E L V E:</w:t>
      </w:r>
    </w:p>
    <w:p w14:paraId="0E3D763E" w14:textId="77777777" w:rsidR="00EC7F9C" w:rsidRDefault="00EC7F9C">
      <w:pPr>
        <w:spacing w:line="360" w:lineRule="auto"/>
        <w:jc w:val="both"/>
        <w:rPr>
          <w:rFonts w:ascii="Palatino Linotype" w:eastAsia="Palatino Linotype" w:hAnsi="Palatino Linotype" w:cs="Palatino Linotype"/>
          <w:b/>
        </w:rPr>
      </w:pPr>
    </w:p>
    <w:p w14:paraId="10BDA6E8" w14:textId="3EE5BAD6"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PRIMERO. </w:t>
      </w:r>
      <w:r w:rsidRPr="004E28E1">
        <w:rPr>
          <w:rFonts w:ascii="Palatino Linotype" w:eastAsia="Palatino Linotype" w:hAnsi="Palatino Linotype" w:cs="Palatino Linotype"/>
        </w:rPr>
        <w:t>Se</w:t>
      </w:r>
      <w:r w:rsidRPr="004E28E1">
        <w:t xml:space="preserve"> </w:t>
      </w:r>
      <w:r w:rsidRPr="004E28E1">
        <w:rPr>
          <w:rFonts w:ascii="Palatino Linotype" w:eastAsia="Palatino Linotype" w:hAnsi="Palatino Linotype" w:cs="Palatino Linotype"/>
          <w:b/>
        </w:rPr>
        <w:t xml:space="preserve">MODIFICA </w:t>
      </w:r>
      <w:r w:rsidRPr="004E28E1">
        <w:rPr>
          <w:rFonts w:ascii="Palatino Linotype" w:eastAsia="Palatino Linotype" w:hAnsi="Palatino Linotype" w:cs="Palatino Linotype"/>
        </w:rPr>
        <w:t xml:space="preserve">la respuesta entregada por </w:t>
      </w:r>
      <w:r w:rsidRPr="004E28E1">
        <w:rPr>
          <w:rFonts w:ascii="Palatino Linotype" w:eastAsia="Palatino Linotype" w:hAnsi="Palatino Linotype" w:cs="Palatino Linotype"/>
          <w:b/>
        </w:rPr>
        <w:t xml:space="preserve">EL SUJETO OBLIGADO </w:t>
      </w:r>
      <w:r w:rsidRPr="004E28E1">
        <w:rPr>
          <w:rFonts w:ascii="Palatino Linotype" w:eastAsia="Palatino Linotype" w:hAnsi="Palatino Linotype" w:cs="Palatino Linotype"/>
        </w:rPr>
        <w:t xml:space="preserve">a la solicitud de información </w:t>
      </w:r>
      <w:r w:rsidRPr="004E28E1">
        <w:rPr>
          <w:rFonts w:ascii="Palatino Linotype" w:eastAsia="Palatino Linotype" w:hAnsi="Palatino Linotype" w:cs="Palatino Linotype"/>
          <w:b/>
        </w:rPr>
        <w:t xml:space="preserve">00325/TLALNEPA/IP/2024, </w:t>
      </w:r>
      <w:r w:rsidRPr="004E28E1">
        <w:rPr>
          <w:rFonts w:ascii="Palatino Linotype" w:eastAsia="Palatino Linotype" w:hAnsi="Palatino Linotype" w:cs="Palatino Linotype"/>
        </w:rPr>
        <w:t xml:space="preserve">por resultar fundadas las razones o motivos de inconformidad hechos valer por </w:t>
      </w:r>
      <w:r w:rsidRPr="004E28E1">
        <w:rPr>
          <w:rFonts w:ascii="Palatino Linotype" w:eastAsia="Palatino Linotype" w:hAnsi="Palatino Linotype" w:cs="Palatino Linotype"/>
          <w:b/>
        </w:rPr>
        <w:t xml:space="preserve">EL RECURRENTE, </w:t>
      </w:r>
      <w:r w:rsidRPr="004E28E1">
        <w:rPr>
          <w:rFonts w:ascii="Palatino Linotype" w:eastAsia="Palatino Linotype" w:hAnsi="Palatino Linotype" w:cs="Palatino Linotype"/>
        </w:rPr>
        <w:t xml:space="preserve">en el recurso de revisión </w:t>
      </w:r>
      <w:r w:rsidRPr="004E28E1">
        <w:rPr>
          <w:rFonts w:ascii="Palatino Linotype" w:eastAsia="Palatino Linotype" w:hAnsi="Palatino Linotype" w:cs="Palatino Linotype"/>
          <w:b/>
        </w:rPr>
        <w:t>02224/INFOEM/IP/RR/2024,</w:t>
      </w:r>
      <w:r w:rsidRPr="004E28E1">
        <w:rPr>
          <w:rFonts w:ascii="Palatino Linotype" w:eastAsia="Palatino Linotype" w:hAnsi="Palatino Linotype" w:cs="Palatino Linotype"/>
        </w:rPr>
        <w:t xml:space="preserve"> en términos del considerando </w:t>
      </w:r>
      <w:r w:rsidRPr="004E28E1">
        <w:rPr>
          <w:rFonts w:ascii="Palatino Linotype" w:eastAsia="Palatino Linotype" w:hAnsi="Palatino Linotype" w:cs="Palatino Linotype"/>
          <w:b/>
        </w:rPr>
        <w:t>Cuarto</w:t>
      </w:r>
      <w:r w:rsidRPr="004E28E1">
        <w:rPr>
          <w:rFonts w:ascii="Palatino Linotype" w:eastAsia="Palatino Linotype" w:hAnsi="Palatino Linotype" w:cs="Palatino Linotype"/>
        </w:rPr>
        <w:t xml:space="preserve"> de la presente Resolución.</w:t>
      </w:r>
    </w:p>
    <w:p w14:paraId="56B8CF59" w14:textId="77777777" w:rsidR="00996B51" w:rsidRPr="004E28E1" w:rsidRDefault="00996B51">
      <w:pPr>
        <w:spacing w:line="360" w:lineRule="auto"/>
        <w:jc w:val="both"/>
        <w:rPr>
          <w:rFonts w:ascii="Palatino Linotype" w:eastAsia="Palatino Linotype" w:hAnsi="Palatino Linotype" w:cs="Palatino Linotype"/>
        </w:rPr>
      </w:pPr>
    </w:p>
    <w:p w14:paraId="0AF76499"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lastRenderedPageBreak/>
        <w:t xml:space="preserve">SEGUNDO. </w:t>
      </w:r>
      <w:r w:rsidRPr="004E28E1">
        <w:rPr>
          <w:rFonts w:ascii="Palatino Linotype" w:eastAsia="Palatino Linotype" w:hAnsi="Palatino Linotype" w:cs="Palatino Linotype"/>
        </w:rPr>
        <w:t>Se</w:t>
      </w:r>
      <w:r w:rsidRPr="004E28E1">
        <w:rPr>
          <w:rFonts w:ascii="Palatino Linotype" w:eastAsia="Palatino Linotype" w:hAnsi="Palatino Linotype" w:cs="Palatino Linotype"/>
          <w:b/>
        </w:rPr>
        <w:t xml:space="preserve"> ORDENA </w:t>
      </w:r>
      <w:r w:rsidRPr="004E28E1">
        <w:rPr>
          <w:rFonts w:ascii="Palatino Linotype" w:eastAsia="Palatino Linotype" w:hAnsi="Palatino Linotype" w:cs="Palatino Linotype"/>
        </w:rPr>
        <w:t xml:space="preserve">al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xml:space="preserve"> a que,</w:t>
      </w:r>
      <w:r w:rsidRPr="004E28E1">
        <w:rPr>
          <w:rFonts w:ascii="Palatino Linotype" w:eastAsia="Palatino Linotype" w:hAnsi="Palatino Linotype" w:cs="Palatino Linotype"/>
          <w:b/>
        </w:rPr>
        <w:t xml:space="preserve"> </w:t>
      </w:r>
      <w:r w:rsidRPr="004E28E1">
        <w:rPr>
          <w:rFonts w:ascii="Palatino Linotype" w:eastAsia="Palatino Linotype" w:hAnsi="Palatino Linotype" w:cs="Palatino Linotype"/>
        </w:rPr>
        <w:t xml:space="preserve">en términos del Considerando Cuarto y Quinto, haga entrega a la parte </w:t>
      </w:r>
      <w:r w:rsidRPr="004E28E1">
        <w:rPr>
          <w:rFonts w:ascii="Palatino Linotype" w:eastAsia="Palatino Linotype" w:hAnsi="Palatino Linotype" w:cs="Palatino Linotype"/>
          <w:b/>
        </w:rPr>
        <w:t>RECURRENTE</w:t>
      </w:r>
      <w:r w:rsidRPr="004E28E1">
        <w:rPr>
          <w:rFonts w:ascii="Palatino Linotype" w:eastAsia="Palatino Linotype" w:hAnsi="Palatino Linotype" w:cs="Palatino Linotype"/>
        </w:rPr>
        <w:t>,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en versión pública, de lo siguiente:</w:t>
      </w:r>
    </w:p>
    <w:p w14:paraId="4FDAFE33" w14:textId="77777777" w:rsidR="00996B51" w:rsidRPr="004E28E1" w:rsidRDefault="00996B51">
      <w:pPr>
        <w:spacing w:line="360" w:lineRule="auto"/>
        <w:jc w:val="both"/>
        <w:rPr>
          <w:rFonts w:ascii="Palatino Linotype" w:eastAsia="Palatino Linotype" w:hAnsi="Palatino Linotype" w:cs="Palatino Linotype"/>
        </w:rPr>
      </w:pPr>
    </w:p>
    <w:p w14:paraId="1F56C258" w14:textId="77777777" w:rsidR="00996B51" w:rsidRPr="004E28E1" w:rsidRDefault="006D6A6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Expedientes laborales de todos los servidores públicos del Municipio Tlalnepantla de Baz, en funciones al primero de abril del año 2024.</w:t>
      </w:r>
    </w:p>
    <w:p w14:paraId="5E6A7F4F" w14:textId="77777777" w:rsidR="00996B51" w:rsidRPr="004E28E1" w:rsidRDefault="00996B51">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36A2F5A2" w14:textId="77777777" w:rsidR="00996B51" w:rsidRPr="004E28E1" w:rsidRDefault="006D6A63">
      <w:pPr>
        <w:pBdr>
          <w:top w:val="nil"/>
          <w:left w:val="nil"/>
          <w:bottom w:val="nil"/>
          <w:right w:val="nil"/>
          <w:between w:val="nil"/>
        </w:pBdr>
        <w:spacing w:line="276" w:lineRule="auto"/>
        <w:ind w:left="720" w:right="4"/>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la parte </w:t>
      </w:r>
      <w:r w:rsidRPr="004E28E1">
        <w:rPr>
          <w:rFonts w:ascii="Palatino Linotype" w:eastAsia="Palatino Linotype" w:hAnsi="Palatino Linotype" w:cs="Palatino Linotype"/>
          <w:b/>
          <w:i/>
          <w:sz w:val="22"/>
          <w:szCs w:val="22"/>
        </w:rPr>
        <w:t>Recurrente</w:t>
      </w:r>
      <w:r w:rsidRPr="004E28E1">
        <w:rPr>
          <w:rFonts w:ascii="Palatino Linotype" w:eastAsia="Palatino Linotype" w:hAnsi="Palatino Linotype" w:cs="Palatino Linotype"/>
          <w:i/>
          <w:sz w:val="22"/>
          <w:szCs w:val="22"/>
        </w:rPr>
        <w:t xml:space="preserve"> proporcione el dispositivo electrónico y acuda por la información a la Unidad de Transparencia, la entrega de la información, será sin costo.</w:t>
      </w:r>
    </w:p>
    <w:p w14:paraId="24B60BF7" w14:textId="77777777" w:rsidR="00996B51" w:rsidRPr="004E28E1" w:rsidRDefault="00996B51">
      <w:pPr>
        <w:pBdr>
          <w:top w:val="nil"/>
          <w:left w:val="nil"/>
          <w:bottom w:val="nil"/>
          <w:right w:val="nil"/>
          <w:between w:val="nil"/>
        </w:pBdr>
        <w:tabs>
          <w:tab w:val="left" w:pos="851"/>
        </w:tabs>
        <w:ind w:left="709"/>
        <w:jc w:val="both"/>
        <w:rPr>
          <w:rFonts w:ascii="Palatino Linotype" w:eastAsia="Palatino Linotype" w:hAnsi="Palatino Linotype" w:cs="Palatino Linotype"/>
          <w:i/>
        </w:rPr>
      </w:pPr>
    </w:p>
    <w:p w14:paraId="76F5BA79" w14:textId="77777777" w:rsidR="00996B51" w:rsidRPr="004E28E1" w:rsidRDefault="006D6A63">
      <w:pPr>
        <w:pBdr>
          <w:top w:val="nil"/>
          <w:left w:val="nil"/>
          <w:bottom w:val="nil"/>
          <w:right w:val="nil"/>
          <w:between w:val="nil"/>
        </w:pBdr>
        <w:tabs>
          <w:tab w:val="left" w:pos="851"/>
        </w:tabs>
        <w:spacing w:after="240"/>
        <w:ind w:left="720"/>
        <w:jc w:val="both"/>
        <w:rPr>
          <w:rFonts w:ascii="Palatino Linotype" w:eastAsia="Palatino Linotype" w:hAnsi="Palatino Linotype" w:cs="Palatino Linotype"/>
          <w:i/>
          <w:sz w:val="22"/>
          <w:szCs w:val="22"/>
        </w:rPr>
      </w:pPr>
      <w:r w:rsidRPr="004E28E1">
        <w:rPr>
          <w:rFonts w:ascii="Palatino Linotype" w:eastAsia="Palatino Linotype" w:hAnsi="Palatino Linotype" w:cs="Palatino Linotype"/>
          <w:i/>
          <w:sz w:val="22"/>
          <w:szCs w:val="22"/>
        </w:rPr>
        <w:t xml:space="preserve">Para la entrega de la versión pública,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de los que se clasifiquen en su totalidad precisados en el considerando cuarto; el que se deberá poner a disposición del </w:t>
      </w:r>
      <w:r w:rsidRPr="004E28E1">
        <w:rPr>
          <w:rFonts w:ascii="Palatino Linotype" w:eastAsia="Palatino Linotype" w:hAnsi="Palatino Linotype" w:cs="Palatino Linotype"/>
          <w:b/>
          <w:i/>
          <w:sz w:val="22"/>
          <w:szCs w:val="22"/>
        </w:rPr>
        <w:t>RECURRENTE</w:t>
      </w:r>
      <w:r w:rsidRPr="004E28E1">
        <w:rPr>
          <w:rFonts w:ascii="Palatino Linotype" w:eastAsia="Palatino Linotype" w:hAnsi="Palatino Linotype" w:cs="Palatino Linotype"/>
          <w:i/>
          <w:sz w:val="22"/>
          <w:szCs w:val="22"/>
        </w:rPr>
        <w:t>, mismo que igualmente hará de su conocimiento.</w:t>
      </w:r>
    </w:p>
    <w:p w14:paraId="4BFFB98E" w14:textId="77777777" w:rsidR="00996B51" w:rsidRPr="004E28E1" w:rsidRDefault="00996B51">
      <w:pPr>
        <w:pBdr>
          <w:top w:val="nil"/>
          <w:left w:val="nil"/>
          <w:bottom w:val="nil"/>
          <w:right w:val="nil"/>
          <w:between w:val="nil"/>
        </w:pBdr>
        <w:spacing w:line="276" w:lineRule="auto"/>
        <w:ind w:left="567" w:right="49"/>
        <w:jc w:val="both"/>
        <w:rPr>
          <w:rFonts w:ascii="Palatino Linotype" w:eastAsia="Palatino Linotype" w:hAnsi="Palatino Linotype" w:cs="Palatino Linotype"/>
          <w:i/>
        </w:rPr>
      </w:pPr>
    </w:p>
    <w:p w14:paraId="2C7E5155" w14:textId="77777777" w:rsidR="00996B51" w:rsidRPr="004E28E1" w:rsidRDefault="006D6A63">
      <w:pPr>
        <w:spacing w:line="360" w:lineRule="auto"/>
        <w:ind w:right="-93"/>
        <w:jc w:val="both"/>
        <w:rPr>
          <w:rFonts w:ascii="Palatino Linotype" w:eastAsia="Palatino Linotype" w:hAnsi="Palatino Linotype" w:cs="Palatino Linotype"/>
        </w:rPr>
      </w:pPr>
      <w:r w:rsidRPr="004E28E1">
        <w:rPr>
          <w:rFonts w:ascii="Palatino Linotype" w:eastAsia="Palatino Linotype" w:hAnsi="Palatino Linotype" w:cs="Palatino Linotype"/>
          <w:b/>
        </w:rPr>
        <w:lastRenderedPageBreak/>
        <w:t xml:space="preserve">TERCERO. Notifíquese, </w:t>
      </w:r>
      <w:r w:rsidRPr="004E28E1">
        <w:rPr>
          <w:rFonts w:ascii="Palatino Linotype" w:eastAsia="Palatino Linotype" w:hAnsi="Palatino Linotype" w:cs="Palatino Linotype"/>
        </w:rPr>
        <w:t xml:space="preserve">vía </w:t>
      </w:r>
      <w:r w:rsidRPr="004E28E1">
        <w:rPr>
          <w:rFonts w:ascii="Palatino Linotype" w:eastAsia="Palatino Linotype" w:hAnsi="Palatino Linotype" w:cs="Palatino Linotype"/>
          <w:b/>
        </w:rPr>
        <w:t xml:space="preserve">SAIMEX, </w:t>
      </w:r>
      <w:r w:rsidRPr="004E28E1">
        <w:rPr>
          <w:rFonts w:ascii="Palatino Linotype" w:eastAsia="Palatino Linotype" w:hAnsi="Palatino Linotype" w:cs="Palatino Linotype"/>
        </w:rPr>
        <w:t>la presente resolución al T</w:t>
      </w:r>
      <w:r w:rsidRPr="004E28E1">
        <w:rPr>
          <w:rFonts w:ascii="Palatino Linotype" w:eastAsia="Palatino Linotype" w:hAnsi="Palatino Linotype" w:cs="Palatino Linotype"/>
          <w:b/>
        </w:rPr>
        <w:t xml:space="preserve">itular de la Unidad de Transparencia </w:t>
      </w:r>
      <w:r w:rsidRPr="004E28E1">
        <w:rPr>
          <w:rFonts w:ascii="Palatino Linotype" w:eastAsia="Palatino Linotype" w:hAnsi="Palatino Linotype" w:cs="Palatino Linotype"/>
        </w:rPr>
        <w:t xml:space="preserve">del </w:t>
      </w:r>
      <w:r w:rsidRPr="004E28E1">
        <w:rPr>
          <w:rFonts w:ascii="Palatino Linotype" w:eastAsia="Palatino Linotype" w:hAnsi="Palatino Linotype" w:cs="Palatino Linotype"/>
          <w:b/>
        </w:rPr>
        <w:t>SUJETO OBLIGADO</w:t>
      </w:r>
      <w:r w:rsidRPr="004E28E1">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502EE11" w14:textId="77777777" w:rsidR="00996B51" w:rsidRPr="004E28E1" w:rsidRDefault="00996B51">
      <w:pPr>
        <w:spacing w:line="360" w:lineRule="auto"/>
        <w:ind w:right="-93"/>
        <w:jc w:val="both"/>
        <w:rPr>
          <w:rFonts w:ascii="Palatino Linotype" w:eastAsia="Palatino Linotype" w:hAnsi="Palatino Linotype" w:cs="Palatino Linotype"/>
        </w:rPr>
      </w:pPr>
    </w:p>
    <w:p w14:paraId="5C73C0E4" w14:textId="77777777" w:rsidR="00996B51" w:rsidRPr="004E28E1" w:rsidRDefault="006D6A63">
      <w:pPr>
        <w:spacing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b/>
        </w:rPr>
        <w:t xml:space="preserve">CUARTO. </w:t>
      </w:r>
      <w:r w:rsidRPr="004E28E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4E28E1">
        <w:rPr>
          <w:rFonts w:ascii="Palatino Linotype" w:eastAsia="Palatino Linotype" w:hAnsi="Palatino Linotype" w:cs="Palatino Linotype"/>
          <w:b/>
        </w:rPr>
        <w:t>EL SUJETO OBLIGADO</w:t>
      </w:r>
      <w:r w:rsidRPr="004E28E1">
        <w:rPr>
          <w:rFonts w:ascii="Palatino Linotype" w:eastAsia="Palatino Linotype" w:hAnsi="Palatino Linotype" w:cs="Palatino Linotype"/>
        </w:rPr>
        <w:t xml:space="preserve"> de manera fundada y motivada, podrá solicitar una ampliación de plazo para el cumplimiento de la presente resolución.</w:t>
      </w:r>
    </w:p>
    <w:p w14:paraId="5FBBC5F0" w14:textId="77777777" w:rsidR="00996B51" w:rsidRPr="004E28E1" w:rsidRDefault="00996B51">
      <w:pPr>
        <w:spacing w:line="360" w:lineRule="auto"/>
        <w:jc w:val="both"/>
        <w:rPr>
          <w:rFonts w:ascii="Palatino Linotype" w:eastAsia="Palatino Linotype" w:hAnsi="Palatino Linotype" w:cs="Palatino Linotype"/>
        </w:rPr>
      </w:pPr>
    </w:p>
    <w:p w14:paraId="41A58398" w14:textId="77777777" w:rsidR="00996B51" w:rsidRPr="004E28E1" w:rsidRDefault="006D6A63">
      <w:pPr>
        <w:tabs>
          <w:tab w:val="left" w:pos="142"/>
        </w:tabs>
        <w:spacing w:line="360" w:lineRule="auto"/>
        <w:jc w:val="both"/>
        <w:rPr>
          <w:rFonts w:ascii="Palatino Linotype" w:eastAsia="Palatino Linotype" w:hAnsi="Palatino Linotype" w:cs="Palatino Linotype"/>
          <w:b/>
        </w:rPr>
      </w:pPr>
      <w:bookmarkStart w:id="3" w:name="_heading=h.2et92p0" w:colFirst="0" w:colLast="0"/>
      <w:bookmarkEnd w:id="3"/>
      <w:r w:rsidRPr="004E28E1">
        <w:rPr>
          <w:rFonts w:ascii="Palatino Linotype" w:eastAsia="Palatino Linotype" w:hAnsi="Palatino Linotype" w:cs="Palatino Linotype"/>
          <w:b/>
        </w:rPr>
        <w:t>QUINTO</w:t>
      </w:r>
      <w:r w:rsidRPr="004E28E1">
        <w:rPr>
          <w:rFonts w:ascii="Palatino Linotype" w:eastAsia="Palatino Linotype" w:hAnsi="Palatino Linotype" w:cs="Palatino Linotype"/>
          <w:b/>
          <w:sz w:val="28"/>
          <w:szCs w:val="28"/>
        </w:rPr>
        <w:t xml:space="preserve">. </w:t>
      </w:r>
      <w:r w:rsidRPr="004E28E1">
        <w:rPr>
          <w:rFonts w:ascii="Palatino Linotype" w:eastAsia="Palatino Linotype" w:hAnsi="Palatino Linotype" w:cs="Palatino Linotype"/>
          <w:b/>
        </w:rPr>
        <w:t xml:space="preserve">Notifíquese, </w:t>
      </w:r>
      <w:r w:rsidRPr="004E28E1">
        <w:rPr>
          <w:rFonts w:ascii="Palatino Linotype" w:eastAsia="Palatino Linotype" w:hAnsi="Palatino Linotype" w:cs="Palatino Linotype"/>
        </w:rPr>
        <w:t xml:space="preserve">vía </w:t>
      </w:r>
      <w:r w:rsidRPr="004E28E1">
        <w:rPr>
          <w:rFonts w:ascii="Palatino Linotype" w:eastAsia="Palatino Linotype" w:hAnsi="Palatino Linotype" w:cs="Palatino Linotype"/>
          <w:b/>
        </w:rPr>
        <w:t>SAIMEX</w:t>
      </w:r>
      <w:r w:rsidRPr="004E28E1">
        <w:rPr>
          <w:rFonts w:ascii="Palatino Linotype" w:eastAsia="Palatino Linotype" w:hAnsi="Palatino Linotype" w:cs="Palatino Linotype"/>
        </w:rPr>
        <w:t xml:space="preserve">, a </w:t>
      </w:r>
      <w:r w:rsidRPr="004E28E1">
        <w:rPr>
          <w:rFonts w:ascii="Palatino Linotype" w:eastAsia="Palatino Linotype" w:hAnsi="Palatino Linotype" w:cs="Palatino Linotype"/>
          <w:b/>
        </w:rPr>
        <w:t>la parte Recurrente</w:t>
      </w:r>
      <w:r w:rsidRPr="004E28E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r w:rsidRPr="004E28E1">
        <w:rPr>
          <w:rFonts w:ascii="Palatino Linotype" w:eastAsia="Palatino Linotype" w:hAnsi="Palatino Linotype" w:cs="Palatino Linotype"/>
          <w:b/>
        </w:rPr>
        <w:t>.</w:t>
      </w:r>
    </w:p>
    <w:p w14:paraId="4E099E94" w14:textId="77777777" w:rsidR="00EC7F9C" w:rsidRDefault="00EC7F9C">
      <w:pPr>
        <w:spacing w:before="240" w:after="240" w:line="360" w:lineRule="auto"/>
        <w:jc w:val="both"/>
        <w:rPr>
          <w:rFonts w:ascii="Palatino Linotype" w:eastAsia="Palatino Linotype" w:hAnsi="Palatino Linotype" w:cs="Palatino Linotype"/>
        </w:rPr>
      </w:pPr>
      <w:bookmarkStart w:id="4" w:name="_heading=h.1fob9te" w:colFirst="0" w:colLast="0"/>
      <w:bookmarkEnd w:id="4"/>
    </w:p>
    <w:p w14:paraId="05B63E48" w14:textId="1760A622" w:rsidR="00996B51" w:rsidRPr="004E28E1" w:rsidRDefault="006D6A63">
      <w:pPr>
        <w:spacing w:before="240" w:after="240" w:line="360" w:lineRule="auto"/>
        <w:jc w:val="both"/>
        <w:rPr>
          <w:rFonts w:ascii="Palatino Linotype" w:eastAsia="Palatino Linotype" w:hAnsi="Palatino Linotype" w:cs="Palatino Linotype"/>
        </w:rPr>
      </w:pPr>
      <w:r w:rsidRPr="004E28E1">
        <w:rPr>
          <w:rFonts w:ascii="Palatino Linotype" w:eastAsia="Palatino Linotype" w:hAnsi="Palatino Linotype" w:cs="Palatino Linotype"/>
        </w:rPr>
        <w:t xml:space="preserve">ASÍ LO RESUELVE, POR UNANIMIDAD DE VOTOS, EL PLENO DEL INSTITUTO DE TRANSPARENCIA, ACCESO A LA INFORMACIÓN PÚBLICA Y </w:t>
      </w:r>
      <w:r w:rsidRPr="004E28E1">
        <w:rPr>
          <w:rFonts w:ascii="Palatino Linotype" w:eastAsia="Palatino Linotype" w:hAnsi="Palatino Linotype" w:cs="Palatino Linotype"/>
        </w:rPr>
        <w:lastRenderedPageBreak/>
        <w:t>PROTECCIÓN DE DATOS PERSONALES DEL ESTADO DE MÉXICO Y MUNICIPIOS, CONFORMADO POR LOS COMISIONADOS JOSÉ MARTÍNEZ VILCHIS, MARÍA DEL ROSARIO MEJÍA AYALA</w:t>
      </w:r>
      <w:r w:rsidR="00244F2D" w:rsidRPr="004E28E1">
        <w:rPr>
          <w:rFonts w:ascii="Palatino Linotype" w:eastAsia="Palatino Linotype" w:hAnsi="Palatino Linotype" w:cs="Palatino Linotype"/>
        </w:rPr>
        <w:t xml:space="preserve"> </w:t>
      </w:r>
      <w:r w:rsidR="00EC7F9C">
        <w:rPr>
          <w:rFonts w:ascii="Palatino Linotype" w:eastAsia="Palatino Linotype" w:hAnsi="Palatino Linotype" w:cs="Palatino Linotype"/>
        </w:rPr>
        <w:t>(</w:t>
      </w:r>
      <w:r w:rsidR="00244F2D" w:rsidRPr="004E28E1">
        <w:rPr>
          <w:rFonts w:ascii="Palatino Linotype" w:eastAsia="Palatino Linotype" w:hAnsi="Palatino Linotype" w:cs="Palatino Linotype"/>
        </w:rPr>
        <w:t>EMITIENDO VOTO PARTICULAR</w:t>
      </w:r>
      <w:r w:rsidR="00EC7F9C">
        <w:rPr>
          <w:rFonts w:ascii="Palatino Linotype" w:eastAsia="Palatino Linotype" w:hAnsi="Palatino Linotype" w:cs="Palatino Linotype"/>
        </w:rPr>
        <w:t>)</w:t>
      </w:r>
      <w:r w:rsidR="00244F2D" w:rsidRPr="004E28E1">
        <w:rPr>
          <w:rFonts w:ascii="Palatino Linotype" w:eastAsia="Palatino Linotype" w:hAnsi="Palatino Linotype" w:cs="Palatino Linotype"/>
        </w:rPr>
        <w:t xml:space="preserve">, SHARON CRISTINA MORALES MARTÍNEZ </w:t>
      </w:r>
      <w:r w:rsidR="00EC7F9C">
        <w:rPr>
          <w:rFonts w:ascii="Palatino Linotype" w:eastAsia="Palatino Linotype" w:hAnsi="Palatino Linotype" w:cs="Palatino Linotype"/>
        </w:rPr>
        <w:t>(</w:t>
      </w:r>
      <w:r w:rsidR="00244F2D" w:rsidRPr="004E28E1">
        <w:rPr>
          <w:rFonts w:ascii="Palatino Linotype" w:eastAsia="Palatino Linotype" w:hAnsi="Palatino Linotype" w:cs="Palatino Linotype"/>
        </w:rPr>
        <w:t>EMITIENDO VOTO PARTICULAR CONCURRENTE</w:t>
      </w:r>
      <w:r w:rsidR="00EC7F9C">
        <w:rPr>
          <w:rFonts w:ascii="Palatino Linotype" w:eastAsia="Palatino Linotype" w:hAnsi="Palatino Linotype" w:cs="Palatino Linotype"/>
        </w:rPr>
        <w:t>)</w:t>
      </w:r>
      <w:r w:rsidR="00244F2D" w:rsidRPr="004E28E1">
        <w:rPr>
          <w:rFonts w:ascii="Palatino Linotype" w:eastAsia="Palatino Linotype" w:hAnsi="Palatino Linotype" w:cs="Palatino Linotype"/>
        </w:rPr>
        <w:t xml:space="preserve">, LUIS GUSTAVO PARRA NORIEGA </w:t>
      </w:r>
      <w:r w:rsidR="00EC7F9C">
        <w:rPr>
          <w:rFonts w:ascii="Palatino Linotype" w:eastAsia="Palatino Linotype" w:hAnsi="Palatino Linotype" w:cs="Palatino Linotype"/>
        </w:rPr>
        <w:t>(</w:t>
      </w:r>
      <w:r w:rsidR="00244F2D" w:rsidRPr="004E28E1">
        <w:rPr>
          <w:rFonts w:ascii="Palatino Linotype" w:eastAsia="Palatino Linotype" w:hAnsi="Palatino Linotype" w:cs="Palatino Linotype"/>
        </w:rPr>
        <w:t>EMITIENDO VOTO PARTICULAR</w:t>
      </w:r>
      <w:r w:rsidR="00EC7F9C">
        <w:rPr>
          <w:rFonts w:ascii="Palatino Linotype" w:eastAsia="Palatino Linotype" w:hAnsi="Palatino Linotype" w:cs="Palatino Linotype"/>
        </w:rPr>
        <w:t>)</w:t>
      </w:r>
      <w:r w:rsidR="00244F2D" w:rsidRPr="004E28E1">
        <w:rPr>
          <w:rFonts w:ascii="Palatino Linotype" w:eastAsia="Palatino Linotype" w:hAnsi="Palatino Linotype" w:cs="Palatino Linotype"/>
        </w:rPr>
        <w:t xml:space="preserve"> Y GUADALUPE RAMÍREZ PEÑA </w:t>
      </w:r>
      <w:r w:rsidR="00EC7F9C">
        <w:rPr>
          <w:rFonts w:ascii="Palatino Linotype" w:eastAsia="Palatino Linotype" w:hAnsi="Palatino Linotype" w:cs="Palatino Linotype"/>
        </w:rPr>
        <w:t>(</w:t>
      </w:r>
      <w:r w:rsidR="00244F2D" w:rsidRPr="004E28E1">
        <w:rPr>
          <w:rFonts w:ascii="Palatino Linotype" w:eastAsia="Palatino Linotype" w:hAnsi="Palatino Linotype" w:cs="Palatino Linotype"/>
        </w:rPr>
        <w:t>EMITIENDO VOTO PARTICULAR CONCURRENTE</w:t>
      </w:r>
      <w:r w:rsidR="00EC7F9C">
        <w:rPr>
          <w:rFonts w:ascii="Palatino Linotype" w:eastAsia="Palatino Linotype" w:hAnsi="Palatino Linotype" w:cs="Palatino Linotype"/>
        </w:rPr>
        <w:t>)</w:t>
      </w:r>
      <w:r w:rsidR="00244F2D" w:rsidRPr="004E28E1">
        <w:rPr>
          <w:rFonts w:ascii="Palatino Linotype" w:eastAsia="Palatino Linotype" w:hAnsi="Palatino Linotype" w:cs="Palatino Linotype"/>
        </w:rPr>
        <w:t xml:space="preserve">; EN </w:t>
      </w:r>
      <w:r w:rsidRPr="004E28E1">
        <w:rPr>
          <w:rFonts w:ascii="Palatino Linotype" w:eastAsia="Palatino Linotype" w:hAnsi="Palatino Linotype" w:cs="Palatino Linotype"/>
        </w:rPr>
        <w:t xml:space="preserve">LA TRIGÉSIMA CUARTA SESIÓN ORDINARIA CELEBRADA EL VEINTICINCO DE SEPTIEMBRE DE DOS MIL VEINTICUATRO, ANTE EL SECRETARIO TÉCNICO DEL PLENO ALEXIS TAPIA RAMÍREZ. </w:t>
      </w:r>
    </w:p>
    <w:p w14:paraId="5BC83D67" w14:textId="2BE87867" w:rsidR="004E28E1" w:rsidRPr="004E28E1" w:rsidRDefault="004E28E1">
      <w:pPr>
        <w:spacing w:before="240" w:after="240" w:line="360" w:lineRule="auto"/>
        <w:jc w:val="both"/>
        <w:rPr>
          <w:rFonts w:ascii="Palatino Linotype" w:eastAsia="Palatino Linotype" w:hAnsi="Palatino Linotype" w:cs="Palatino Linotype"/>
        </w:rPr>
      </w:pPr>
    </w:p>
    <w:p w14:paraId="105FD50C" w14:textId="477CE7BA" w:rsidR="004E28E1" w:rsidRPr="004E28E1" w:rsidRDefault="004E28E1">
      <w:pPr>
        <w:spacing w:before="240" w:after="240" w:line="360" w:lineRule="auto"/>
        <w:jc w:val="both"/>
        <w:rPr>
          <w:rFonts w:ascii="Palatino Linotype" w:eastAsia="Palatino Linotype" w:hAnsi="Palatino Linotype" w:cs="Palatino Linotype"/>
        </w:rPr>
      </w:pPr>
    </w:p>
    <w:p w14:paraId="1DD2B785" w14:textId="37D720D7" w:rsidR="004E28E1" w:rsidRPr="004E28E1" w:rsidRDefault="004E28E1">
      <w:pPr>
        <w:spacing w:before="240" w:after="240" w:line="360" w:lineRule="auto"/>
        <w:jc w:val="both"/>
        <w:rPr>
          <w:rFonts w:ascii="Palatino Linotype" w:eastAsia="Palatino Linotype" w:hAnsi="Palatino Linotype" w:cs="Palatino Linotype"/>
        </w:rPr>
      </w:pPr>
    </w:p>
    <w:p w14:paraId="5313A26F" w14:textId="334B5D5C" w:rsidR="004E28E1" w:rsidRPr="004E28E1" w:rsidRDefault="004E28E1">
      <w:pPr>
        <w:spacing w:before="240" w:after="240" w:line="360" w:lineRule="auto"/>
        <w:jc w:val="both"/>
        <w:rPr>
          <w:rFonts w:ascii="Palatino Linotype" w:eastAsia="Palatino Linotype" w:hAnsi="Palatino Linotype" w:cs="Palatino Linotype"/>
        </w:rPr>
      </w:pPr>
    </w:p>
    <w:p w14:paraId="6D494E83" w14:textId="3055EB5B" w:rsidR="004E28E1" w:rsidRPr="004E28E1" w:rsidRDefault="004E28E1">
      <w:pPr>
        <w:spacing w:before="240" w:after="240" w:line="360" w:lineRule="auto"/>
        <w:jc w:val="both"/>
        <w:rPr>
          <w:rFonts w:ascii="Palatino Linotype" w:eastAsia="Palatino Linotype" w:hAnsi="Palatino Linotype" w:cs="Palatino Linotype"/>
        </w:rPr>
      </w:pPr>
    </w:p>
    <w:p w14:paraId="6B32CDF5" w14:textId="17143049" w:rsidR="004E28E1" w:rsidRPr="004E28E1" w:rsidRDefault="004E28E1">
      <w:pPr>
        <w:spacing w:before="240" w:after="240" w:line="360" w:lineRule="auto"/>
        <w:jc w:val="both"/>
        <w:rPr>
          <w:rFonts w:ascii="Palatino Linotype" w:eastAsia="Palatino Linotype" w:hAnsi="Palatino Linotype" w:cs="Palatino Linotype"/>
        </w:rPr>
      </w:pPr>
    </w:p>
    <w:p w14:paraId="7C8D12CB" w14:textId="4B16F161" w:rsidR="004E28E1" w:rsidRPr="004E28E1" w:rsidRDefault="004E28E1">
      <w:pPr>
        <w:spacing w:before="240" w:after="240" w:line="360" w:lineRule="auto"/>
        <w:jc w:val="both"/>
        <w:rPr>
          <w:rFonts w:ascii="Palatino Linotype" w:eastAsia="Palatino Linotype" w:hAnsi="Palatino Linotype" w:cs="Palatino Linotype"/>
        </w:rPr>
      </w:pPr>
    </w:p>
    <w:p w14:paraId="4A36E4FD" w14:textId="36FB9414" w:rsidR="004E28E1" w:rsidRPr="004E28E1" w:rsidRDefault="004E28E1">
      <w:pPr>
        <w:spacing w:before="240" w:after="240" w:line="360" w:lineRule="auto"/>
        <w:jc w:val="both"/>
        <w:rPr>
          <w:rFonts w:ascii="Palatino Linotype" w:eastAsia="Palatino Linotype" w:hAnsi="Palatino Linotype" w:cs="Palatino Linotype"/>
        </w:rPr>
      </w:pPr>
    </w:p>
    <w:p w14:paraId="6C6C98C2" w14:textId="1D2D2DFC" w:rsidR="004E28E1" w:rsidRPr="004E28E1" w:rsidRDefault="004E28E1">
      <w:pPr>
        <w:spacing w:before="240" w:after="240" w:line="360" w:lineRule="auto"/>
        <w:jc w:val="both"/>
        <w:rPr>
          <w:rFonts w:ascii="Palatino Linotype" w:eastAsia="Palatino Linotype" w:hAnsi="Palatino Linotype" w:cs="Palatino Linotype"/>
        </w:rPr>
      </w:pPr>
    </w:p>
    <w:p w14:paraId="6949D86A" w14:textId="5100395E" w:rsidR="004E28E1" w:rsidRPr="004E28E1" w:rsidRDefault="004E28E1">
      <w:pPr>
        <w:spacing w:before="240" w:after="240" w:line="360" w:lineRule="auto"/>
        <w:jc w:val="both"/>
        <w:rPr>
          <w:rFonts w:ascii="Palatino Linotype" w:eastAsia="Palatino Linotype" w:hAnsi="Palatino Linotype" w:cs="Palatino Linotype"/>
        </w:rPr>
      </w:pPr>
    </w:p>
    <w:p w14:paraId="10A5A358" w14:textId="3D78126D" w:rsidR="004E28E1" w:rsidRPr="004E28E1" w:rsidRDefault="004E28E1">
      <w:pPr>
        <w:spacing w:before="240" w:after="240" w:line="360" w:lineRule="auto"/>
        <w:jc w:val="both"/>
        <w:rPr>
          <w:rFonts w:ascii="Palatino Linotype" w:eastAsia="Palatino Linotype" w:hAnsi="Palatino Linotype" w:cs="Palatino Linotype"/>
        </w:rPr>
      </w:pPr>
    </w:p>
    <w:p w14:paraId="4267C6ED" w14:textId="22473815" w:rsidR="004E28E1" w:rsidRPr="004E28E1" w:rsidRDefault="004E28E1">
      <w:pPr>
        <w:spacing w:before="240" w:after="240" w:line="360" w:lineRule="auto"/>
        <w:jc w:val="both"/>
        <w:rPr>
          <w:rFonts w:ascii="Palatino Linotype" w:eastAsia="Palatino Linotype" w:hAnsi="Palatino Linotype" w:cs="Palatino Linotype"/>
        </w:rPr>
      </w:pPr>
    </w:p>
    <w:p w14:paraId="213F4A22" w14:textId="140BBF4A" w:rsidR="004E28E1" w:rsidRPr="004E28E1" w:rsidRDefault="004E28E1">
      <w:pPr>
        <w:spacing w:before="240" w:after="240" w:line="360" w:lineRule="auto"/>
        <w:jc w:val="both"/>
        <w:rPr>
          <w:rFonts w:ascii="Palatino Linotype" w:eastAsia="Palatino Linotype" w:hAnsi="Palatino Linotype" w:cs="Palatino Linotype"/>
        </w:rPr>
      </w:pPr>
    </w:p>
    <w:p w14:paraId="21B6318F" w14:textId="6597ECD9" w:rsidR="004E28E1" w:rsidRPr="004E28E1" w:rsidRDefault="004E28E1">
      <w:pPr>
        <w:spacing w:before="240" w:after="240" w:line="360" w:lineRule="auto"/>
        <w:jc w:val="both"/>
        <w:rPr>
          <w:rFonts w:ascii="Palatino Linotype" w:eastAsia="Palatino Linotype" w:hAnsi="Palatino Linotype" w:cs="Palatino Linotype"/>
        </w:rPr>
      </w:pPr>
    </w:p>
    <w:p w14:paraId="10663FFD" w14:textId="3DB189C1" w:rsidR="004E28E1" w:rsidRPr="004E28E1" w:rsidRDefault="004E28E1">
      <w:pPr>
        <w:spacing w:before="240" w:after="240" w:line="360" w:lineRule="auto"/>
        <w:jc w:val="both"/>
        <w:rPr>
          <w:rFonts w:ascii="Palatino Linotype" w:eastAsia="Palatino Linotype" w:hAnsi="Palatino Linotype" w:cs="Palatino Linotype"/>
        </w:rPr>
      </w:pPr>
    </w:p>
    <w:p w14:paraId="5EFE7778" w14:textId="633A25EF" w:rsidR="004E28E1" w:rsidRPr="004E28E1" w:rsidRDefault="004E28E1">
      <w:pPr>
        <w:spacing w:before="240" w:after="240" w:line="360" w:lineRule="auto"/>
        <w:jc w:val="both"/>
        <w:rPr>
          <w:rFonts w:ascii="Palatino Linotype" w:eastAsia="Palatino Linotype" w:hAnsi="Palatino Linotype" w:cs="Palatino Linotype"/>
        </w:rPr>
      </w:pPr>
    </w:p>
    <w:p w14:paraId="48CE3EE1" w14:textId="2B4F1DA6" w:rsidR="004E28E1" w:rsidRPr="004E28E1" w:rsidRDefault="004E28E1">
      <w:pPr>
        <w:spacing w:before="240" w:after="240" w:line="360" w:lineRule="auto"/>
        <w:jc w:val="both"/>
        <w:rPr>
          <w:rFonts w:ascii="Palatino Linotype" w:eastAsia="Palatino Linotype" w:hAnsi="Palatino Linotype" w:cs="Palatino Linotype"/>
        </w:rPr>
      </w:pPr>
    </w:p>
    <w:p w14:paraId="15312FF7" w14:textId="1B09D539" w:rsidR="004E28E1" w:rsidRPr="004E28E1" w:rsidRDefault="004E28E1">
      <w:pPr>
        <w:spacing w:before="240" w:after="240" w:line="360" w:lineRule="auto"/>
        <w:jc w:val="both"/>
        <w:rPr>
          <w:rFonts w:ascii="Palatino Linotype" w:eastAsia="Palatino Linotype" w:hAnsi="Palatino Linotype" w:cs="Palatino Linotype"/>
        </w:rPr>
      </w:pPr>
    </w:p>
    <w:p w14:paraId="6345B1EA" w14:textId="03C73F6B" w:rsidR="004E28E1" w:rsidRPr="004E28E1" w:rsidRDefault="004E28E1">
      <w:pPr>
        <w:spacing w:before="240" w:after="240" w:line="360" w:lineRule="auto"/>
        <w:jc w:val="both"/>
        <w:rPr>
          <w:rFonts w:ascii="Palatino Linotype" w:eastAsia="Palatino Linotype" w:hAnsi="Palatino Linotype" w:cs="Palatino Linotype"/>
        </w:rPr>
      </w:pPr>
    </w:p>
    <w:p w14:paraId="0DD8A472" w14:textId="77777777" w:rsidR="004E28E1" w:rsidRPr="004E28E1" w:rsidRDefault="004E28E1">
      <w:pPr>
        <w:spacing w:before="240" w:after="240" w:line="360" w:lineRule="auto"/>
        <w:jc w:val="both"/>
        <w:rPr>
          <w:rFonts w:ascii="Palatino Linotype" w:eastAsia="Palatino Linotype" w:hAnsi="Palatino Linotype" w:cs="Palatino Linotype"/>
        </w:rPr>
      </w:pPr>
    </w:p>
    <w:sectPr w:rsidR="004E28E1" w:rsidRPr="004E28E1">
      <w:headerReference w:type="default" r:id="rId33"/>
      <w:footerReference w:type="default" r:id="rId34"/>
      <w:headerReference w:type="first" r:id="rId35"/>
      <w:footerReference w:type="first" r:id="rId36"/>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01062" w14:textId="77777777" w:rsidR="0043743E" w:rsidRDefault="0043743E">
      <w:r>
        <w:separator/>
      </w:r>
    </w:p>
  </w:endnote>
  <w:endnote w:type="continuationSeparator" w:id="0">
    <w:p w14:paraId="282C0C9A" w14:textId="77777777" w:rsidR="0043743E" w:rsidRDefault="0043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notTrueType/>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5266" w14:textId="77777777" w:rsidR="00996B51" w:rsidRDefault="006D6A6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44F2D">
      <w:rPr>
        <w:rFonts w:ascii="Palatino Linotype" w:eastAsia="Palatino Linotype" w:hAnsi="Palatino Linotype" w:cs="Palatino Linotype"/>
        <w:b/>
        <w:noProof/>
        <w:color w:val="000000"/>
        <w:sz w:val="20"/>
        <w:szCs w:val="20"/>
      </w:rPr>
      <w:t>93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44F2D">
      <w:rPr>
        <w:rFonts w:ascii="Palatino Linotype" w:eastAsia="Palatino Linotype" w:hAnsi="Palatino Linotype" w:cs="Palatino Linotype"/>
        <w:b/>
        <w:noProof/>
        <w:color w:val="000000"/>
        <w:sz w:val="20"/>
        <w:szCs w:val="20"/>
      </w:rPr>
      <w:t>93</w:t>
    </w:r>
    <w:r>
      <w:rPr>
        <w:rFonts w:ascii="Palatino Linotype" w:eastAsia="Palatino Linotype" w:hAnsi="Palatino Linotype" w:cs="Palatino Linotype"/>
        <w:b/>
        <w:color w:val="000000"/>
        <w:sz w:val="20"/>
        <w:szCs w:val="20"/>
      </w:rPr>
      <w:fldChar w:fldCharType="end"/>
    </w:r>
  </w:p>
  <w:p w14:paraId="3E89034C" w14:textId="77777777" w:rsidR="00996B51" w:rsidRDefault="00996B5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BE2E" w14:textId="77777777" w:rsidR="00996B51" w:rsidRDefault="006D6A6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44F2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44F2D">
      <w:rPr>
        <w:rFonts w:ascii="Palatino Linotype" w:eastAsia="Palatino Linotype" w:hAnsi="Palatino Linotype" w:cs="Palatino Linotype"/>
        <w:b/>
        <w:noProof/>
        <w:color w:val="000000"/>
        <w:sz w:val="20"/>
        <w:szCs w:val="20"/>
      </w:rPr>
      <w:t>93</w:t>
    </w:r>
    <w:r>
      <w:rPr>
        <w:rFonts w:ascii="Palatino Linotype" w:eastAsia="Palatino Linotype" w:hAnsi="Palatino Linotype" w:cs="Palatino Linotype"/>
        <w:b/>
        <w:color w:val="000000"/>
        <w:sz w:val="20"/>
        <w:szCs w:val="20"/>
      </w:rPr>
      <w:fldChar w:fldCharType="end"/>
    </w:r>
  </w:p>
  <w:p w14:paraId="5596CF1D" w14:textId="77777777" w:rsidR="00996B51" w:rsidRDefault="00996B5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1CF16" w14:textId="77777777" w:rsidR="0043743E" w:rsidRDefault="0043743E">
      <w:r>
        <w:separator/>
      </w:r>
    </w:p>
  </w:footnote>
  <w:footnote w:type="continuationSeparator" w:id="0">
    <w:p w14:paraId="68E26A72" w14:textId="77777777" w:rsidR="0043743E" w:rsidRDefault="0043743E">
      <w:r>
        <w:continuationSeparator/>
      </w:r>
    </w:p>
  </w:footnote>
  <w:footnote w:id="1">
    <w:p w14:paraId="1C645E56" w14:textId="77777777" w:rsidR="00996B51" w:rsidRDefault="006D6A63">
      <w:pPr>
        <w:pBdr>
          <w:top w:val="nil"/>
          <w:left w:val="nil"/>
          <w:bottom w:val="nil"/>
          <w:right w:val="nil"/>
          <w:between w:val="nil"/>
        </w:pBdr>
        <w:spacing w:line="360" w:lineRule="auto"/>
        <w:rPr>
          <w:rFonts w:ascii="Palatino Linotype" w:eastAsia="Palatino Linotype" w:hAnsi="Palatino Linotype" w:cs="Palatino Linotype"/>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 xml:space="preserve">Para su consulta en línea: </w:t>
      </w:r>
      <w:hyperlink r:id="rId1" w:anchor="gsc.tab=0">
        <w:r>
          <w:rPr>
            <w:rFonts w:ascii="Palatino Linotype" w:eastAsia="Palatino Linotype" w:hAnsi="Palatino Linotype" w:cs="Palatino Linotype"/>
            <w:color w:val="0000FF"/>
            <w:sz w:val="20"/>
            <w:szCs w:val="20"/>
            <w:u w:val="single"/>
          </w:rPr>
          <w:t>https://dof.gob.mx/nota_detalle.php?codigo=5687925&amp;fecha=08/05/2023#gsc.tab=0</w:t>
        </w:r>
      </w:hyperlink>
      <w:r>
        <w:rPr>
          <w:rFonts w:ascii="Palatino Linotype" w:eastAsia="Palatino Linotype" w:hAnsi="Palatino Linotype" w:cs="Palatino Linotype"/>
          <w:color w:val="000000"/>
          <w:sz w:val="20"/>
          <w:szCs w:val="20"/>
        </w:rPr>
        <w:t xml:space="preserve"> </w:t>
      </w:r>
    </w:p>
    <w:p w14:paraId="5183C1F6" w14:textId="77777777" w:rsidR="00996B51" w:rsidRDefault="00996B51">
      <w:pPr>
        <w:pBdr>
          <w:top w:val="nil"/>
          <w:left w:val="nil"/>
          <w:bottom w:val="nil"/>
          <w:right w:val="nil"/>
          <w:between w:val="nil"/>
        </w:pBdr>
        <w:spacing w:line="360" w:lineRule="auto"/>
        <w:rPr>
          <w:rFonts w:ascii="Palatino Linotype" w:eastAsia="Palatino Linotype" w:hAnsi="Palatino Linotype" w:cs="Palatino Linotype"/>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DA70" w14:textId="77777777" w:rsidR="00996B51" w:rsidRDefault="006D6A6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8EC66F2" wp14:editId="60361FEA">
          <wp:simplePos x="0" y="0"/>
          <wp:positionH relativeFrom="column">
            <wp:posOffset>-1080128</wp:posOffset>
          </wp:positionH>
          <wp:positionV relativeFrom="paragraph">
            <wp:posOffset>-488308</wp:posOffset>
          </wp:positionV>
          <wp:extent cx="7809865" cy="10165715"/>
          <wp:effectExtent l="0" t="0" r="0" b="0"/>
          <wp:wrapNone/>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996B51" w14:paraId="5F726638" w14:textId="77777777">
      <w:tc>
        <w:tcPr>
          <w:tcW w:w="2489" w:type="dxa"/>
          <w:shd w:val="clear" w:color="auto" w:fill="auto"/>
        </w:tcPr>
        <w:p w14:paraId="13A0C279" w14:textId="77777777" w:rsidR="00996B51" w:rsidRDefault="006D6A6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9514FE3" w14:textId="77777777" w:rsidR="00996B51" w:rsidRDefault="006D6A6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02224/INFOEM/IP/RR/2024</w:t>
          </w:r>
        </w:p>
      </w:tc>
    </w:tr>
    <w:tr w:rsidR="00996B51" w14:paraId="37D0DD89" w14:textId="77777777">
      <w:trPr>
        <w:trHeight w:val="228"/>
      </w:trPr>
      <w:tc>
        <w:tcPr>
          <w:tcW w:w="2489" w:type="dxa"/>
          <w:shd w:val="clear" w:color="auto" w:fill="auto"/>
          <w:vAlign w:val="center"/>
        </w:tcPr>
        <w:p w14:paraId="42C8595F" w14:textId="77777777" w:rsidR="00996B51" w:rsidRDefault="006D6A6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B1961FD" w14:textId="77777777" w:rsidR="00996B51" w:rsidRDefault="006D6A63">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Tlalnepantla de Baz. </w:t>
          </w:r>
        </w:p>
      </w:tc>
    </w:tr>
    <w:tr w:rsidR="00996B51" w14:paraId="45FD000D" w14:textId="77777777">
      <w:tc>
        <w:tcPr>
          <w:tcW w:w="2489" w:type="dxa"/>
          <w:shd w:val="clear" w:color="auto" w:fill="auto"/>
          <w:vAlign w:val="center"/>
        </w:tcPr>
        <w:p w14:paraId="62CF9434" w14:textId="77777777" w:rsidR="00996B51" w:rsidRDefault="006D6A6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0757B03" w14:textId="77777777" w:rsidR="00996B51" w:rsidRDefault="006D6A6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F7C406" w14:textId="77777777" w:rsidR="00996B51" w:rsidRDefault="006D6A6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4AFD" w14:textId="77777777" w:rsidR="00996B51" w:rsidRDefault="00996B5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5"/>
      <w:tblW w:w="5670" w:type="dxa"/>
      <w:tblInd w:w="3261" w:type="dxa"/>
      <w:tblLayout w:type="fixed"/>
      <w:tblLook w:val="0400" w:firstRow="0" w:lastRow="0" w:firstColumn="0" w:lastColumn="0" w:noHBand="0" w:noVBand="1"/>
    </w:tblPr>
    <w:tblGrid>
      <w:gridCol w:w="2551"/>
      <w:gridCol w:w="3119"/>
    </w:tblGrid>
    <w:tr w:rsidR="00996B51" w14:paraId="082D960A" w14:textId="77777777">
      <w:tc>
        <w:tcPr>
          <w:tcW w:w="2551" w:type="dxa"/>
          <w:shd w:val="clear" w:color="auto" w:fill="auto"/>
          <w:vAlign w:val="center"/>
        </w:tcPr>
        <w:p w14:paraId="5ECD70B3" w14:textId="77777777" w:rsidR="00996B51" w:rsidRDefault="006D6A6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A6963FD" w14:textId="77777777" w:rsidR="00996B51" w:rsidRDefault="006D6A6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02224/INFOEM/IP/RR/2024</w:t>
          </w:r>
        </w:p>
      </w:tc>
    </w:tr>
    <w:tr w:rsidR="00996B51" w14:paraId="55265DFE" w14:textId="77777777">
      <w:trPr>
        <w:trHeight w:val="130"/>
      </w:trPr>
      <w:tc>
        <w:tcPr>
          <w:tcW w:w="2551" w:type="dxa"/>
          <w:shd w:val="clear" w:color="auto" w:fill="auto"/>
          <w:vAlign w:val="center"/>
        </w:tcPr>
        <w:p w14:paraId="57E1A8CA" w14:textId="77777777" w:rsidR="00996B51" w:rsidRDefault="006D6A6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7153F34" w14:textId="77777777" w:rsidR="00996B51" w:rsidRDefault="006D6A63">
          <w:pPr>
            <w:ind w:left="-45" w:right="-533"/>
            <w:jc w:val="both"/>
            <w:rPr>
              <w:rFonts w:ascii="Palatino Linotype" w:eastAsia="Palatino Linotype" w:hAnsi="Palatino Linotype" w:cs="Palatino Linotype"/>
              <w:b/>
              <w:sz w:val="22"/>
              <w:szCs w:val="22"/>
            </w:rPr>
          </w:pPr>
          <w:r>
            <w:rPr>
              <w:rFonts w:ascii="Arial" w:eastAsia="Arial" w:hAnsi="Arial" w:cs="Arial"/>
              <w:b/>
              <w:color w:val="333333"/>
              <w:sz w:val="15"/>
              <w:szCs w:val="15"/>
              <w:shd w:val="clear" w:color="auto" w:fill="F7F7F8"/>
            </w:rPr>
            <w:t> </w:t>
          </w:r>
        </w:p>
      </w:tc>
    </w:tr>
    <w:tr w:rsidR="00996B51" w14:paraId="100E7951" w14:textId="77777777">
      <w:trPr>
        <w:trHeight w:val="228"/>
      </w:trPr>
      <w:tc>
        <w:tcPr>
          <w:tcW w:w="2551" w:type="dxa"/>
          <w:shd w:val="clear" w:color="auto" w:fill="auto"/>
          <w:vAlign w:val="center"/>
        </w:tcPr>
        <w:p w14:paraId="3BF0CAA4" w14:textId="77777777" w:rsidR="00996B51" w:rsidRDefault="006D6A6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F9AC89A" w14:textId="77777777" w:rsidR="00996B51" w:rsidRDefault="006D6A63">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996B51" w14:paraId="06DF237A" w14:textId="77777777">
      <w:tc>
        <w:tcPr>
          <w:tcW w:w="2551" w:type="dxa"/>
          <w:shd w:val="clear" w:color="auto" w:fill="auto"/>
          <w:vAlign w:val="center"/>
        </w:tcPr>
        <w:p w14:paraId="1650C2D7" w14:textId="77777777" w:rsidR="00996B51" w:rsidRDefault="006D6A6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34F5E3D" w14:textId="77777777" w:rsidR="00996B51" w:rsidRDefault="006D6A6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960C694" w14:textId="77777777" w:rsidR="00996B51" w:rsidRDefault="006D6A63">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7733139" wp14:editId="393409AF">
          <wp:simplePos x="0" y="0"/>
          <wp:positionH relativeFrom="column">
            <wp:posOffset>-1089653</wp:posOffset>
          </wp:positionH>
          <wp:positionV relativeFrom="paragraph">
            <wp:posOffset>-1169663</wp:posOffset>
          </wp:positionV>
          <wp:extent cx="7809865" cy="10165715"/>
          <wp:effectExtent l="0" t="0" r="0" b="0"/>
          <wp:wrapNone/>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C461C"/>
    <w:multiLevelType w:val="multilevel"/>
    <w:tmpl w:val="D21E3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E96582"/>
    <w:multiLevelType w:val="multilevel"/>
    <w:tmpl w:val="06207B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B91EB0"/>
    <w:multiLevelType w:val="multilevel"/>
    <w:tmpl w:val="DF58EDE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6D1352C"/>
    <w:multiLevelType w:val="multilevel"/>
    <w:tmpl w:val="2E643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D26E2D"/>
    <w:multiLevelType w:val="multilevel"/>
    <w:tmpl w:val="1B0AB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4503BB"/>
    <w:multiLevelType w:val="multilevel"/>
    <w:tmpl w:val="7C3A5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737EA3"/>
    <w:multiLevelType w:val="multilevel"/>
    <w:tmpl w:val="14623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002B91"/>
    <w:multiLevelType w:val="multilevel"/>
    <w:tmpl w:val="13C26C50"/>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5DE16A7"/>
    <w:multiLevelType w:val="multilevel"/>
    <w:tmpl w:val="94BC8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6"/>
  </w:num>
  <w:num w:numId="4">
    <w:abstractNumId w:val="2"/>
  </w:num>
  <w:num w:numId="5">
    <w:abstractNumId w:val="8"/>
  </w:num>
  <w:num w:numId="6">
    <w:abstractNumId w:val="4"/>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B51"/>
    <w:rsid w:val="00244F2D"/>
    <w:rsid w:val="003A2E7E"/>
    <w:rsid w:val="0043743E"/>
    <w:rsid w:val="004E1FBF"/>
    <w:rsid w:val="004E28E1"/>
    <w:rsid w:val="005E2FB2"/>
    <w:rsid w:val="00614A28"/>
    <w:rsid w:val="006D6A63"/>
    <w:rsid w:val="00996B51"/>
    <w:rsid w:val="00EC7F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D60E5"/>
  <w15:docId w15:val="{4E8ECDB2-071B-4327-B74E-0466B8E3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top w:w="15" w:type="dxa"/>
        <w:left w:w="15" w:type="dxa"/>
        <w:bottom w:w="15" w:type="dxa"/>
        <w:right w:w="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top w:w="15" w:type="dxa"/>
        <w:left w:w="115" w:type="dxa"/>
        <w:bottom w:w="15" w:type="dxa"/>
        <w:right w:w="115" w:type="dxa"/>
      </w:tblCellMar>
    </w:tblPr>
  </w:style>
  <w:style w:type="table" w:customStyle="1" w:styleId="af">
    <w:basedOn w:val="TableNormal2"/>
    <w:tblPr>
      <w:tblStyleRowBandSize w:val="1"/>
      <w:tblStyleColBandSize w:val="1"/>
      <w:tblCellMar>
        <w:top w:w="15" w:type="dxa"/>
        <w:left w:w="115" w:type="dxa"/>
        <w:bottom w:w="15" w:type="dxa"/>
        <w:right w:w="115" w:type="dxa"/>
      </w:tblCellMar>
    </w:tblPr>
  </w:style>
  <w:style w:type="table" w:customStyle="1" w:styleId="af0">
    <w:basedOn w:val="TableNormal1"/>
    <w:tblPr>
      <w:tblStyleRowBandSize w:val="1"/>
      <w:tblStyleColBandSize w:val="1"/>
      <w:tblCellMar>
        <w:top w:w="15" w:type="dxa"/>
        <w:left w:w="115" w:type="dxa"/>
        <w:bottom w:w="15" w:type="dxa"/>
        <w:right w:w="115"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table" w:customStyle="1" w:styleId="af3">
    <w:basedOn w:val="TableNormal0"/>
    <w:tblPr>
      <w:tblStyleRowBandSize w:val="1"/>
      <w:tblStyleColBandSize w:val="1"/>
      <w:tblCellMar>
        <w:top w:w="15" w:type="dxa"/>
        <w:left w:w="115" w:type="dxa"/>
        <w:bottom w:w="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diputados.gob.mx/documentos/N_Acta_Nacimiento.pdf" TargetMode="Externa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2094627.pag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consultatucedula.m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consultas.curp.gob.mx/CurpSP/html/informacionecurpPS.html"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revista.condusef.gob.mx/2014/05/registro-federal-de-contribuyent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sat.gob.mx/aplicacion/28889/obten-tu-cedula-de-identificacion-fiscal" TargetMode="External"/><Relationship Id="rId30" Type="http://schemas.openxmlformats.org/officeDocument/2006/relationships/hyperlink" Target="https://www.ipomex.org.mx/recursos/ipo/files_ipo/2014/8/11/630bc7787b59af912a96a9e1bca1c770.pdf" TargetMode="External"/><Relationship Id="rId35" Type="http://schemas.openxmlformats.org/officeDocument/2006/relationships/header" Target="header2.xml"/><Relationship Id="rId8" Type="http://schemas.openxmlformats.org/officeDocument/2006/relationships/hyperlink" Target="https://saimex.org.mx/saimex/solicitud/downloadAttach/2073008.pa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of.gob.mx/nota_detalle.php?codigo=5687925&amp;fecha=08/05/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8M0I1g+WzN9/Fgx03BQTb9kWew==">CgMxLjAyCGguZ2pkZ3hzMgloLjMwajB6bGwyCGgudHlqY3d0MgloLjJldDkycDAyCWguMWZvYjl0ZTgAciExYTdaNV9nUEdBUWlPMWdvM1RTWFJ6SUVpMTk4MVBVdDA=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94</Pages>
  <Words>21240</Words>
  <Characters>116820</Characters>
  <Application>Microsoft Office Word</Application>
  <DocSecurity>0</DocSecurity>
  <Lines>973</Lines>
  <Paragraphs>275</Paragraphs>
  <ScaleCrop>false</ScaleCrop>
  <Company>HP Inc.</Company>
  <LinksUpToDate>false</LinksUpToDate>
  <CharactersWithSpaces>137785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2024-09-27T03:28:00Z</cp:lastPrinted>
  <dcterms:created xsi:type="dcterms:W3CDTF">2024-10-02T17:48:00Z</dcterms:created>
  <dcterms:modified xsi:type="dcterms:W3CDTF">2024-10-02T17:48:00Z</dcterms:modified>
</cp:coreProperties>
</file>