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353F" w14:textId="77777777" w:rsidR="00773690" w:rsidRDefault="00773690" w:rsidP="0037368C">
      <w:pPr>
        <w:tabs>
          <w:tab w:val="left" w:pos="8931"/>
        </w:tabs>
        <w:spacing w:after="0" w:line="360" w:lineRule="auto"/>
        <w:rPr>
          <w:rFonts w:cs="Tahoma"/>
          <w:bCs/>
          <w:color w:val="auto"/>
        </w:rPr>
      </w:pPr>
    </w:p>
    <w:p w14:paraId="63E834DF" w14:textId="79E440D5" w:rsidR="00EC77D9" w:rsidRPr="00150187" w:rsidRDefault="00EC77D9" w:rsidP="0037368C">
      <w:pPr>
        <w:tabs>
          <w:tab w:val="left" w:pos="8931"/>
        </w:tabs>
        <w:spacing w:after="0" w:line="360" w:lineRule="auto"/>
        <w:rPr>
          <w:rFonts w:eastAsia="Calibri" w:cs="Tahoma"/>
          <w:color w:val="auto"/>
          <w:lang w:val="es-ES"/>
        </w:rPr>
      </w:pPr>
      <w:r w:rsidRPr="00150187">
        <w:rPr>
          <w:rFonts w:cs="Tahoma"/>
          <w:bCs/>
          <w:color w:val="auto"/>
        </w:rPr>
        <w:t xml:space="preserve">Resolución del Pleno del Instituto de Transparencia, Acceso a la Información Pública y Protección de Datos Personales del Estado de México y Municipios, con domicilio en Metepec, </w:t>
      </w:r>
      <w:r w:rsidRPr="00150187">
        <w:rPr>
          <w:rFonts w:eastAsia="Calibri" w:cs="Tahoma"/>
          <w:color w:val="auto"/>
          <w:lang w:val="es-ES"/>
        </w:rPr>
        <w:t>Estado de México, de fecha</w:t>
      </w:r>
      <w:r w:rsidR="00C3348B" w:rsidRPr="00150187">
        <w:rPr>
          <w:rFonts w:eastAsia="Calibri" w:cs="Tahoma"/>
          <w:color w:val="auto"/>
          <w:lang w:val="es-ES"/>
        </w:rPr>
        <w:t xml:space="preserve"> </w:t>
      </w:r>
      <w:r w:rsidR="00085C38" w:rsidRPr="00150187">
        <w:rPr>
          <w:rFonts w:eastAsia="Calibri" w:cs="Tahoma"/>
          <w:color w:val="auto"/>
          <w:lang w:val="es-ES"/>
        </w:rPr>
        <w:t>dieciséis de octubre</w:t>
      </w:r>
      <w:r w:rsidR="00C3348B" w:rsidRPr="00150187">
        <w:rPr>
          <w:rFonts w:eastAsia="Calibri" w:cs="Tahoma"/>
          <w:color w:val="auto"/>
          <w:lang w:val="es-ES"/>
        </w:rPr>
        <w:t xml:space="preserve"> de dos mil veinticuatro.</w:t>
      </w:r>
    </w:p>
    <w:p w14:paraId="5E4128C6" w14:textId="77777777" w:rsidR="00EC77D9" w:rsidRPr="00150187" w:rsidRDefault="00EC77D9" w:rsidP="0037368C">
      <w:pPr>
        <w:spacing w:after="0" w:line="360" w:lineRule="auto"/>
        <w:rPr>
          <w:rFonts w:eastAsia="Calibri" w:cs="Tahoma"/>
          <w:b/>
          <w:bCs/>
          <w:color w:val="FF0000"/>
          <w:lang w:val="es-ES"/>
        </w:rPr>
      </w:pPr>
    </w:p>
    <w:p w14:paraId="04C62500" w14:textId="2FFAA9C2" w:rsidR="00EC77D9" w:rsidRPr="00A301F2" w:rsidRDefault="00EC77D9" w:rsidP="00CA5661">
      <w:pPr>
        <w:tabs>
          <w:tab w:val="right" w:pos="8838"/>
        </w:tabs>
        <w:spacing w:line="360" w:lineRule="auto"/>
        <w:ind w:left="-111" w:right="-109"/>
        <w:rPr>
          <w:rFonts w:eastAsia="Calibri" w:cs="Tahoma"/>
          <w:highlight w:val="black"/>
        </w:rPr>
      </w:pPr>
      <w:r w:rsidRPr="00150187">
        <w:rPr>
          <w:rFonts w:eastAsia="Calibri" w:cs="Tahoma"/>
          <w:b/>
          <w:bCs/>
          <w:color w:val="auto"/>
          <w:lang w:val="es-ES"/>
        </w:rPr>
        <w:t xml:space="preserve">VISTO </w:t>
      </w:r>
      <w:r w:rsidRPr="00150187">
        <w:rPr>
          <w:rFonts w:eastAsia="Calibri" w:cs="Tahoma"/>
          <w:color w:val="auto"/>
          <w:lang w:val="es-ES"/>
        </w:rPr>
        <w:t xml:space="preserve">el expediente conformado con motivo del Recurso de Revisión </w:t>
      </w:r>
      <w:r w:rsidR="00C169DB" w:rsidRPr="00150187">
        <w:rPr>
          <w:rFonts w:eastAsia="Calibri" w:cs="Tahoma"/>
          <w:color w:val="auto"/>
        </w:rPr>
        <w:t>0</w:t>
      </w:r>
      <w:r w:rsidR="00085C38" w:rsidRPr="00150187">
        <w:rPr>
          <w:rFonts w:eastAsia="Calibri" w:cs="Tahoma"/>
          <w:color w:val="auto"/>
        </w:rPr>
        <w:t>5801</w:t>
      </w:r>
      <w:r w:rsidR="00C169DB" w:rsidRPr="00150187">
        <w:rPr>
          <w:rFonts w:eastAsia="Calibri" w:cs="Tahoma"/>
          <w:color w:val="auto"/>
        </w:rPr>
        <w:t>/INFOEM/IP/RR/2024</w:t>
      </w:r>
      <w:r w:rsidRPr="00150187">
        <w:rPr>
          <w:rFonts w:eastAsia="Calibri" w:cs="Tahoma"/>
          <w:color w:val="auto"/>
        </w:rPr>
        <w:t xml:space="preserve">, interpuesto </w:t>
      </w:r>
      <w:r w:rsidR="000C006D" w:rsidRPr="00150187">
        <w:rPr>
          <w:rFonts w:eastAsia="Calibri" w:cs="Tahoma"/>
          <w:color w:val="auto"/>
        </w:rPr>
        <w:t>por</w:t>
      </w:r>
      <w:r w:rsidR="00C3348B" w:rsidRPr="00150187">
        <w:rPr>
          <w:rFonts w:eastAsia="Calibri" w:cs="Tahoma"/>
          <w:color w:val="auto"/>
        </w:rPr>
        <w:t xml:space="preserve"> </w:t>
      </w:r>
      <w:r w:rsidR="00A301F2" w:rsidRPr="00A301F2">
        <w:rPr>
          <w:rFonts w:eastAsia="Calibri" w:cs="Tahoma"/>
          <w:highlight w:val="black"/>
        </w:rPr>
        <w:t>XXXXXXXXXXXXXXXXXXX</w:t>
      </w:r>
      <w:r w:rsidR="00A301F2">
        <w:rPr>
          <w:rFonts w:eastAsia="Calibri" w:cs="Tahoma"/>
        </w:rPr>
        <w:t xml:space="preserve"> </w:t>
      </w:r>
      <w:r w:rsidR="00C3348B" w:rsidRPr="00150187">
        <w:rPr>
          <w:rFonts w:eastAsia="Calibri" w:cs="Tahoma"/>
          <w:color w:val="auto"/>
        </w:rPr>
        <w:t xml:space="preserve">en lo sucesivo </w:t>
      </w:r>
      <w:r w:rsidR="00DA0A67" w:rsidRPr="00150187">
        <w:rPr>
          <w:rFonts w:eastAsia="Calibri" w:cs="Tahoma"/>
          <w:color w:val="auto"/>
        </w:rPr>
        <w:t>la persona</w:t>
      </w:r>
      <w:r w:rsidR="00AD7B57" w:rsidRPr="00150187">
        <w:rPr>
          <w:rFonts w:eastAsia="Calibri" w:cs="Tahoma"/>
          <w:color w:val="auto"/>
        </w:rPr>
        <w:t xml:space="preserve"> </w:t>
      </w:r>
      <w:r w:rsidRPr="00150187">
        <w:rPr>
          <w:rFonts w:cs="Tahoma"/>
          <w:color w:val="auto"/>
        </w:rPr>
        <w:t xml:space="preserve">Recurrente o Particular, en contra de la falta de respuesta del Sujeto Obligado, </w:t>
      </w:r>
      <w:r w:rsidR="00085C38" w:rsidRPr="00150187">
        <w:rPr>
          <w:rFonts w:cs="Tahoma"/>
          <w:color w:val="auto"/>
        </w:rPr>
        <w:t>Ayuntamiento de Amecameca</w:t>
      </w:r>
      <w:r w:rsidR="00CD3EE5" w:rsidRPr="00150187">
        <w:rPr>
          <w:color w:val="auto"/>
        </w:rPr>
        <w:t>,</w:t>
      </w:r>
      <w:r w:rsidR="00CD3EE5" w:rsidRPr="00150187">
        <w:rPr>
          <w:rFonts w:cs="Tahoma"/>
          <w:color w:val="auto"/>
        </w:rPr>
        <w:t xml:space="preserve"> </w:t>
      </w:r>
      <w:r w:rsidRPr="00150187">
        <w:rPr>
          <w:rFonts w:cs="Tahoma"/>
          <w:color w:val="auto"/>
        </w:rPr>
        <w:t>a la solicitud de acceso a la información pública</w:t>
      </w:r>
      <w:r w:rsidRPr="00150187">
        <w:rPr>
          <w:b/>
          <w:bCs/>
          <w:color w:val="auto"/>
        </w:rPr>
        <w:t> </w:t>
      </w:r>
      <w:r w:rsidR="00085C38" w:rsidRPr="00150187">
        <w:rPr>
          <w:color w:val="auto"/>
        </w:rPr>
        <w:t>00105/AMECAMEC/IP/2024</w:t>
      </w:r>
      <w:r w:rsidRPr="00150187">
        <w:rPr>
          <w:rFonts w:cs="Tahoma"/>
          <w:iCs/>
          <w:color w:val="auto"/>
        </w:rPr>
        <w:t>,</w:t>
      </w:r>
      <w:r w:rsidRPr="00150187">
        <w:rPr>
          <w:rFonts w:cs="Tahoma"/>
          <w:color w:val="auto"/>
        </w:rPr>
        <w:t xml:space="preserve"> se emite</w:t>
      </w:r>
      <w:r w:rsidRPr="00150187">
        <w:rPr>
          <w:rFonts w:cs="Tahoma"/>
          <w:bCs/>
          <w:color w:val="auto"/>
        </w:rPr>
        <w:t xml:space="preserve"> la presente Resolución, con base en los Antecedentes y Considerandos que se exponen a continuación:</w:t>
      </w:r>
    </w:p>
    <w:p w14:paraId="40862826" w14:textId="77777777" w:rsidR="00EC77D9" w:rsidRPr="00150187" w:rsidRDefault="00EC77D9" w:rsidP="0037368C">
      <w:pPr>
        <w:spacing w:after="0" w:line="360" w:lineRule="auto"/>
        <w:rPr>
          <w:rFonts w:eastAsia="Calibri" w:cs="Tahoma"/>
          <w:b/>
          <w:bCs/>
          <w:color w:val="auto"/>
        </w:rPr>
      </w:pPr>
    </w:p>
    <w:p w14:paraId="75BF07A7" w14:textId="3BF0A4EE" w:rsidR="00EC77D9" w:rsidRPr="00150187" w:rsidRDefault="00EC77D9" w:rsidP="0037368C">
      <w:pPr>
        <w:spacing w:after="0" w:line="360" w:lineRule="auto"/>
        <w:jc w:val="center"/>
        <w:rPr>
          <w:rFonts w:eastAsia="Calibri" w:cs="Tahoma"/>
          <w:b/>
          <w:bCs/>
          <w:color w:val="auto"/>
          <w:lang w:val="es-ES"/>
        </w:rPr>
      </w:pPr>
      <w:r w:rsidRPr="00150187">
        <w:rPr>
          <w:rFonts w:eastAsia="Calibri" w:cs="Tahoma"/>
          <w:b/>
          <w:bCs/>
          <w:color w:val="auto"/>
          <w:lang w:val="es-ES"/>
        </w:rPr>
        <w:t>A N T E C E D E N T E S</w:t>
      </w:r>
    </w:p>
    <w:p w14:paraId="3C95874E" w14:textId="77777777" w:rsidR="00EC77D9" w:rsidRPr="00150187" w:rsidRDefault="00EC77D9" w:rsidP="0037368C">
      <w:pPr>
        <w:spacing w:after="0" w:line="360" w:lineRule="auto"/>
        <w:rPr>
          <w:color w:val="FF0000"/>
          <w:lang w:val="es-ES"/>
        </w:rPr>
      </w:pPr>
    </w:p>
    <w:p w14:paraId="4F749C11" w14:textId="19F40918" w:rsidR="00EC77D9" w:rsidRPr="00150187" w:rsidRDefault="00EC77D9" w:rsidP="0037368C">
      <w:pPr>
        <w:spacing w:after="0" w:line="360" w:lineRule="auto"/>
        <w:rPr>
          <w:rFonts w:eastAsia="Calibri" w:cs="Tahoma"/>
          <w:b/>
          <w:bCs/>
          <w:color w:val="auto"/>
          <w:lang w:val="es-ES"/>
        </w:rPr>
      </w:pPr>
      <w:r w:rsidRPr="00150187">
        <w:rPr>
          <w:rFonts w:eastAsia="Calibri" w:cs="Tahoma"/>
          <w:b/>
          <w:bCs/>
          <w:color w:val="auto"/>
          <w:lang w:val="es-ES"/>
        </w:rPr>
        <w:t>I. Presentación de la solicitud de información</w:t>
      </w:r>
    </w:p>
    <w:p w14:paraId="4794251F" w14:textId="77777777" w:rsidR="00EC77D9" w:rsidRPr="00150187" w:rsidRDefault="00EC77D9" w:rsidP="0037368C">
      <w:pPr>
        <w:spacing w:after="0" w:line="360" w:lineRule="auto"/>
        <w:rPr>
          <w:rFonts w:eastAsia="Calibri" w:cs="Tahoma"/>
          <w:b/>
          <w:bCs/>
          <w:color w:val="auto"/>
          <w:lang w:val="es-ES"/>
        </w:rPr>
      </w:pPr>
    </w:p>
    <w:p w14:paraId="2A4DF178" w14:textId="3DE3DD37" w:rsidR="00CA1FFA" w:rsidRPr="00150187" w:rsidRDefault="00CD3EE5" w:rsidP="00CA1FFA">
      <w:pPr>
        <w:spacing w:after="0" w:line="360" w:lineRule="auto"/>
        <w:rPr>
          <w:color w:val="auto"/>
        </w:rPr>
      </w:pPr>
      <w:r w:rsidRPr="00150187">
        <w:rPr>
          <w:rFonts w:eastAsia="Times New Roman" w:cs="Tahoma"/>
          <w:color w:val="auto"/>
          <w:lang w:eastAsia="es-ES"/>
        </w:rPr>
        <w:t xml:space="preserve">El </w:t>
      </w:r>
      <w:r w:rsidR="00085C38" w:rsidRPr="00150187">
        <w:rPr>
          <w:rFonts w:eastAsia="Times New Roman" w:cs="Tahoma"/>
          <w:color w:val="auto"/>
          <w:lang w:eastAsia="es-ES"/>
        </w:rPr>
        <w:t>treinta</w:t>
      </w:r>
      <w:r w:rsidR="00C3348B" w:rsidRPr="00150187">
        <w:rPr>
          <w:rFonts w:eastAsia="Times New Roman" w:cs="Tahoma"/>
          <w:color w:val="auto"/>
          <w:lang w:eastAsia="es-ES"/>
        </w:rPr>
        <w:t xml:space="preserve"> de agosto de dos mil veinticuatro, </w:t>
      </w:r>
      <w:r w:rsidR="009D41E7" w:rsidRPr="00150187">
        <w:rPr>
          <w:rFonts w:eastAsia="Calibri" w:cs="Tahoma"/>
          <w:color w:val="auto"/>
          <w:lang w:val="es-ES"/>
        </w:rPr>
        <w:t xml:space="preserve">la persona Solicitante </w:t>
      </w:r>
      <w:r w:rsidR="00CA1FFA" w:rsidRPr="00150187">
        <w:rPr>
          <w:rFonts w:eastAsia="Calibri" w:cs="Tahoma"/>
          <w:color w:val="auto"/>
          <w:lang w:val="es-ES"/>
        </w:rPr>
        <w:t xml:space="preserve">presentó </w:t>
      </w:r>
      <w:r w:rsidR="009D41E7" w:rsidRPr="00150187">
        <w:rPr>
          <w:rFonts w:eastAsia="Calibri" w:cs="Tahoma"/>
          <w:color w:val="auto"/>
          <w:lang w:val="es-ES"/>
        </w:rPr>
        <w:t>un requerimiento</w:t>
      </w:r>
      <w:r w:rsidR="00CA1FFA" w:rsidRPr="00150187">
        <w:rPr>
          <w:rFonts w:eastAsia="Calibri" w:cs="Tahoma"/>
          <w:color w:val="auto"/>
          <w:lang w:val="es-ES"/>
        </w:rPr>
        <w:t xml:space="preserve"> de acceso a la información, a través </w:t>
      </w:r>
      <w:r w:rsidR="00085C38" w:rsidRPr="00150187">
        <w:rPr>
          <w:rFonts w:eastAsia="Calibri" w:cs="Tahoma"/>
          <w:color w:val="auto"/>
          <w:lang w:val="es-ES"/>
        </w:rPr>
        <w:t>de la Plataforma Nacional de Transparencia (PNT)</w:t>
      </w:r>
      <w:r w:rsidR="00CA1FFA" w:rsidRPr="00150187">
        <w:rPr>
          <w:rFonts w:eastAsia="Calibri" w:cs="Tahoma"/>
          <w:color w:val="auto"/>
          <w:lang w:val="es-ES"/>
        </w:rPr>
        <w:t>, ante el</w:t>
      </w:r>
      <w:r w:rsidR="00CA1FFA" w:rsidRPr="00150187">
        <w:rPr>
          <w:color w:val="auto"/>
          <w:lang w:val="es-ES"/>
        </w:rPr>
        <w:t xml:space="preserve"> </w:t>
      </w:r>
      <w:r w:rsidR="00085C38" w:rsidRPr="00150187">
        <w:rPr>
          <w:color w:val="auto"/>
        </w:rPr>
        <w:t>Ayuntamiento de Amecameca</w:t>
      </w:r>
      <w:r w:rsidR="00CA1FFA" w:rsidRPr="00150187">
        <w:rPr>
          <w:rFonts w:eastAsia="Calibri" w:cs="Tahoma"/>
          <w:color w:val="auto"/>
        </w:rPr>
        <w:t>,</w:t>
      </w:r>
      <w:r w:rsidR="00CA1FFA" w:rsidRPr="00150187">
        <w:rPr>
          <w:rFonts w:cs="Tahoma"/>
          <w:color w:val="auto"/>
        </w:rPr>
        <w:t xml:space="preserve"> en los siguientes términos:</w:t>
      </w:r>
    </w:p>
    <w:p w14:paraId="577122B9" w14:textId="77777777" w:rsidR="00CA1FFA" w:rsidRPr="00150187" w:rsidRDefault="00CA1FFA" w:rsidP="0037368C">
      <w:pPr>
        <w:spacing w:after="0" w:line="360" w:lineRule="auto"/>
        <w:rPr>
          <w:rFonts w:eastAsia="Times New Roman" w:cs="Tahoma"/>
          <w:color w:val="auto"/>
          <w:lang w:eastAsia="es-ES"/>
        </w:rPr>
      </w:pPr>
    </w:p>
    <w:p w14:paraId="3C749962" w14:textId="77777777" w:rsidR="00EC77D9" w:rsidRPr="00150187" w:rsidRDefault="00EC77D9" w:rsidP="0037368C">
      <w:pPr>
        <w:tabs>
          <w:tab w:val="left" w:pos="4667"/>
        </w:tabs>
        <w:spacing w:after="0" w:line="360" w:lineRule="auto"/>
        <w:ind w:left="567" w:right="567"/>
        <w:rPr>
          <w:rFonts w:cs="Tahoma"/>
          <w:b/>
          <w:bCs/>
          <w:i/>
          <w:color w:val="auto"/>
          <w:sz w:val="20"/>
          <w:szCs w:val="20"/>
        </w:rPr>
      </w:pPr>
      <w:r w:rsidRPr="00150187">
        <w:rPr>
          <w:rFonts w:cs="Tahoma"/>
          <w:b/>
          <w:bCs/>
          <w:i/>
          <w:color w:val="auto"/>
          <w:sz w:val="20"/>
          <w:szCs w:val="20"/>
        </w:rPr>
        <w:t>“DESCRIPCIÓN CLARA Y PRECISA DE LA INFORMACIÓN SOLICITADA</w:t>
      </w:r>
    </w:p>
    <w:p w14:paraId="67616193" w14:textId="40B72226"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 xml:space="preserve">Solicito los siguientes reportes que sin pretextos o excusas de argucias legales o evasivas sin fundamento jurídico legal obran en sus archivos del Ente </w:t>
      </w:r>
      <w:proofErr w:type="spellStart"/>
      <w:r w:rsidRPr="00150187">
        <w:rPr>
          <w:rFonts w:eastAsia="Times New Roman" w:cs="Arial"/>
          <w:bCs/>
          <w:i/>
          <w:iCs/>
          <w:color w:val="auto"/>
          <w:sz w:val="20"/>
          <w:szCs w:val="20"/>
          <w:lang w:eastAsia="es-ES"/>
        </w:rPr>
        <w:t>Publico</w:t>
      </w:r>
      <w:proofErr w:type="spellEnd"/>
      <w:r w:rsidRPr="00150187">
        <w:rPr>
          <w:rFonts w:eastAsia="Times New Roman" w:cs="Arial"/>
          <w:bCs/>
          <w:i/>
          <w:iCs/>
          <w:color w:val="auto"/>
          <w:sz w:val="20"/>
          <w:szCs w:val="20"/>
          <w:lang w:eastAsia="es-ES"/>
        </w:rPr>
        <w:t xml:space="preserve"> Obligado y que sin ningún pretexto se pueden extraer de sus portales en no </w:t>
      </w:r>
      <w:proofErr w:type="spellStart"/>
      <w:r w:rsidRPr="00150187">
        <w:rPr>
          <w:rFonts w:eastAsia="Times New Roman" w:cs="Arial"/>
          <w:bCs/>
          <w:i/>
          <w:iCs/>
          <w:color w:val="auto"/>
          <w:sz w:val="20"/>
          <w:szCs w:val="20"/>
          <w:lang w:eastAsia="es-ES"/>
        </w:rPr>
        <w:t>mas</w:t>
      </w:r>
      <w:proofErr w:type="spellEnd"/>
      <w:r w:rsidRPr="00150187">
        <w:rPr>
          <w:rFonts w:eastAsia="Times New Roman" w:cs="Arial"/>
          <w:bCs/>
          <w:i/>
          <w:iCs/>
          <w:color w:val="auto"/>
          <w:sz w:val="20"/>
          <w:szCs w:val="20"/>
          <w:lang w:eastAsia="es-ES"/>
        </w:rPr>
        <w:t xml:space="preserve"> de 30 minutos tal cual se solicitan de manera, ordenada, clara, precisa y puntual y que se enfatizan obran en sus archivos.</w:t>
      </w:r>
    </w:p>
    <w:p w14:paraId="157B84B1"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082221C3" w14:textId="77777777" w:rsidR="00773690" w:rsidRPr="00150187" w:rsidRDefault="00773690" w:rsidP="00085C38">
      <w:pPr>
        <w:spacing w:after="0" w:line="360" w:lineRule="auto"/>
        <w:ind w:left="567" w:right="567"/>
        <w:rPr>
          <w:rFonts w:eastAsia="Times New Roman" w:cs="Arial"/>
          <w:bCs/>
          <w:i/>
          <w:iCs/>
          <w:color w:val="auto"/>
          <w:sz w:val="20"/>
          <w:szCs w:val="20"/>
          <w:lang w:eastAsia="es-ES"/>
        </w:rPr>
      </w:pPr>
    </w:p>
    <w:p w14:paraId="66455CF1" w14:textId="77777777" w:rsidR="00773690" w:rsidRPr="00150187" w:rsidRDefault="00773690" w:rsidP="00085C38">
      <w:pPr>
        <w:spacing w:after="0" w:line="360" w:lineRule="auto"/>
        <w:ind w:left="567" w:right="567"/>
        <w:rPr>
          <w:rFonts w:eastAsia="Times New Roman" w:cs="Arial"/>
          <w:bCs/>
          <w:i/>
          <w:iCs/>
          <w:color w:val="auto"/>
          <w:sz w:val="20"/>
          <w:szCs w:val="20"/>
          <w:lang w:eastAsia="es-ES"/>
        </w:rPr>
      </w:pPr>
    </w:p>
    <w:p w14:paraId="178410CC" w14:textId="2075E7AB"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 xml:space="preserve">Esperando se pueda tener a la brevedad. Sin tener que seguir </w:t>
      </w:r>
      <w:proofErr w:type="spellStart"/>
      <w:r w:rsidRPr="00150187">
        <w:rPr>
          <w:rFonts w:eastAsia="Times New Roman" w:cs="Arial"/>
          <w:bCs/>
          <w:i/>
          <w:iCs/>
          <w:color w:val="auto"/>
          <w:sz w:val="20"/>
          <w:szCs w:val="20"/>
          <w:lang w:eastAsia="es-ES"/>
        </w:rPr>
        <w:t>litigimos</w:t>
      </w:r>
      <w:proofErr w:type="spellEnd"/>
      <w:r w:rsidRPr="00150187">
        <w:rPr>
          <w:rFonts w:eastAsia="Times New Roman" w:cs="Arial"/>
          <w:bCs/>
          <w:i/>
          <w:iCs/>
          <w:color w:val="auto"/>
          <w:sz w:val="20"/>
          <w:szCs w:val="20"/>
          <w:lang w:eastAsia="es-ES"/>
        </w:rPr>
        <w:t xml:space="preserve"> de Recursos de Revisión esto debido a trabas por servidores </w:t>
      </w:r>
      <w:proofErr w:type="spellStart"/>
      <w:r w:rsidRPr="00150187">
        <w:rPr>
          <w:rFonts w:eastAsia="Times New Roman" w:cs="Arial"/>
          <w:bCs/>
          <w:i/>
          <w:iCs/>
          <w:color w:val="auto"/>
          <w:sz w:val="20"/>
          <w:szCs w:val="20"/>
          <w:lang w:eastAsia="es-ES"/>
        </w:rPr>
        <w:t>publicos</w:t>
      </w:r>
      <w:proofErr w:type="spellEnd"/>
      <w:r w:rsidRPr="00150187">
        <w:rPr>
          <w:rFonts w:eastAsia="Times New Roman" w:cs="Arial"/>
          <w:bCs/>
          <w:i/>
          <w:iCs/>
          <w:color w:val="auto"/>
          <w:sz w:val="20"/>
          <w:szCs w:val="20"/>
          <w:lang w:eastAsia="es-ES"/>
        </w:rPr>
        <w:t xml:space="preserve"> o desconocimiento de sus archivos se me haga llegar en formato </w:t>
      </w:r>
      <w:proofErr w:type="spellStart"/>
      <w:r w:rsidRPr="00150187">
        <w:rPr>
          <w:rFonts w:eastAsia="Times New Roman" w:cs="Arial"/>
          <w:bCs/>
          <w:i/>
          <w:iCs/>
          <w:color w:val="auto"/>
          <w:sz w:val="20"/>
          <w:szCs w:val="20"/>
          <w:lang w:eastAsia="es-ES"/>
        </w:rPr>
        <w:t>pdf</w:t>
      </w:r>
      <w:proofErr w:type="spellEnd"/>
      <w:r w:rsidRPr="00150187">
        <w:rPr>
          <w:rFonts w:eastAsia="Times New Roman" w:cs="Arial"/>
          <w:bCs/>
          <w:i/>
          <w:iCs/>
          <w:color w:val="auto"/>
          <w:sz w:val="20"/>
          <w:szCs w:val="20"/>
          <w:lang w:eastAsia="es-ES"/>
        </w:rPr>
        <w:t>. Vía datos adjuntos o link de nube por correo electrónico.</w:t>
      </w:r>
    </w:p>
    <w:p w14:paraId="533DE5DD"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408513CA"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Agradezco la atención quedo pendiente de lo solicitado. Gracias.</w:t>
      </w:r>
    </w:p>
    <w:p w14:paraId="38B405FA"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71925045" w14:textId="193FA5A2"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*El visor de nómina por sueldos y salarios, es un reporte que baja el tesorero del municipio de la plataforma del SAT en unos pocos minutos, usando la clave CIEC o la FIEL. del año 2020 a la feche de esta solicitud Arroja los dos resultados que ocupo:</w:t>
      </w:r>
    </w:p>
    <w:p w14:paraId="151E52AB"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1) Diferencia a cargo o a favor o en contra</w:t>
      </w:r>
    </w:p>
    <w:p w14:paraId="4756174E"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 xml:space="preserve">2) ISR retenido que a su vez es el monto histórico recuperado por conducto de la </w:t>
      </w:r>
      <w:proofErr w:type="gramStart"/>
      <w:r w:rsidRPr="00150187">
        <w:rPr>
          <w:rFonts w:eastAsia="Times New Roman" w:cs="Arial"/>
          <w:bCs/>
          <w:i/>
          <w:iCs/>
          <w:color w:val="auto"/>
          <w:sz w:val="20"/>
          <w:szCs w:val="20"/>
          <w:lang w:eastAsia="es-ES"/>
        </w:rPr>
        <w:t>Secretaria</w:t>
      </w:r>
      <w:proofErr w:type="gramEnd"/>
      <w:r w:rsidRPr="00150187">
        <w:rPr>
          <w:rFonts w:eastAsia="Times New Roman" w:cs="Arial"/>
          <w:bCs/>
          <w:i/>
          <w:iCs/>
          <w:color w:val="auto"/>
          <w:sz w:val="20"/>
          <w:szCs w:val="20"/>
          <w:lang w:eastAsia="es-ES"/>
        </w:rPr>
        <w:t xml:space="preserve"> de Finanzas del Estado.</w:t>
      </w:r>
    </w:p>
    <w:p w14:paraId="4F580030" w14:textId="627BA402"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El visor de nómina por asimilados a salarios. Le aplican los comentarios del visor de salarios. Éstos dos visores se requieren por el municipio, y las paramunicipales</w:t>
      </w:r>
    </w:p>
    <w:p w14:paraId="5E21AB64"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7E0C068D"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También se solicita:</w:t>
      </w:r>
    </w:p>
    <w:p w14:paraId="72739852"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5B41C395" w14:textId="4D1F2274"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 xml:space="preserve">*Reporte emitido por la </w:t>
      </w:r>
      <w:proofErr w:type="gramStart"/>
      <w:r w:rsidRPr="00150187">
        <w:rPr>
          <w:rFonts w:eastAsia="Times New Roman" w:cs="Arial"/>
          <w:bCs/>
          <w:i/>
          <w:iCs/>
          <w:color w:val="auto"/>
          <w:sz w:val="20"/>
          <w:szCs w:val="20"/>
          <w:lang w:eastAsia="es-ES"/>
        </w:rPr>
        <w:t>Secretaria</w:t>
      </w:r>
      <w:proofErr w:type="gramEnd"/>
      <w:r w:rsidRPr="00150187">
        <w:rPr>
          <w:rFonts w:eastAsia="Times New Roman" w:cs="Arial"/>
          <w:bCs/>
          <w:i/>
          <w:iCs/>
          <w:color w:val="auto"/>
          <w:sz w:val="20"/>
          <w:szCs w:val="20"/>
          <w:lang w:eastAsia="es-ES"/>
        </w:rPr>
        <w:t xml:space="preserve"> de Finanzas del Estado que comprende desde el año 2015 a la fecha en el que se especifica el monto del ISR que se obtuvo en devolución.</w:t>
      </w:r>
    </w:p>
    <w:p w14:paraId="61C47E4E" w14:textId="5CF3C7E4" w:rsidR="00085C38"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*Reporte emitido por el software de contabilidad gubernamental en el que se pueda apreciar el control del saldo pendiente de recuperar del ISR participable. Puede ser el auxiliar contable de una cuenta de activo, una nota de desglose a los estados financieros.</w:t>
      </w:r>
    </w:p>
    <w:p w14:paraId="0D18E478" w14:textId="77777777" w:rsidR="00085C38" w:rsidRPr="00150187" w:rsidRDefault="00085C38" w:rsidP="00085C38">
      <w:pPr>
        <w:spacing w:after="0" w:line="360" w:lineRule="auto"/>
        <w:ind w:left="567" w:right="567"/>
        <w:rPr>
          <w:rFonts w:eastAsia="Times New Roman" w:cs="Arial"/>
          <w:bCs/>
          <w:i/>
          <w:iCs/>
          <w:color w:val="auto"/>
          <w:sz w:val="20"/>
          <w:szCs w:val="20"/>
          <w:lang w:eastAsia="es-ES"/>
        </w:rPr>
      </w:pPr>
    </w:p>
    <w:p w14:paraId="602D270E" w14:textId="499DA93C" w:rsidR="00EC77D9" w:rsidRPr="00150187" w:rsidRDefault="00085C38" w:rsidP="00085C38">
      <w:pPr>
        <w:spacing w:after="0" w:line="360" w:lineRule="auto"/>
        <w:ind w:left="567" w:right="567"/>
        <w:rPr>
          <w:rFonts w:eastAsia="Times New Roman" w:cs="Arial"/>
          <w:bCs/>
          <w:i/>
          <w:iCs/>
          <w:color w:val="auto"/>
          <w:sz w:val="20"/>
          <w:szCs w:val="20"/>
          <w:lang w:eastAsia="es-ES"/>
        </w:rPr>
      </w:pPr>
      <w:r w:rsidRPr="00150187">
        <w:rPr>
          <w:rFonts w:eastAsia="Times New Roman" w:cs="Arial"/>
          <w:bCs/>
          <w:i/>
          <w:iCs/>
          <w:color w:val="auto"/>
          <w:sz w:val="20"/>
          <w:szCs w:val="20"/>
          <w:lang w:eastAsia="es-ES"/>
        </w:rPr>
        <w:t xml:space="preserve">Se adjunta ejemplo en archivo </w:t>
      </w:r>
      <w:proofErr w:type="spellStart"/>
      <w:r w:rsidRPr="00150187">
        <w:rPr>
          <w:rFonts w:eastAsia="Times New Roman" w:cs="Arial"/>
          <w:bCs/>
          <w:i/>
          <w:iCs/>
          <w:color w:val="auto"/>
          <w:sz w:val="20"/>
          <w:szCs w:val="20"/>
          <w:lang w:eastAsia="es-ES"/>
        </w:rPr>
        <w:t>pdf</w:t>
      </w:r>
      <w:proofErr w:type="spellEnd"/>
      <w:r w:rsidRPr="00150187">
        <w:rPr>
          <w:rFonts w:eastAsia="Times New Roman" w:cs="Arial"/>
          <w:bCs/>
          <w:i/>
          <w:iCs/>
          <w:color w:val="auto"/>
          <w:sz w:val="20"/>
          <w:szCs w:val="20"/>
          <w:lang w:eastAsia="es-ES"/>
        </w:rPr>
        <w:t xml:space="preserve">. de un Ente </w:t>
      </w:r>
      <w:proofErr w:type="spellStart"/>
      <w:r w:rsidRPr="00150187">
        <w:rPr>
          <w:rFonts w:eastAsia="Times New Roman" w:cs="Arial"/>
          <w:bCs/>
          <w:i/>
          <w:iCs/>
          <w:color w:val="auto"/>
          <w:sz w:val="20"/>
          <w:szCs w:val="20"/>
          <w:lang w:eastAsia="es-ES"/>
        </w:rPr>
        <w:t>Publico</w:t>
      </w:r>
      <w:proofErr w:type="spellEnd"/>
      <w:r w:rsidRPr="00150187">
        <w:rPr>
          <w:rFonts w:eastAsia="Times New Roman" w:cs="Arial"/>
          <w:bCs/>
          <w:i/>
          <w:iCs/>
          <w:color w:val="auto"/>
          <w:sz w:val="20"/>
          <w:szCs w:val="20"/>
          <w:lang w:eastAsia="es-ES"/>
        </w:rPr>
        <w:t xml:space="preserve"> Municipal del estado de Guanajuato para que les sirva de ejemplo y no existan dudas de lo que se está requiriendo. Y como se me entrego de una forma total, en una sola </w:t>
      </w:r>
      <w:proofErr w:type="gramStart"/>
      <w:r w:rsidRPr="00150187">
        <w:rPr>
          <w:rFonts w:eastAsia="Times New Roman" w:cs="Arial"/>
          <w:bCs/>
          <w:i/>
          <w:iCs/>
          <w:color w:val="auto"/>
          <w:sz w:val="20"/>
          <w:szCs w:val="20"/>
          <w:lang w:eastAsia="es-ES"/>
        </w:rPr>
        <w:t>exhibición ,</w:t>
      </w:r>
      <w:proofErr w:type="gramEnd"/>
      <w:r w:rsidRPr="00150187">
        <w:rPr>
          <w:rFonts w:eastAsia="Times New Roman" w:cs="Arial"/>
          <w:bCs/>
          <w:i/>
          <w:iCs/>
          <w:color w:val="auto"/>
          <w:sz w:val="20"/>
          <w:szCs w:val="20"/>
          <w:lang w:eastAsia="es-ES"/>
        </w:rPr>
        <w:t xml:space="preserve"> clara y legiblemente y sobre todo ordenada.</w:t>
      </w:r>
      <w:r w:rsidR="00EC77D9" w:rsidRPr="00150187">
        <w:rPr>
          <w:rFonts w:eastAsia="Times New Roman" w:cs="Arial"/>
          <w:bCs/>
          <w:i/>
          <w:iCs/>
          <w:color w:val="auto"/>
          <w:sz w:val="20"/>
          <w:szCs w:val="20"/>
          <w:lang w:eastAsia="es-ES"/>
        </w:rPr>
        <w:t>” (Sic)</w:t>
      </w:r>
    </w:p>
    <w:p w14:paraId="4F954085" w14:textId="77777777" w:rsidR="006D4812" w:rsidRPr="00150187" w:rsidRDefault="006D4812" w:rsidP="00B32270">
      <w:pPr>
        <w:spacing w:after="0" w:line="360" w:lineRule="auto"/>
        <w:ind w:right="567"/>
        <w:rPr>
          <w:rFonts w:eastAsia="Times New Roman" w:cs="Arial"/>
          <w:bCs/>
          <w:i/>
          <w:iCs/>
          <w:color w:val="auto"/>
          <w:sz w:val="20"/>
          <w:szCs w:val="20"/>
          <w:lang w:eastAsia="es-ES"/>
        </w:rPr>
      </w:pPr>
    </w:p>
    <w:p w14:paraId="67F62DB8" w14:textId="77777777" w:rsidR="00773690" w:rsidRPr="00150187" w:rsidRDefault="00773690" w:rsidP="00B32270">
      <w:pPr>
        <w:spacing w:after="0" w:line="360" w:lineRule="auto"/>
        <w:ind w:right="567"/>
        <w:rPr>
          <w:rFonts w:eastAsia="Times New Roman" w:cs="Arial"/>
          <w:bCs/>
          <w:i/>
          <w:iCs/>
          <w:color w:val="auto"/>
          <w:sz w:val="20"/>
          <w:szCs w:val="20"/>
          <w:lang w:eastAsia="es-ES"/>
        </w:rPr>
      </w:pPr>
    </w:p>
    <w:p w14:paraId="4B1DBBBB" w14:textId="77777777" w:rsidR="00085C38" w:rsidRPr="00150187" w:rsidRDefault="00085C38" w:rsidP="00B32270">
      <w:pPr>
        <w:spacing w:after="0" w:line="360" w:lineRule="auto"/>
        <w:ind w:right="567"/>
        <w:rPr>
          <w:rFonts w:eastAsia="Times New Roman" w:cs="Arial"/>
          <w:bCs/>
          <w:i/>
          <w:iCs/>
          <w:color w:val="auto"/>
          <w:sz w:val="20"/>
          <w:szCs w:val="20"/>
          <w:lang w:eastAsia="es-ES"/>
        </w:rPr>
      </w:pPr>
    </w:p>
    <w:p w14:paraId="79E06722" w14:textId="5B25D8C1" w:rsidR="00085C38" w:rsidRPr="00150187" w:rsidRDefault="00085C38" w:rsidP="00085C38">
      <w:pPr>
        <w:tabs>
          <w:tab w:val="left" w:pos="4667"/>
        </w:tabs>
        <w:spacing w:after="0" w:line="360" w:lineRule="auto"/>
        <w:ind w:left="567" w:right="567"/>
        <w:rPr>
          <w:rFonts w:eastAsia="Times New Roman" w:cs="Tahoma"/>
          <w:b/>
          <w:bCs/>
          <w:i/>
          <w:iCs/>
          <w:sz w:val="20"/>
          <w:szCs w:val="20"/>
          <w:lang w:eastAsia="es-ES"/>
        </w:rPr>
      </w:pPr>
      <w:r w:rsidRPr="00150187">
        <w:rPr>
          <w:rFonts w:eastAsia="Times New Roman" w:cs="Tahoma"/>
          <w:b/>
          <w:bCs/>
          <w:i/>
          <w:iCs/>
          <w:sz w:val="20"/>
          <w:szCs w:val="20"/>
          <w:lang w:eastAsia="es-ES"/>
        </w:rPr>
        <w:t>“CUALQUIER OTRO DETALLE QUE FACILITE LA BÚSQUEDA DE LA INFORMACIÓN</w:t>
      </w:r>
    </w:p>
    <w:p w14:paraId="0064FD26" w14:textId="0226159E" w:rsidR="00085C38" w:rsidRPr="00150187" w:rsidRDefault="00085C38" w:rsidP="00085C38">
      <w:pPr>
        <w:tabs>
          <w:tab w:val="left" w:pos="4667"/>
        </w:tabs>
        <w:spacing w:after="0" w:line="360" w:lineRule="auto"/>
        <w:ind w:left="567" w:right="567"/>
        <w:rPr>
          <w:rFonts w:eastAsia="Times New Roman" w:cs="Tahoma"/>
          <w:i/>
          <w:iCs/>
          <w:sz w:val="20"/>
          <w:szCs w:val="20"/>
          <w:lang w:eastAsia="es-ES"/>
        </w:rPr>
      </w:pPr>
      <w:r w:rsidRPr="00150187">
        <w:rPr>
          <w:rFonts w:eastAsia="Times New Roman" w:cs="Tahoma"/>
          <w:i/>
          <w:iCs/>
          <w:sz w:val="20"/>
          <w:szCs w:val="20"/>
          <w:lang w:eastAsia="es-ES"/>
        </w:rPr>
        <w:t>Con las Tesorerías municipales de los respectivos entes públicos obligados y o especialistas financieros</w:t>
      </w:r>
    </w:p>
    <w:p w14:paraId="534EE9F5" w14:textId="77777777" w:rsidR="00B823F1" w:rsidRPr="00150187" w:rsidRDefault="00B823F1" w:rsidP="00B32270">
      <w:pPr>
        <w:spacing w:after="0" w:line="360" w:lineRule="auto"/>
        <w:ind w:right="567"/>
        <w:rPr>
          <w:rFonts w:eastAsia="Times New Roman" w:cs="Arial"/>
          <w:bCs/>
          <w:i/>
          <w:iCs/>
          <w:color w:val="auto"/>
          <w:sz w:val="20"/>
          <w:szCs w:val="20"/>
          <w:lang w:eastAsia="es-ES"/>
        </w:rPr>
      </w:pPr>
    </w:p>
    <w:p w14:paraId="22E3C9B5" w14:textId="77777777" w:rsidR="00085C38" w:rsidRPr="00150187" w:rsidRDefault="00085C38" w:rsidP="00085C38">
      <w:pPr>
        <w:tabs>
          <w:tab w:val="left" w:pos="4667"/>
        </w:tabs>
        <w:spacing w:after="0" w:line="360" w:lineRule="auto"/>
        <w:ind w:left="567" w:right="567"/>
        <w:rPr>
          <w:rFonts w:eastAsia="Times New Roman" w:cs="Tahoma"/>
          <w:b/>
          <w:bCs/>
          <w:i/>
          <w:iCs/>
          <w:sz w:val="20"/>
          <w:szCs w:val="20"/>
          <w:lang w:eastAsia="es-ES"/>
        </w:rPr>
      </w:pPr>
      <w:r w:rsidRPr="00150187">
        <w:rPr>
          <w:rFonts w:eastAsia="Times New Roman" w:cs="Tahoma"/>
          <w:b/>
          <w:bCs/>
          <w:i/>
          <w:iCs/>
          <w:sz w:val="20"/>
          <w:szCs w:val="20"/>
          <w:lang w:eastAsia="es-ES"/>
        </w:rPr>
        <w:t>“MODALIDAD DE ENTREGA</w:t>
      </w:r>
    </w:p>
    <w:p w14:paraId="17BDDC34" w14:textId="77777777" w:rsidR="00085C38" w:rsidRPr="00150187" w:rsidRDefault="00085C38" w:rsidP="00085C38">
      <w:pPr>
        <w:tabs>
          <w:tab w:val="left" w:pos="4667"/>
        </w:tabs>
        <w:spacing w:after="0" w:line="360" w:lineRule="auto"/>
        <w:ind w:left="567" w:right="567"/>
        <w:rPr>
          <w:rFonts w:eastAsia="Times New Roman" w:cs="Tahoma"/>
          <w:b/>
          <w:bCs/>
          <w:i/>
          <w:iCs/>
          <w:sz w:val="20"/>
          <w:szCs w:val="20"/>
          <w:lang w:eastAsia="es-ES"/>
        </w:rPr>
      </w:pPr>
      <w:r w:rsidRPr="00150187">
        <w:rPr>
          <w:rFonts w:eastAsia="Times New Roman" w:cs="Tahoma"/>
          <w:b/>
          <w:bCs/>
          <w:i/>
          <w:iCs/>
          <w:sz w:val="20"/>
          <w:szCs w:val="20"/>
          <w:lang w:eastAsia="es-ES"/>
        </w:rPr>
        <w:t>Medio para recibir información o notificaciones</w:t>
      </w:r>
    </w:p>
    <w:p w14:paraId="69B57A40" w14:textId="77777777" w:rsidR="00085C38" w:rsidRPr="00150187" w:rsidRDefault="00085C38" w:rsidP="00085C38">
      <w:pPr>
        <w:tabs>
          <w:tab w:val="left" w:pos="4667"/>
        </w:tabs>
        <w:spacing w:after="0" w:line="360" w:lineRule="auto"/>
        <w:ind w:left="567" w:right="567"/>
        <w:rPr>
          <w:rFonts w:eastAsia="Times New Roman" w:cs="Tahoma"/>
          <w:bCs/>
          <w:i/>
          <w:iCs/>
          <w:sz w:val="20"/>
          <w:szCs w:val="20"/>
          <w:lang w:eastAsia="es-ES"/>
        </w:rPr>
      </w:pPr>
      <w:r w:rsidRPr="00150187">
        <w:rPr>
          <w:rFonts w:eastAsia="Times New Roman" w:cs="Tahoma"/>
          <w:bCs/>
          <w:i/>
          <w:iCs/>
          <w:sz w:val="20"/>
          <w:szCs w:val="20"/>
          <w:lang w:eastAsia="es-ES"/>
        </w:rPr>
        <w:t>Correo electrónico</w:t>
      </w:r>
    </w:p>
    <w:p w14:paraId="721FCE67" w14:textId="77777777" w:rsidR="00085C38" w:rsidRPr="00150187" w:rsidRDefault="00085C38" w:rsidP="00085C38">
      <w:pPr>
        <w:tabs>
          <w:tab w:val="left" w:pos="4667"/>
        </w:tabs>
        <w:spacing w:after="0" w:line="360" w:lineRule="auto"/>
        <w:ind w:left="567" w:right="567"/>
        <w:rPr>
          <w:rFonts w:eastAsia="Times New Roman" w:cs="Tahoma"/>
          <w:bCs/>
          <w:i/>
          <w:iCs/>
          <w:vanish/>
          <w:sz w:val="20"/>
          <w:szCs w:val="20"/>
          <w:lang w:eastAsia="es-ES"/>
        </w:rPr>
      </w:pPr>
    </w:p>
    <w:p w14:paraId="493E2780" w14:textId="77777777" w:rsidR="00085C38" w:rsidRPr="00150187" w:rsidRDefault="00085C38" w:rsidP="00085C38">
      <w:pPr>
        <w:tabs>
          <w:tab w:val="left" w:pos="4667"/>
        </w:tabs>
        <w:spacing w:after="0" w:line="360" w:lineRule="auto"/>
        <w:ind w:left="567" w:right="567"/>
        <w:rPr>
          <w:rFonts w:eastAsia="Times New Roman" w:cs="Tahoma"/>
          <w:bCs/>
          <w:i/>
          <w:iCs/>
          <w:vanish/>
          <w:sz w:val="20"/>
          <w:szCs w:val="20"/>
          <w:lang w:eastAsia="es-ES"/>
        </w:rPr>
      </w:pPr>
    </w:p>
    <w:p w14:paraId="707E2A7F" w14:textId="77777777" w:rsidR="00085C38" w:rsidRPr="00150187" w:rsidRDefault="00085C38" w:rsidP="00085C38">
      <w:pPr>
        <w:tabs>
          <w:tab w:val="left" w:pos="4667"/>
        </w:tabs>
        <w:spacing w:after="0" w:line="360" w:lineRule="auto"/>
        <w:ind w:left="567" w:right="567"/>
        <w:rPr>
          <w:rFonts w:eastAsia="Times New Roman" w:cs="Tahoma"/>
          <w:bCs/>
          <w:i/>
          <w:iCs/>
          <w:vanish/>
          <w:sz w:val="20"/>
          <w:szCs w:val="20"/>
          <w:lang w:eastAsia="es-ES"/>
        </w:rPr>
      </w:pPr>
    </w:p>
    <w:p w14:paraId="3331318A" w14:textId="77777777" w:rsidR="00085C38" w:rsidRPr="00150187" w:rsidRDefault="00085C38" w:rsidP="00085C38">
      <w:pPr>
        <w:tabs>
          <w:tab w:val="left" w:pos="4667"/>
        </w:tabs>
        <w:spacing w:after="0" w:line="360" w:lineRule="auto"/>
        <w:ind w:left="567" w:right="567"/>
        <w:rPr>
          <w:rFonts w:eastAsia="Times New Roman" w:cs="Tahoma"/>
          <w:bCs/>
          <w:i/>
          <w:iCs/>
          <w:vanish/>
          <w:sz w:val="20"/>
          <w:szCs w:val="20"/>
          <w:lang w:eastAsia="es-ES"/>
        </w:rPr>
      </w:pPr>
    </w:p>
    <w:p w14:paraId="01464817" w14:textId="77777777" w:rsidR="00085C38" w:rsidRPr="00150187" w:rsidRDefault="00085C38" w:rsidP="00085C38">
      <w:pPr>
        <w:tabs>
          <w:tab w:val="left" w:pos="4667"/>
        </w:tabs>
        <w:spacing w:after="0" w:line="360" w:lineRule="auto"/>
        <w:ind w:left="567" w:right="567"/>
        <w:rPr>
          <w:rFonts w:eastAsia="Times New Roman" w:cs="Tahoma"/>
          <w:bCs/>
          <w:i/>
          <w:iCs/>
          <w:sz w:val="20"/>
          <w:szCs w:val="20"/>
          <w:lang w:eastAsia="es-ES"/>
        </w:rPr>
      </w:pPr>
    </w:p>
    <w:p w14:paraId="00483C61" w14:textId="77777777" w:rsidR="00085C38" w:rsidRPr="00150187" w:rsidRDefault="00085C38" w:rsidP="00085C38">
      <w:pPr>
        <w:tabs>
          <w:tab w:val="left" w:pos="4667"/>
        </w:tabs>
        <w:spacing w:after="0" w:line="360" w:lineRule="auto"/>
        <w:ind w:left="567" w:right="567"/>
        <w:rPr>
          <w:rFonts w:eastAsia="Times New Roman" w:cs="Tahoma"/>
          <w:b/>
          <w:bCs/>
          <w:i/>
          <w:iCs/>
          <w:sz w:val="20"/>
          <w:szCs w:val="20"/>
          <w:lang w:eastAsia="es-ES"/>
        </w:rPr>
      </w:pPr>
      <w:r w:rsidRPr="00150187">
        <w:rPr>
          <w:rFonts w:eastAsia="Times New Roman" w:cs="Tahoma"/>
          <w:b/>
          <w:bCs/>
          <w:i/>
          <w:iCs/>
          <w:sz w:val="20"/>
          <w:szCs w:val="20"/>
          <w:lang w:eastAsia="es-ES"/>
        </w:rPr>
        <w:t>Indique cómo desea recibir la información</w:t>
      </w:r>
    </w:p>
    <w:p w14:paraId="6E40F42F" w14:textId="77777777" w:rsidR="00085C38" w:rsidRPr="00150187" w:rsidRDefault="00085C38" w:rsidP="00085C38">
      <w:pPr>
        <w:tabs>
          <w:tab w:val="left" w:pos="4667"/>
        </w:tabs>
        <w:spacing w:after="0" w:line="360" w:lineRule="auto"/>
        <w:ind w:left="567" w:right="567"/>
        <w:rPr>
          <w:rFonts w:eastAsia="Times New Roman" w:cs="Tahoma"/>
          <w:bCs/>
          <w:i/>
          <w:iCs/>
          <w:sz w:val="20"/>
          <w:szCs w:val="20"/>
          <w:lang w:eastAsia="es-ES"/>
        </w:rPr>
      </w:pPr>
      <w:r w:rsidRPr="00150187">
        <w:rPr>
          <w:i/>
          <w:iCs/>
          <w:sz w:val="20"/>
          <w:szCs w:val="20"/>
        </w:rPr>
        <w:t>Cualquier otro medio incluido los electrónicos (USB, SD, Disco</w:t>
      </w:r>
    </w:p>
    <w:p w14:paraId="4CE49516" w14:textId="77777777" w:rsidR="00085C38" w:rsidRPr="00150187" w:rsidRDefault="00085C38" w:rsidP="00085C38">
      <w:pPr>
        <w:autoSpaceDE w:val="0"/>
        <w:autoSpaceDN w:val="0"/>
        <w:adjustRightInd w:val="0"/>
        <w:spacing w:after="0" w:line="360" w:lineRule="auto"/>
        <w:rPr>
          <w:rFonts w:eastAsia="Calibri" w:cs="Tahoma"/>
          <w:color w:val="000000"/>
        </w:rPr>
      </w:pPr>
    </w:p>
    <w:p w14:paraId="7838519E" w14:textId="66037DAD" w:rsidR="00085C38" w:rsidRPr="00150187" w:rsidRDefault="00085C38" w:rsidP="00085C38">
      <w:pPr>
        <w:autoSpaceDE w:val="0"/>
        <w:autoSpaceDN w:val="0"/>
        <w:adjustRightInd w:val="0"/>
        <w:spacing w:after="0" w:line="360" w:lineRule="auto"/>
        <w:rPr>
          <w:rFonts w:eastAsia="Calibri" w:cs="Tahoma"/>
          <w:color w:val="000000"/>
        </w:rPr>
      </w:pPr>
      <w:r w:rsidRPr="00150187">
        <w:rPr>
          <w:rFonts w:eastAsia="Calibri" w:cs="Tahoma"/>
          <w:color w:val="000000"/>
        </w:rPr>
        <w:t>Cabe señalar que el sistema de solicitudes de acceso a la información de la Plataforma Nacional de Transparencia (PNT), se encuentra vinculado al Sistema de Acceso a la Información Mexiquense (SAIMEX), por lo que, se tiene como modalidad de recibir notificaciones y entrega de la información “A través del SAIMEX”, correo electrónico, cualquier otro medio incluido los electrónicos (USB, SD, Disco).</w:t>
      </w:r>
    </w:p>
    <w:p w14:paraId="2A0BB493" w14:textId="77777777" w:rsidR="00085C38" w:rsidRPr="00150187" w:rsidRDefault="00085C38" w:rsidP="00085C38">
      <w:pPr>
        <w:autoSpaceDE w:val="0"/>
        <w:autoSpaceDN w:val="0"/>
        <w:adjustRightInd w:val="0"/>
        <w:spacing w:after="0" w:line="360" w:lineRule="auto"/>
        <w:rPr>
          <w:rFonts w:eastAsia="Calibri" w:cs="Tahoma"/>
          <w:color w:val="000000"/>
        </w:rPr>
      </w:pPr>
    </w:p>
    <w:p w14:paraId="1553832F" w14:textId="34700FBE" w:rsidR="00085C38" w:rsidRPr="00150187" w:rsidRDefault="00085C38" w:rsidP="00085C38">
      <w:pPr>
        <w:autoSpaceDE w:val="0"/>
        <w:autoSpaceDN w:val="0"/>
        <w:adjustRightInd w:val="0"/>
        <w:spacing w:after="0" w:line="360" w:lineRule="auto"/>
        <w:rPr>
          <w:rFonts w:eastAsia="Calibri" w:cs="Tahoma"/>
          <w:color w:val="000000"/>
        </w:rPr>
      </w:pPr>
      <w:r w:rsidRPr="00150187">
        <w:rPr>
          <w:rFonts w:eastAsia="Calibri" w:cs="Tahoma"/>
          <w:color w:val="000000"/>
        </w:rPr>
        <w:t>El Particular adjuntó la digitalización de la respuesta de una solicitud de información, emitida por el Gobierno de Irapuato.</w:t>
      </w:r>
    </w:p>
    <w:p w14:paraId="043AC358" w14:textId="77777777" w:rsidR="00085C38" w:rsidRPr="00150187" w:rsidRDefault="00085C38" w:rsidP="00085C38">
      <w:pPr>
        <w:autoSpaceDE w:val="0"/>
        <w:autoSpaceDN w:val="0"/>
        <w:adjustRightInd w:val="0"/>
        <w:spacing w:after="0" w:line="360" w:lineRule="auto"/>
        <w:rPr>
          <w:rFonts w:eastAsia="Calibri" w:cs="Tahoma"/>
          <w:color w:val="000000"/>
        </w:rPr>
      </w:pPr>
    </w:p>
    <w:p w14:paraId="34F9ADE6" w14:textId="0599814A" w:rsidR="001756F2" w:rsidRPr="00150187" w:rsidRDefault="00E96382" w:rsidP="0037368C">
      <w:pPr>
        <w:tabs>
          <w:tab w:val="left" w:pos="4667"/>
        </w:tabs>
        <w:spacing w:after="0" w:line="360" w:lineRule="auto"/>
        <w:ind w:right="567"/>
        <w:rPr>
          <w:rFonts w:eastAsia="Times New Roman" w:cs="Tahoma"/>
          <w:b/>
          <w:bCs/>
          <w:color w:val="auto"/>
          <w:szCs w:val="24"/>
          <w:lang w:eastAsia="es-ES"/>
        </w:rPr>
      </w:pPr>
      <w:r w:rsidRPr="00150187">
        <w:rPr>
          <w:rFonts w:eastAsia="Times New Roman" w:cs="Tahoma"/>
          <w:b/>
          <w:bCs/>
          <w:color w:val="auto"/>
          <w:szCs w:val="24"/>
          <w:lang w:eastAsia="es-ES"/>
        </w:rPr>
        <w:t>I</w:t>
      </w:r>
      <w:r w:rsidR="00C36D6A" w:rsidRPr="00150187">
        <w:rPr>
          <w:rFonts w:eastAsia="Times New Roman" w:cs="Tahoma"/>
          <w:b/>
          <w:bCs/>
          <w:color w:val="auto"/>
          <w:szCs w:val="24"/>
          <w:lang w:eastAsia="es-ES"/>
        </w:rPr>
        <w:t>I</w:t>
      </w:r>
      <w:r w:rsidR="001756F2" w:rsidRPr="00150187">
        <w:rPr>
          <w:rFonts w:eastAsia="Times New Roman" w:cs="Tahoma"/>
          <w:b/>
          <w:bCs/>
          <w:color w:val="auto"/>
          <w:szCs w:val="24"/>
          <w:lang w:eastAsia="es-ES"/>
        </w:rPr>
        <w:t xml:space="preserve">. </w:t>
      </w:r>
      <w:r w:rsidR="001756F2" w:rsidRPr="00150187">
        <w:rPr>
          <w:rFonts w:eastAsia="Times New Roman" w:cs="Tahoma"/>
          <w:b/>
          <w:color w:val="auto"/>
          <w:szCs w:val="24"/>
          <w:lang w:eastAsia="es-ES"/>
        </w:rPr>
        <w:t>Respuesta</w:t>
      </w:r>
      <w:r w:rsidR="001756F2" w:rsidRPr="00150187">
        <w:rPr>
          <w:rFonts w:eastAsia="Times New Roman" w:cs="Tahoma"/>
          <w:b/>
          <w:bCs/>
          <w:color w:val="auto"/>
          <w:szCs w:val="24"/>
          <w:lang w:eastAsia="es-ES"/>
        </w:rPr>
        <w:t xml:space="preserve"> del Sujeto Obligado</w:t>
      </w:r>
    </w:p>
    <w:p w14:paraId="13FDC87E" w14:textId="77777777" w:rsidR="008E4F87" w:rsidRPr="00150187" w:rsidRDefault="008E4F87" w:rsidP="0037368C">
      <w:pPr>
        <w:autoSpaceDE w:val="0"/>
        <w:autoSpaceDN w:val="0"/>
        <w:adjustRightInd w:val="0"/>
        <w:spacing w:after="0" w:line="360" w:lineRule="auto"/>
        <w:rPr>
          <w:rFonts w:eastAsia="Calibri" w:cs="Tahoma"/>
          <w:color w:val="FF0000"/>
        </w:rPr>
      </w:pPr>
    </w:p>
    <w:p w14:paraId="339339D5" w14:textId="06FF2AA6" w:rsidR="00EC77D9" w:rsidRPr="00150187" w:rsidRDefault="00EC77D9" w:rsidP="0037368C">
      <w:pPr>
        <w:autoSpaceDE w:val="0"/>
        <w:autoSpaceDN w:val="0"/>
        <w:adjustRightInd w:val="0"/>
        <w:spacing w:after="0" w:line="360" w:lineRule="auto"/>
        <w:rPr>
          <w:b/>
          <w:bCs/>
          <w:color w:val="auto"/>
        </w:rPr>
      </w:pPr>
      <w:r w:rsidRPr="00150187">
        <w:rPr>
          <w:rFonts w:eastAsia="Calibri" w:cs="Tahoma"/>
          <w:color w:val="auto"/>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150187">
        <w:rPr>
          <w:rFonts w:eastAsia="Calibri" w:cs="Tahoma"/>
          <w:color w:val="auto"/>
          <w:lang w:val="es-ES"/>
        </w:rPr>
        <w:t xml:space="preserve">Sistema de Acceso a la Información Mexiquense </w:t>
      </w:r>
      <w:r w:rsidRPr="00150187">
        <w:rPr>
          <w:rFonts w:eastAsia="Calibri" w:cs="Tahoma"/>
          <w:color w:val="auto"/>
          <w:lang w:val="es-ES"/>
        </w:rPr>
        <w:lastRenderedPageBreak/>
        <w:t xml:space="preserve">(SAIMEX), se advierte que el </w:t>
      </w:r>
      <w:r w:rsidR="00085C38" w:rsidRPr="00150187">
        <w:rPr>
          <w:b/>
          <w:bCs/>
          <w:color w:val="auto"/>
        </w:rPr>
        <w:t>Ayuntamiento de Amecameca</w:t>
      </w:r>
      <w:r w:rsidRPr="00150187">
        <w:rPr>
          <w:rFonts w:eastAsia="Calibri" w:cs="Tahoma"/>
          <w:color w:val="auto"/>
        </w:rPr>
        <w:t>,</w:t>
      </w:r>
      <w:r w:rsidRPr="00150187">
        <w:rPr>
          <w:rFonts w:eastAsia="Calibri" w:cs="Tahoma"/>
          <w:bCs/>
          <w:color w:val="auto"/>
        </w:rPr>
        <w:t xml:space="preserve"> omitió dar respuesta a la solicitud de información, por lo que </w:t>
      </w:r>
      <w:r w:rsidRPr="00150187">
        <w:rPr>
          <w:rFonts w:eastAsia="Calibri" w:cs="Tahoma"/>
          <w:b/>
          <w:color w:val="auto"/>
        </w:rPr>
        <w:t xml:space="preserve">se configura la </w:t>
      </w:r>
      <w:r w:rsidRPr="00150187">
        <w:rPr>
          <w:rFonts w:eastAsia="Calibri" w:cs="Tahoma"/>
          <w:b/>
          <w:color w:val="auto"/>
          <w:lang w:val="es-ES"/>
        </w:rPr>
        <w:t>negativa ficta</w:t>
      </w:r>
      <w:r w:rsidRPr="00150187">
        <w:rPr>
          <w:rFonts w:eastAsia="Calibri" w:cs="Tahoma"/>
          <w:color w:val="auto"/>
          <w:lang w:val="es-ES"/>
        </w:rPr>
        <w:t xml:space="preserve"> a entregar información, prevista en los artículos 166, párrafo cuarto y 178, párrafo segundo, de la Ley de Transparencia y Acceso a la Información Pública del Estado de México y Municipios.</w:t>
      </w:r>
    </w:p>
    <w:p w14:paraId="321E7C3E" w14:textId="77777777" w:rsidR="00EC77D9" w:rsidRPr="00150187" w:rsidRDefault="00EC77D9" w:rsidP="0037368C">
      <w:pPr>
        <w:autoSpaceDE w:val="0"/>
        <w:autoSpaceDN w:val="0"/>
        <w:adjustRightInd w:val="0"/>
        <w:spacing w:after="0" w:line="360" w:lineRule="auto"/>
        <w:rPr>
          <w:rFonts w:eastAsia="Calibri" w:cs="Tahoma"/>
          <w:color w:val="FF0000"/>
          <w:lang w:val="es-ES"/>
        </w:rPr>
      </w:pPr>
    </w:p>
    <w:p w14:paraId="56912486" w14:textId="255DAD88" w:rsidR="00EC77D9" w:rsidRPr="00150187" w:rsidRDefault="00EC77D9" w:rsidP="0037368C">
      <w:pPr>
        <w:autoSpaceDE w:val="0"/>
        <w:autoSpaceDN w:val="0"/>
        <w:adjustRightInd w:val="0"/>
        <w:spacing w:after="0" w:line="360" w:lineRule="auto"/>
        <w:rPr>
          <w:rFonts w:eastAsia="Calibri" w:cs="Tahoma"/>
          <w:b/>
          <w:color w:val="auto"/>
        </w:rPr>
      </w:pPr>
      <w:r w:rsidRPr="00150187">
        <w:rPr>
          <w:rFonts w:eastAsia="Calibri" w:cs="Tahoma"/>
          <w:b/>
          <w:color w:val="auto"/>
        </w:rPr>
        <w:t>I</w:t>
      </w:r>
      <w:r w:rsidR="00940F3A" w:rsidRPr="00150187">
        <w:rPr>
          <w:rFonts w:eastAsia="Calibri" w:cs="Tahoma"/>
          <w:b/>
          <w:color w:val="auto"/>
        </w:rPr>
        <w:t>II</w:t>
      </w:r>
      <w:r w:rsidRPr="00150187">
        <w:rPr>
          <w:rFonts w:eastAsia="Calibri" w:cs="Tahoma"/>
          <w:b/>
          <w:color w:val="auto"/>
        </w:rPr>
        <w:t>. Interposición del Recurso de Revisión</w:t>
      </w:r>
    </w:p>
    <w:p w14:paraId="193305E5" w14:textId="77777777" w:rsidR="00EC77D9" w:rsidRPr="00150187" w:rsidRDefault="00EC77D9" w:rsidP="0037368C">
      <w:pPr>
        <w:spacing w:after="0" w:line="360" w:lineRule="auto"/>
        <w:rPr>
          <w:rFonts w:eastAsia="Times New Roman" w:cs="Tahoma"/>
          <w:bCs/>
          <w:color w:val="FF0000"/>
          <w:lang w:eastAsia="es-ES"/>
        </w:rPr>
      </w:pPr>
    </w:p>
    <w:p w14:paraId="24595562" w14:textId="1C8A7299" w:rsidR="00EC77D9" w:rsidRPr="00150187" w:rsidRDefault="002864DB" w:rsidP="0037368C">
      <w:pPr>
        <w:spacing w:after="0" w:line="360" w:lineRule="auto"/>
        <w:rPr>
          <w:rFonts w:eastAsia="Times New Roman" w:cs="Tahoma"/>
          <w:bCs/>
          <w:color w:val="auto"/>
          <w:lang w:val="es-ES" w:eastAsia="es-ES"/>
        </w:rPr>
      </w:pPr>
      <w:r w:rsidRPr="00150187">
        <w:rPr>
          <w:rFonts w:eastAsia="Times New Roman" w:cs="Tahoma"/>
          <w:bCs/>
          <w:color w:val="auto"/>
          <w:lang w:val="es-ES" w:eastAsia="es-ES"/>
        </w:rPr>
        <w:t xml:space="preserve">El </w:t>
      </w:r>
      <w:r w:rsidR="00085C38" w:rsidRPr="00150187">
        <w:rPr>
          <w:rFonts w:eastAsia="Times New Roman" w:cs="Tahoma"/>
          <w:bCs/>
          <w:color w:val="auto"/>
          <w:lang w:val="es-ES" w:eastAsia="es-ES"/>
        </w:rPr>
        <w:t>veinticuatr</w:t>
      </w:r>
      <w:r w:rsidR="00C3348B" w:rsidRPr="00150187">
        <w:rPr>
          <w:rFonts w:eastAsia="Times New Roman" w:cs="Tahoma"/>
          <w:bCs/>
          <w:color w:val="auto"/>
          <w:lang w:val="es-ES" w:eastAsia="es-ES"/>
        </w:rPr>
        <w:t xml:space="preserve">o de septiembre de dos mil veinticuatro, </w:t>
      </w:r>
      <w:r w:rsidR="00EE6AAF" w:rsidRPr="00150187">
        <w:rPr>
          <w:rFonts w:eastAsia="Times New Roman" w:cs="Tahoma"/>
          <w:bCs/>
          <w:color w:val="auto"/>
          <w:lang w:eastAsia="es-ES"/>
        </w:rPr>
        <w:t xml:space="preserve">se recibió en este Instituto, a través del </w:t>
      </w:r>
      <w:r w:rsidR="00EE6AAF" w:rsidRPr="00150187">
        <w:rPr>
          <w:rFonts w:eastAsia="Times New Roman" w:cs="Tahoma"/>
          <w:bCs/>
          <w:color w:val="auto"/>
          <w:lang w:val="es-ES" w:eastAsia="es-ES"/>
        </w:rPr>
        <w:t>Sistema de Acceso a la Información Mexiquense (SAIMEX)</w:t>
      </w:r>
      <w:r w:rsidR="00EE6AAF" w:rsidRPr="00150187">
        <w:rPr>
          <w:rFonts w:eastAsia="Times New Roman" w:cs="Tahoma"/>
          <w:bCs/>
          <w:color w:val="auto"/>
          <w:lang w:eastAsia="es-ES"/>
        </w:rPr>
        <w:t>, el Recurso de Revisión interpuesto por la p</w:t>
      </w:r>
      <w:r w:rsidR="00B3414F" w:rsidRPr="00150187">
        <w:rPr>
          <w:rFonts w:eastAsia="Times New Roman" w:cs="Tahoma"/>
          <w:bCs/>
          <w:color w:val="auto"/>
          <w:lang w:eastAsia="es-ES"/>
        </w:rPr>
        <w:t>ersona</w:t>
      </w:r>
      <w:r w:rsidR="00EE6AAF" w:rsidRPr="00150187">
        <w:rPr>
          <w:rFonts w:eastAsia="Times New Roman" w:cs="Tahoma"/>
          <w:bCs/>
          <w:color w:val="auto"/>
          <w:lang w:eastAsia="es-ES"/>
        </w:rPr>
        <w:t xml:space="preserve"> Recurrente, en contra de la falta de respuesta del Sujeto Obligado,</w:t>
      </w:r>
      <w:r w:rsidR="00B43686" w:rsidRPr="00150187">
        <w:rPr>
          <w:rFonts w:eastAsia="Calibri" w:cs="Times New Roman"/>
          <w:b/>
          <w:bCs/>
          <w:color w:val="auto"/>
        </w:rPr>
        <w:t xml:space="preserve"> </w:t>
      </w:r>
      <w:r w:rsidR="00EE6AAF" w:rsidRPr="00150187">
        <w:rPr>
          <w:rFonts w:eastAsia="Times New Roman" w:cs="Tahoma"/>
          <w:bCs/>
          <w:color w:val="auto"/>
          <w:lang w:eastAsia="es-ES"/>
        </w:rPr>
        <w:t>en los siguientes términos:</w:t>
      </w:r>
    </w:p>
    <w:p w14:paraId="6550108F" w14:textId="77777777" w:rsidR="0035104A" w:rsidRPr="00150187" w:rsidRDefault="0035104A" w:rsidP="0037368C">
      <w:pPr>
        <w:spacing w:after="0" w:line="360" w:lineRule="auto"/>
        <w:rPr>
          <w:rFonts w:eastAsia="Times New Roman" w:cs="Tahoma"/>
          <w:bCs/>
          <w:color w:val="FF0000"/>
          <w:lang w:eastAsia="es-ES"/>
        </w:rPr>
      </w:pPr>
    </w:p>
    <w:p w14:paraId="122D4953" w14:textId="77777777" w:rsidR="00EC77D9" w:rsidRPr="00150187" w:rsidRDefault="00EC77D9" w:rsidP="0037368C">
      <w:pPr>
        <w:spacing w:after="0" w:line="360" w:lineRule="auto"/>
        <w:ind w:left="567" w:right="567"/>
        <w:rPr>
          <w:rFonts w:eastAsia="Times New Roman" w:cs="Tahoma"/>
          <w:b/>
          <w:bCs/>
          <w:i/>
          <w:color w:val="auto"/>
          <w:sz w:val="20"/>
          <w:szCs w:val="20"/>
          <w:lang w:eastAsia="es-ES"/>
        </w:rPr>
      </w:pPr>
      <w:r w:rsidRPr="00150187">
        <w:rPr>
          <w:rFonts w:eastAsia="Times New Roman" w:cs="Tahoma"/>
          <w:b/>
          <w:bCs/>
          <w:i/>
          <w:color w:val="auto"/>
          <w:sz w:val="20"/>
          <w:szCs w:val="20"/>
          <w:lang w:eastAsia="es-ES"/>
        </w:rPr>
        <w:t>“ACTO IMPUGNADO</w:t>
      </w:r>
    </w:p>
    <w:p w14:paraId="152951D3" w14:textId="21A0B889" w:rsidR="002864DB" w:rsidRPr="00150187" w:rsidRDefault="00085C38" w:rsidP="0037368C">
      <w:pPr>
        <w:spacing w:after="0" w:line="360" w:lineRule="auto"/>
        <w:ind w:left="567" w:right="567"/>
        <w:rPr>
          <w:i/>
          <w:iCs/>
          <w:color w:val="auto"/>
          <w:sz w:val="20"/>
          <w:szCs w:val="20"/>
        </w:rPr>
      </w:pPr>
      <w:r w:rsidRPr="00150187">
        <w:rPr>
          <w:i/>
          <w:iCs/>
          <w:color w:val="auto"/>
          <w:sz w:val="20"/>
          <w:szCs w:val="20"/>
        </w:rPr>
        <w:t>La no respuesta en el tiempo establecido por ley a mi solicitud de reportes</w:t>
      </w:r>
      <w:r w:rsidR="00EC77D9" w:rsidRPr="00150187">
        <w:rPr>
          <w:i/>
          <w:iCs/>
          <w:color w:val="auto"/>
          <w:sz w:val="20"/>
          <w:szCs w:val="20"/>
        </w:rPr>
        <w:t>” (Sic)</w:t>
      </w:r>
    </w:p>
    <w:p w14:paraId="1EF77DCF" w14:textId="77777777" w:rsidR="00911122" w:rsidRPr="00150187" w:rsidRDefault="00911122" w:rsidP="0037368C">
      <w:pPr>
        <w:spacing w:after="0" w:line="360" w:lineRule="auto"/>
        <w:ind w:left="567" w:right="567"/>
        <w:rPr>
          <w:rFonts w:eastAsia="Times New Roman" w:cs="Tahoma"/>
          <w:bCs/>
          <w:i/>
          <w:iCs/>
          <w:color w:val="auto"/>
          <w:sz w:val="20"/>
          <w:szCs w:val="20"/>
          <w:lang w:eastAsia="es-ES"/>
        </w:rPr>
      </w:pPr>
    </w:p>
    <w:p w14:paraId="17798C32" w14:textId="4C42A45A" w:rsidR="009F450D" w:rsidRPr="00150187" w:rsidRDefault="009F450D" w:rsidP="0037368C">
      <w:pPr>
        <w:spacing w:after="0" w:line="360" w:lineRule="auto"/>
        <w:ind w:left="567" w:right="567"/>
        <w:rPr>
          <w:rFonts w:eastAsia="Times New Roman" w:cs="Tahoma"/>
          <w:b/>
          <w:i/>
          <w:iCs/>
          <w:color w:val="auto"/>
          <w:sz w:val="20"/>
          <w:szCs w:val="20"/>
          <w:lang w:eastAsia="es-ES"/>
        </w:rPr>
      </w:pPr>
      <w:r w:rsidRPr="00150187">
        <w:rPr>
          <w:rFonts w:eastAsia="Times New Roman" w:cs="Tahoma"/>
          <w:b/>
          <w:i/>
          <w:iCs/>
          <w:color w:val="auto"/>
          <w:sz w:val="20"/>
          <w:szCs w:val="20"/>
          <w:lang w:eastAsia="es-ES"/>
        </w:rPr>
        <w:t>“RAZONES O MOTIVOS DE LA INCONFORMIDAD</w:t>
      </w:r>
    </w:p>
    <w:p w14:paraId="4A2B4EF8" w14:textId="3C49713F" w:rsidR="009F450D" w:rsidRPr="00150187" w:rsidRDefault="00085C38" w:rsidP="0037368C">
      <w:pPr>
        <w:spacing w:after="0" w:line="360" w:lineRule="auto"/>
        <w:ind w:left="567" w:right="567"/>
        <w:rPr>
          <w:rFonts w:eastAsia="Times New Roman" w:cs="Tahoma"/>
          <w:bCs/>
          <w:i/>
          <w:iCs/>
          <w:color w:val="auto"/>
          <w:sz w:val="20"/>
          <w:szCs w:val="20"/>
          <w:lang w:eastAsia="es-ES"/>
        </w:rPr>
      </w:pPr>
      <w:r w:rsidRPr="00150187">
        <w:rPr>
          <w:rFonts w:eastAsia="Times New Roman" w:cs="Tahoma"/>
          <w:bCs/>
          <w:i/>
          <w:iCs/>
          <w:color w:val="auto"/>
          <w:sz w:val="20"/>
          <w:szCs w:val="20"/>
          <w:lang w:eastAsia="es-ES"/>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w:t>
      </w:r>
      <w:proofErr w:type="spellStart"/>
      <w:r w:rsidRPr="00150187">
        <w:rPr>
          <w:rFonts w:eastAsia="Times New Roman" w:cs="Tahoma"/>
          <w:bCs/>
          <w:i/>
          <w:iCs/>
          <w:color w:val="auto"/>
          <w:sz w:val="20"/>
          <w:szCs w:val="20"/>
          <w:lang w:eastAsia="es-ES"/>
        </w:rPr>
        <w:t>mi</w:t>
      </w:r>
      <w:proofErr w:type="spellEnd"/>
      <w:r w:rsidRPr="00150187">
        <w:rPr>
          <w:rFonts w:eastAsia="Times New Roman" w:cs="Tahoma"/>
          <w:bCs/>
          <w:i/>
          <w:iCs/>
          <w:color w:val="auto"/>
          <w:sz w:val="20"/>
          <w:szCs w:val="20"/>
          <w:lang w:eastAsia="es-ES"/>
        </w:rPr>
        <w:t>. Gracias. Mi correo es robertoalatorre1882@gmail.com Adjunto nuevamente ejemplo de la solicitud requerida</w:t>
      </w:r>
      <w:r w:rsidR="009F450D" w:rsidRPr="00150187">
        <w:rPr>
          <w:rFonts w:eastAsia="Times New Roman" w:cs="Tahoma"/>
          <w:bCs/>
          <w:i/>
          <w:iCs/>
          <w:color w:val="auto"/>
          <w:sz w:val="20"/>
          <w:szCs w:val="20"/>
          <w:lang w:eastAsia="es-ES"/>
        </w:rPr>
        <w:t>” (Sic)</w:t>
      </w:r>
    </w:p>
    <w:p w14:paraId="6A952A88" w14:textId="77777777" w:rsidR="00C169DB" w:rsidRPr="00150187" w:rsidRDefault="00C169DB" w:rsidP="0037368C">
      <w:pPr>
        <w:spacing w:after="0" w:line="360" w:lineRule="auto"/>
        <w:ind w:right="567"/>
        <w:rPr>
          <w:rFonts w:eastAsia="Times New Roman" w:cs="Tahoma"/>
          <w:bCs/>
          <w:i/>
          <w:iCs/>
          <w:color w:val="FF0000"/>
          <w:lang w:eastAsia="es-ES"/>
        </w:rPr>
      </w:pPr>
    </w:p>
    <w:p w14:paraId="653EAD8B" w14:textId="77777777" w:rsidR="00085C38" w:rsidRPr="00150187" w:rsidRDefault="00085C38" w:rsidP="00085C38">
      <w:pPr>
        <w:autoSpaceDE w:val="0"/>
        <w:autoSpaceDN w:val="0"/>
        <w:adjustRightInd w:val="0"/>
        <w:spacing w:after="0" w:line="360" w:lineRule="auto"/>
        <w:rPr>
          <w:rFonts w:eastAsia="Calibri" w:cs="Tahoma"/>
          <w:color w:val="000000"/>
        </w:rPr>
      </w:pPr>
      <w:r w:rsidRPr="00150187">
        <w:rPr>
          <w:rFonts w:eastAsia="Calibri" w:cs="Tahoma"/>
          <w:color w:val="000000"/>
        </w:rPr>
        <w:t>El Particular adjuntó la digitalización de la respuesta de una solicitud de información, emitida por el Gobierno de Irapuato.</w:t>
      </w:r>
    </w:p>
    <w:p w14:paraId="28805E09" w14:textId="77777777" w:rsidR="00085C38" w:rsidRPr="00150187" w:rsidRDefault="00085C38" w:rsidP="0037368C">
      <w:pPr>
        <w:spacing w:after="0" w:line="360" w:lineRule="auto"/>
        <w:ind w:right="567"/>
        <w:rPr>
          <w:rFonts w:eastAsia="Times New Roman" w:cs="Tahoma"/>
          <w:bCs/>
          <w:i/>
          <w:iCs/>
          <w:color w:val="FF0000"/>
          <w:lang w:eastAsia="es-ES"/>
        </w:rPr>
      </w:pPr>
    </w:p>
    <w:p w14:paraId="32EBD4AE" w14:textId="74594746" w:rsidR="00EC77D9" w:rsidRPr="00150187" w:rsidRDefault="00940F3A" w:rsidP="0037368C">
      <w:pPr>
        <w:spacing w:after="0" w:line="360" w:lineRule="auto"/>
        <w:rPr>
          <w:rFonts w:eastAsia="Batang" w:cs="Tahoma"/>
          <w:b/>
          <w:bCs/>
          <w:color w:val="auto"/>
        </w:rPr>
      </w:pPr>
      <w:r w:rsidRPr="00150187">
        <w:rPr>
          <w:rFonts w:eastAsia="Calibri" w:cs="Tahoma"/>
          <w:b/>
          <w:color w:val="auto"/>
        </w:rPr>
        <w:t>I</w:t>
      </w:r>
      <w:r w:rsidR="00EC77D9" w:rsidRPr="00150187">
        <w:rPr>
          <w:rFonts w:eastAsia="Calibri" w:cs="Tahoma"/>
          <w:b/>
          <w:color w:val="auto"/>
        </w:rPr>
        <w:t xml:space="preserve">V. </w:t>
      </w:r>
      <w:r w:rsidR="00EC77D9" w:rsidRPr="00150187">
        <w:rPr>
          <w:rFonts w:eastAsia="Batang" w:cs="Tahoma"/>
          <w:b/>
          <w:bCs/>
          <w:color w:val="auto"/>
        </w:rPr>
        <w:t>Trámite del Recurso de Revisión</w:t>
      </w:r>
      <w:r w:rsidR="00EC77D9" w:rsidRPr="00150187">
        <w:rPr>
          <w:rFonts w:eastAsia="Calibri" w:cs="Tahoma"/>
          <w:b/>
          <w:color w:val="auto"/>
        </w:rPr>
        <w:t xml:space="preserve"> </w:t>
      </w:r>
      <w:r w:rsidR="00EC77D9" w:rsidRPr="00150187">
        <w:rPr>
          <w:rFonts w:eastAsia="Batang" w:cs="Tahoma"/>
          <w:b/>
          <w:bCs/>
          <w:color w:val="auto"/>
        </w:rPr>
        <w:t>ante este Instituto</w:t>
      </w:r>
    </w:p>
    <w:p w14:paraId="1C4ADB40" w14:textId="77777777" w:rsidR="00EC77D9" w:rsidRPr="00150187" w:rsidRDefault="00EC77D9" w:rsidP="0037368C">
      <w:pPr>
        <w:spacing w:after="0" w:line="360" w:lineRule="auto"/>
        <w:rPr>
          <w:rFonts w:eastAsia="Batang" w:cs="Tahoma"/>
          <w:bCs/>
          <w:color w:val="auto"/>
        </w:rPr>
      </w:pPr>
    </w:p>
    <w:p w14:paraId="7EC9EE07" w14:textId="4C5957AD" w:rsidR="00EC77D9" w:rsidRPr="00150187" w:rsidRDefault="00EC77D9" w:rsidP="0037368C">
      <w:pPr>
        <w:spacing w:after="0" w:line="360" w:lineRule="auto"/>
        <w:rPr>
          <w:rFonts w:eastAsia="Times New Roman" w:cs="Tahoma"/>
          <w:bCs/>
          <w:color w:val="auto"/>
          <w:lang w:val="es-ES" w:eastAsia="es-ES"/>
        </w:rPr>
      </w:pPr>
      <w:r w:rsidRPr="00150187">
        <w:rPr>
          <w:rFonts w:eastAsia="Batang" w:cs="Tahoma"/>
          <w:b/>
          <w:bCs/>
          <w:color w:val="auto"/>
        </w:rPr>
        <w:t>a) Turno del Medio de Impugnación.</w:t>
      </w:r>
      <w:r w:rsidR="009F450D" w:rsidRPr="00150187">
        <w:rPr>
          <w:rFonts w:eastAsia="Times New Roman" w:cs="Tahoma"/>
          <w:bCs/>
          <w:color w:val="auto"/>
          <w:lang w:val="es-ES" w:eastAsia="es-ES"/>
        </w:rPr>
        <w:t xml:space="preserve"> El </w:t>
      </w:r>
      <w:r w:rsidR="00085C38" w:rsidRPr="00150187">
        <w:rPr>
          <w:rFonts w:eastAsia="Times New Roman" w:cs="Tahoma"/>
          <w:bCs/>
          <w:color w:val="auto"/>
          <w:lang w:val="es-ES" w:eastAsia="es-ES"/>
        </w:rPr>
        <w:t>veinticuatro</w:t>
      </w:r>
      <w:r w:rsidR="00C3348B" w:rsidRPr="00150187">
        <w:rPr>
          <w:rFonts w:eastAsia="Times New Roman" w:cs="Tahoma"/>
          <w:bCs/>
          <w:color w:val="auto"/>
          <w:lang w:val="es-ES" w:eastAsia="es-ES"/>
        </w:rPr>
        <w:t xml:space="preserve"> de septiembre de do mil veinticuatro</w:t>
      </w:r>
      <w:r w:rsidRPr="00150187">
        <w:rPr>
          <w:rFonts w:eastAsia="Batang" w:cs="Tahoma"/>
          <w:bCs/>
          <w:color w:val="auto"/>
        </w:rPr>
        <w:t xml:space="preserve">, el </w:t>
      </w:r>
      <w:r w:rsidRPr="00150187">
        <w:rPr>
          <w:rFonts w:eastAsia="Calibri" w:cs="Tahoma"/>
          <w:color w:val="auto"/>
          <w:lang w:val="es-ES"/>
        </w:rPr>
        <w:t>Sistema de Acceso a la Información Mexiquense (SAIMEX),</w:t>
      </w:r>
      <w:r w:rsidRPr="00150187">
        <w:rPr>
          <w:rFonts w:eastAsia="Batang" w:cs="Tahoma"/>
          <w:bCs/>
          <w:color w:val="auto"/>
        </w:rPr>
        <w:t xml:space="preserve"> asignó el número de expediente </w:t>
      </w:r>
      <w:r w:rsidR="00C169DB" w:rsidRPr="00150187">
        <w:rPr>
          <w:rFonts w:eastAsia="Batang" w:cs="Tahoma"/>
          <w:color w:val="auto"/>
        </w:rPr>
        <w:t>0</w:t>
      </w:r>
      <w:r w:rsidR="00085C38" w:rsidRPr="00150187">
        <w:rPr>
          <w:rFonts w:eastAsia="Batang" w:cs="Tahoma"/>
          <w:color w:val="auto"/>
        </w:rPr>
        <w:t>5801</w:t>
      </w:r>
      <w:r w:rsidR="00C169DB" w:rsidRPr="00150187">
        <w:rPr>
          <w:rFonts w:eastAsia="Batang" w:cs="Tahoma"/>
          <w:color w:val="auto"/>
        </w:rPr>
        <w:t>/INFOEM/IP/RR/2024</w:t>
      </w:r>
      <w:r w:rsidRPr="00150187">
        <w:rPr>
          <w:rFonts w:eastAsia="Batang" w:cs="Tahoma"/>
          <w:bCs/>
          <w:color w:val="auto"/>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150187" w:rsidRDefault="00EC77D9" w:rsidP="0037368C">
      <w:pPr>
        <w:spacing w:after="0" w:line="360" w:lineRule="auto"/>
        <w:rPr>
          <w:rFonts w:eastAsia="Batang" w:cs="Tahoma"/>
          <w:bCs/>
          <w:color w:val="FF0000"/>
        </w:rPr>
      </w:pPr>
    </w:p>
    <w:p w14:paraId="385EEA5C" w14:textId="3D9AD74E" w:rsidR="00EC77D9" w:rsidRPr="00150187" w:rsidRDefault="00EC77D9" w:rsidP="0037368C">
      <w:pPr>
        <w:spacing w:after="0" w:line="360" w:lineRule="auto"/>
        <w:rPr>
          <w:rFonts w:eastAsia="Batang" w:cs="Tahoma"/>
          <w:bCs/>
          <w:color w:val="auto"/>
        </w:rPr>
      </w:pPr>
      <w:r w:rsidRPr="00150187">
        <w:rPr>
          <w:rFonts w:eastAsia="Times New Roman" w:cs="Tahoma"/>
          <w:b/>
          <w:bCs/>
          <w:color w:val="auto"/>
          <w:lang w:eastAsia="es-ES"/>
        </w:rPr>
        <w:t>b) Admisión del Recurso de Revisión</w:t>
      </w:r>
      <w:r w:rsidRPr="00150187">
        <w:rPr>
          <w:rFonts w:eastAsia="Times New Roman" w:cs="Tahoma"/>
          <w:b/>
          <w:bCs/>
          <w:color w:val="auto"/>
          <w:lang w:val="es-ES_tradnl" w:eastAsia="es-ES"/>
        </w:rPr>
        <w:t xml:space="preserve">. </w:t>
      </w:r>
      <w:r w:rsidRPr="00150187">
        <w:rPr>
          <w:rFonts w:eastAsia="Batang" w:cs="Tahoma"/>
          <w:bCs/>
          <w:color w:val="auto"/>
        </w:rPr>
        <w:t>El</w:t>
      </w:r>
      <w:r w:rsidR="00A37D74" w:rsidRPr="00150187">
        <w:rPr>
          <w:rFonts w:eastAsia="Batang" w:cs="Tahoma"/>
          <w:bCs/>
          <w:color w:val="auto"/>
        </w:rPr>
        <w:t xml:space="preserve"> </w:t>
      </w:r>
      <w:r w:rsidR="00085C38" w:rsidRPr="00150187">
        <w:rPr>
          <w:rFonts w:eastAsia="Batang" w:cs="Tahoma"/>
          <w:bCs/>
          <w:color w:val="auto"/>
        </w:rPr>
        <w:t>veintisiete</w:t>
      </w:r>
      <w:r w:rsidR="00C3348B" w:rsidRPr="00150187">
        <w:rPr>
          <w:rFonts w:eastAsia="Batang" w:cs="Tahoma"/>
          <w:bCs/>
          <w:color w:val="auto"/>
        </w:rPr>
        <w:t xml:space="preserve"> de septiembre de dos mil veinticuatro, </w:t>
      </w:r>
      <w:r w:rsidRPr="00150187">
        <w:rPr>
          <w:rFonts w:eastAsia="Times New Roman" w:cs="Tahoma"/>
          <w:bCs/>
          <w:color w:val="auto"/>
          <w:lang w:val="es-ES_tradnl" w:eastAsia="es-ES"/>
        </w:rPr>
        <w:t xml:space="preserve">se acordó la admisión del Recurso de Revisión interpuesto por </w:t>
      </w:r>
      <w:r w:rsidR="005A60F9" w:rsidRPr="00150187">
        <w:rPr>
          <w:rFonts w:eastAsia="Times New Roman" w:cs="Tahoma"/>
          <w:bCs/>
          <w:color w:val="auto"/>
          <w:lang w:val="es-ES_tradnl" w:eastAsia="es-ES"/>
        </w:rPr>
        <w:t>la persona</w:t>
      </w:r>
      <w:r w:rsidRPr="00150187">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3348B" w:rsidRPr="00150187">
        <w:rPr>
          <w:rFonts w:eastAsia="Times New Roman" w:cs="Tahoma"/>
          <w:bCs/>
          <w:color w:val="auto"/>
          <w:lang w:val="es-ES_tradnl" w:eastAsia="es-ES"/>
        </w:rPr>
        <w:t>, el mismo día</w:t>
      </w:r>
      <w:r w:rsidR="00CB7980" w:rsidRPr="00150187">
        <w:rPr>
          <w:rFonts w:eastAsia="Times New Roman" w:cs="Tahoma"/>
          <w:bCs/>
          <w:color w:val="auto"/>
          <w:lang w:val="es-ES_tradnl" w:eastAsia="es-ES"/>
        </w:rPr>
        <w:t xml:space="preserve">, </w:t>
      </w:r>
      <w:r w:rsidRPr="00150187">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C51930E" w14:textId="77777777" w:rsidR="00EC77D9" w:rsidRPr="00150187" w:rsidRDefault="00EC77D9" w:rsidP="0037368C">
      <w:pPr>
        <w:spacing w:after="0" w:line="360" w:lineRule="auto"/>
        <w:rPr>
          <w:rFonts w:cs="Tahoma"/>
          <w:color w:val="FF0000"/>
        </w:rPr>
      </w:pPr>
    </w:p>
    <w:p w14:paraId="50834C70" w14:textId="17A6B7A8" w:rsidR="00EC77D9" w:rsidRPr="00150187" w:rsidRDefault="00EC77D9" w:rsidP="0037368C">
      <w:pPr>
        <w:spacing w:after="0" w:line="360" w:lineRule="auto"/>
        <w:rPr>
          <w:rFonts w:eastAsia="Times New Roman" w:cs="Tahoma"/>
          <w:bCs/>
          <w:iCs/>
          <w:color w:val="auto"/>
          <w:lang w:val="es-ES" w:eastAsia="es-ES"/>
        </w:rPr>
      </w:pPr>
      <w:r w:rsidRPr="00150187">
        <w:rPr>
          <w:rFonts w:eastAsia="Times New Roman" w:cs="Tahoma"/>
          <w:b/>
          <w:bCs/>
          <w:color w:val="auto"/>
          <w:lang w:eastAsia="es-ES"/>
        </w:rPr>
        <w:t>c)</w:t>
      </w:r>
      <w:r w:rsidR="008C16B5" w:rsidRPr="00150187">
        <w:rPr>
          <w:rFonts w:eastAsia="Times New Roman" w:cs="Tahoma"/>
          <w:b/>
          <w:bCs/>
          <w:color w:val="auto"/>
          <w:lang w:eastAsia="es-ES"/>
        </w:rPr>
        <w:t xml:space="preserve"> </w:t>
      </w:r>
      <w:r w:rsidRPr="00150187">
        <w:rPr>
          <w:rFonts w:cs="Tahoma"/>
          <w:b/>
          <w:color w:val="auto"/>
          <w:lang w:val="es-ES_tradnl"/>
        </w:rPr>
        <w:t xml:space="preserve">Informe Justificado o Manifestaciones. </w:t>
      </w:r>
      <w:r w:rsidRPr="00150187">
        <w:rPr>
          <w:rFonts w:cs="Tahoma"/>
          <w:color w:val="auto"/>
          <w:lang w:val="es-ES_tradnl"/>
        </w:rPr>
        <w:t>Las partes fueron omisas en emitir manifestaciones o alegatos.</w:t>
      </w:r>
    </w:p>
    <w:p w14:paraId="5818420C" w14:textId="77777777" w:rsidR="00EC77D9" w:rsidRPr="00150187" w:rsidRDefault="00EC77D9" w:rsidP="0037368C">
      <w:pPr>
        <w:widowControl w:val="0"/>
        <w:spacing w:after="0" w:line="360" w:lineRule="auto"/>
        <w:rPr>
          <w:rFonts w:eastAsia="Times New Roman" w:cs="Tahoma"/>
          <w:b/>
          <w:color w:val="FF0000"/>
          <w:lang w:eastAsia="es-ES"/>
        </w:rPr>
      </w:pPr>
    </w:p>
    <w:p w14:paraId="35AAACA3" w14:textId="3455B886" w:rsidR="00EC77D9" w:rsidRPr="00150187" w:rsidRDefault="00EC77D9" w:rsidP="0037368C">
      <w:pPr>
        <w:widowControl w:val="0"/>
        <w:spacing w:after="0" w:line="360" w:lineRule="auto"/>
        <w:rPr>
          <w:rFonts w:eastAsia="Times New Roman" w:cs="Tahoma"/>
          <w:color w:val="auto"/>
          <w:lang w:eastAsia="es-ES"/>
        </w:rPr>
      </w:pPr>
      <w:r w:rsidRPr="00150187">
        <w:rPr>
          <w:rFonts w:eastAsia="Times New Roman" w:cs="Tahoma"/>
          <w:b/>
          <w:color w:val="auto"/>
          <w:lang w:eastAsia="es-ES"/>
        </w:rPr>
        <w:t>d) Cierre de instrucción.</w:t>
      </w:r>
      <w:r w:rsidRPr="00150187">
        <w:rPr>
          <w:rFonts w:eastAsia="Times New Roman" w:cs="Tahoma"/>
          <w:color w:val="auto"/>
          <w:lang w:eastAsia="es-ES"/>
        </w:rPr>
        <w:t xml:space="preserve"> El </w:t>
      </w:r>
      <w:r w:rsidR="00085C38" w:rsidRPr="00150187">
        <w:rPr>
          <w:rFonts w:eastAsia="Times New Roman" w:cs="Tahoma"/>
          <w:color w:val="auto"/>
          <w:lang w:eastAsia="es-ES"/>
        </w:rPr>
        <w:t>diez de octubre</w:t>
      </w:r>
      <w:r w:rsidR="00C3348B" w:rsidRPr="00150187">
        <w:rPr>
          <w:rFonts w:eastAsia="Times New Roman" w:cs="Tahoma"/>
          <w:color w:val="auto"/>
          <w:lang w:eastAsia="es-ES"/>
        </w:rPr>
        <w:t xml:space="preserve"> de dos mil veinticuatro </w:t>
      </w:r>
      <w:r w:rsidRPr="00150187">
        <w:rPr>
          <w:rFonts w:eastAsia="Times New Roman" w:cs="Tahoma"/>
          <w:color w:val="auto"/>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150187">
        <w:rPr>
          <w:rFonts w:eastAsia="Times New Roman" w:cs="Tahoma"/>
          <w:color w:val="auto"/>
          <w:lang w:eastAsia="es-ES"/>
        </w:rPr>
        <w:t>mismo día</w:t>
      </w:r>
      <w:r w:rsidRPr="00150187">
        <w:rPr>
          <w:rFonts w:eastAsia="Times New Roman" w:cs="Tahoma"/>
          <w:color w:val="auto"/>
          <w:lang w:eastAsia="es-ES"/>
        </w:rPr>
        <w:t xml:space="preserve">, a través del </w:t>
      </w:r>
      <w:r w:rsidRPr="00150187">
        <w:rPr>
          <w:rFonts w:eastAsia="Times New Roman" w:cs="Tahoma"/>
          <w:color w:val="auto"/>
          <w:lang w:val="es-ES" w:eastAsia="es-ES"/>
        </w:rPr>
        <w:t>Sistema de Acceso a la Información Mexiquense (SAIMEX)</w:t>
      </w:r>
      <w:r w:rsidRPr="00150187">
        <w:rPr>
          <w:rFonts w:eastAsia="Times New Roman" w:cs="Tahoma"/>
          <w:color w:val="auto"/>
          <w:lang w:eastAsia="es-ES"/>
        </w:rPr>
        <w:t xml:space="preserve">. </w:t>
      </w:r>
    </w:p>
    <w:p w14:paraId="77C7A5C4" w14:textId="77777777" w:rsidR="00EC77D9" w:rsidRPr="00150187" w:rsidRDefault="00EC77D9" w:rsidP="0037368C">
      <w:pPr>
        <w:spacing w:after="0" w:line="360" w:lineRule="auto"/>
        <w:rPr>
          <w:rFonts w:eastAsia="Times New Roman" w:cs="Tahoma"/>
          <w:color w:val="auto"/>
          <w:lang w:eastAsia="es-ES"/>
        </w:rPr>
      </w:pPr>
      <w:r w:rsidRPr="00150187">
        <w:rPr>
          <w:rFonts w:eastAsia="Times New Roman" w:cs="Tahoma"/>
          <w:color w:val="auto"/>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412F3655" w14:textId="0A013769" w:rsidR="00EC77D9" w:rsidRPr="00150187" w:rsidRDefault="00EC77D9" w:rsidP="0037368C">
      <w:pPr>
        <w:spacing w:after="0" w:line="360" w:lineRule="auto"/>
        <w:rPr>
          <w:rFonts w:eastAsia="Times New Roman" w:cs="Tahoma"/>
          <w:bCs/>
          <w:iCs/>
          <w:color w:val="auto"/>
          <w:lang w:val="es-ES" w:eastAsia="es-ES"/>
        </w:rPr>
      </w:pPr>
    </w:p>
    <w:p w14:paraId="4B442488" w14:textId="4487CF55" w:rsidR="00EC77D9" w:rsidRPr="00150187" w:rsidRDefault="00EC77D9" w:rsidP="0037368C">
      <w:pPr>
        <w:spacing w:after="0" w:line="360" w:lineRule="auto"/>
        <w:jc w:val="center"/>
        <w:rPr>
          <w:rFonts w:eastAsia="Times New Roman" w:cs="Tahoma"/>
          <w:b/>
          <w:color w:val="auto"/>
          <w:lang w:val="es-ES" w:eastAsia="es-ES"/>
        </w:rPr>
      </w:pPr>
      <w:r w:rsidRPr="00150187">
        <w:rPr>
          <w:rFonts w:eastAsia="Times New Roman" w:cs="Tahoma"/>
          <w:b/>
          <w:color w:val="auto"/>
          <w:lang w:val="es-ES" w:eastAsia="es-ES"/>
        </w:rPr>
        <w:t>C O N S I D E R A N D O S</w:t>
      </w:r>
    </w:p>
    <w:p w14:paraId="7A8CFE1B" w14:textId="77777777" w:rsidR="008E4F87" w:rsidRPr="00150187" w:rsidRDefault="008E4F87" w:rsidP="0037368C">
      <w:pPr>
        <w:spacing w:after="0" w:line="360" w:lineRule="auto"/>
        <w:jc w:val="center"/>
        <w:rPr>
          <w:rFonts w:eastAsia="Times New Roman" w:cs="Tahoma"/>
          <w:b/>
          <w:color w:val="auto"/>
          <w:lang w:val="es-ES" w:eastAsia="es-ES"/>
        </w:rPr>
      </w:pPr>
    </w:p>
    <w:p w14:paraId="2B2C70F6" w14:textId="2929CBF8" w:rsidR="00EC77D9" w:rsidRPr="00150187" w:rsidRDefault="00EC77D9" w:rsidP="0037368C">
      <w:pPr>
        <w:autoSpaceDE w:val="0"/>
        <w:autoSpaceDN w:val="0"/>
        <w:adjustRightInd w:val="0"/>
        <w:spacing w:after="0" w:line="360" w:lineRule="auto"/>
        <w:rPr>
          <w:rFonts w:eastAsia="Times New Roman" w:cs="Tahoma"/>
          <w:b/>
          <w:color w:val="auto"/>
          <w:lang w:val="es-ES" w:eastAsia="es-ES"/>
        </w:rPr>
      </w:pPr>
      <w:r w:rsidRPr="00150187">
        <w:rPr>
          <w:rFonts w:eastAsia="Calibri" w:cs="Tahoma"/>
          <w:b/>
          <w:color w:val="auto"/>
          <w:lang w:val="es-ES" w:eastAsia="es-MX"/>
        </w:rPr>
        <w:t>PRIMERO</w:t>
      </w:r>
      <w:r w:rsidRPr="00150187">
        <w:rPr>
          <w:rFonts w:eastAsia="Calibri" w:cs="Tahoma"/>
          <w:color w:val="auto"/>
          <w:lang w:val="es-ES" w:eastAsia="es-MX"/>
        </w:rPr>
        <w:t xml:space="preserve">. </w:t>
      </w:r>
      <w:r w:rsidRPr="00150187">
        <w:rPr>
          <w:rFonts w:eastAsia="Times New Roman" w:cs="Tahoma"/>
          <w:b/>
          <w:color w:val="auto"/>
          <w:lang w:val="es-ES" w:eastAsia="es-ES"/>
        </w:rPr>
        <w:t>Competencia</w:t>
      </w:r>
    </w:p>
    <w:p w14:paraId="62F65765" w14:textId="77777777" w:rsidR="00EC77D9" w:rsidRPr="00150187" w:rsidRDefault="00EC77D9" w:rsidP="0037368C">
      <w:pPr>
        <w:autoSpaceDE w:val="0"/>
        <w:autoSpaceDN w:val="0"/>
        <w:adjustRightInd w:val="0"/>
        <w:spacing w:after="0" w:line="360" w:lineRule="auto"/>
        <w:rPr>
          <w:rFonts w:eastAsia="Times New Roman" w:cs="Tahoma"/>
          <w:b/>
          <w:color w:val="auto"/>
          <w:lang w:val="es-ES" w:eastAsia="es-ES"/>
        </w:rPr>
      </w:pPr>
    </w:p>
    <w:p w14:paraId="1F83A937" w14:textId="0E697A14" w:rsidR="00EC77D9" w:rsidRPr="00150187" w:rsidRDefault="00EC77D9" w:rsidP="0037368C">
      <w:pPr>
        <w:spacing w:after="0" w:line="360" w:lineRule="auto"/>
        <w:rPr>
          <w:rFonts w:eastAsia="Times New Roman" w:cs="Tahoma"/>
          <w:bCs/>
          <w:color w:val="auto"/>
          <w:lang w:eastAsia="es-ES"/>
        </w:rPr>
      </w:pPr>
      <w:bookmarkStart w:id="0" w:name="_Hlk63334754"/>
      <w:r w:rsidRPr="00150187">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5A60F9" w:rsidRPr="00150187">
        <w:rPr>
          <w:rFonts w:eastAsia="Times New Roman" w:cs="Tahoma"/>
          <w:bCs/>
          <w:color w:val="auto"/>
          <w:lang w:eastAsia="es-ES"/>
        </w:rPr>
        <w:t>ersona</w:t>
      </w:r>
      <w:r w:rsidRPr="00150187">
        <w:rPr>
          <w:rFonts w:eastAsia="Times New Roman" w:cs="Tahoma"/>
          <w:bCs/>
          <w:color w:val="auto"/>
          <w:lang w:eastAsia="es-ES"/>
        </w:rPr>
        <w:t xml:space="preserve"> recurrente, conforme a lo dispuesto en los artículos 6°, apartado A, de la Constitución Política de los Estados Unidos Mexicanos; 5°, párrafos trigésimo</w:t>
      </w:r>
      <w:r w:rsidR="00C169DB" w:rsidRPr="00150187">
        <w:rPr>
          <w:rFonts w:eastAsia="Times New Roman" w:cs="Tahoma"/>
          <w:bCs/>
          <w:color w:val="auto"/>
          <w:lang w:eastAsia="es-ES"/>
        </w:rPr>
        <w:t xml:space="preserve"> segundo</w:t>
      </w:r>
      <w:r w:rsidRPr="00150187">
        <w:rPr>
          <w:rFonts w:eastAsia="Times New Roman" w:cs="Tahoma"/>
          <w:bCs/>
          <w:color w:val="auto"/>
          <w:lang w:eastAsia="es-ES"/>
        </w:rPr>
        <w:t xml:space="preserve">, trigésimo </w:t>
      </w:r>
      <w:r w:rsidR="00C169DB" w:rsidRPr="00150187">
        <w:rPr>
          <w:rFonts w:eastAsia="Times New Roman" w:cs="Tahoma"/>
          <w:bCs/>
          <w:color w:val="auto"/>
          <w:lang w:eastAsia="es-ES"/>
        </w:rPr>
        <w:t>tercero</w:t>
      </w:r>
      <w:r w:rsidRPr="00150187">
        <w:rPr>
          <w:rFonts w:eastAsia="Times New Roman" w:cs="Tahoma"/>
          <w:bCs/>
          <w:color w:val="auto"/>
          <w:lang w:eastAsia="es-ES"/>
        </w:rPr>
        <w:t xml:space="preserve"> y trigésimo </w:t>
      </w:r>
      <w:r w:rsidR="00C169DB" w:rsidRPr="00150187">
        <w:rPr>
          <w:rFonts w:eastAsia="Times New Roman" w:cs="Tahoma"/>
          <w:bCs/>
          <w:color w:val="auto"/>
          <w:lang w:eastAsia="es-ES"/>
        </w:rPr>
        <w:t>cuarto</w:t>
      </w:r>
      <w:r w:rsidRPr="00150187">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50187">
        <w:rPr>
          <w:rFonts w:eastAsia="Times New Roman" w:cs="Times New Roman"/>
          <w:bCs/>
          <w:color w:val="auto"/>
          <w:lang w:eastAsia="es-ES"/>
        </w:rPr>
        <w:t xml:space="preserve"> 7°, </w:t>
      </w:r>
      <w:r w:rsidRPr="00150187">
        <w:rPr>
          <w:rFonts w:eastAsia="Times New Roman" w:cs="Tahoma"/>
          <w:bCs/>
          <w:color w:val="auto"/>
          <w:lang w:eastAsia="es-ES"/>
        </w:rPr>
        <w:t>9°, fracciones I y XXI</w:t>
      </w:r>
      <w:r w:rsidR="00AB7D62" w:rsidRPr="00150187">
        <w:rPr>
          <w:rFonts w:eastAsia="Times New Roman" w:cs="Tahoma"/>
          <w:bCs/>
          <w:color w:val="auto"/>
          <w:lang w:eastAsia="es-ES"/>
        </w:rPr>
        <w:t>II</w:t>
      </w:r>
      <w:r w:rsidRPr="00150187">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0"/>
    </w:p>
    <w:p w14:paraId="18FF6F8F" w14:textId="77777777" w:rsidR="00EC77D9" w:rsidRPr="00150187" w:rsidRDefault="00EC77D9" w:rsidP="0037368C">
      <w:pPr>
        <w:spacing w:after="0" w:line="360" w:lineRule="auto"/>
        <w:rPr>
          <w:color w:val="auto"/>
        </w:rPr>
      </w:pPr>
    </w:p>
    <w:p w14:paraId="1A678CDB" w14:textId="06192F11" w:rsidR="00EC77D9" w:rsidRPr="00150187" w:rsidRDefault="00EC77D9" w:rsidP="0037368C">
      <w:pPr>
        <w:autoSpaceDE w:val="0"/>
        <w:autoSpaceDN w:val="0"/>
        <w:adjustRightInd w:val="0"/>
        <w:spacing w:after="0" w:line="360" w:lineRule="auto"/>
        <w:rPr>
          <w:rFonts w:eastAsia="Times New Roman" w:cs="Tahoma"/>
          <w:color w:val="auto"/>
          <w:lang w:val="es-ES" w:eastAsia="es-ES"/>
        </w:rPr>
      </w:pPr>
      <w:r w:rsidRPr="00150187">
        <w:rPr>
          <w:rFonts w:eastAsia="Calibri" w:cs="Tahoma"/>
          <w:b/>
          <w:color w:val="auto"/>
          <w:lang w:val="es-ES" w:eastAsia="es-MX"/>
        </w:rPr>
        <w:t>SEGUNDO</w:t>
      </w:r>
      <w:r w:rsidRPr="00150187">
        <w:rPr>
          <w:rFonts w:eastAsia="Calibri" w:cs="Tahoma"/>
          <w:color w:val="auto"/>
          <w:lang w:val="es-ES" w:eastAsia="es-MX"/>
        </w:rPr>
        <w:t xml:space="preserve">. </w:t>
      </w:r>
      <w:r w:rsidRPr="00150187">
        <w:rPr>
          <w:rFonts w:eastAsia="Times New Roman" w:cs="Tahoma"/>
          <w:b/>
          <w:color w:val="auto"/>
          <w:lang w:val="es-ES" w:eastAsia="es-ES"/>
        </w:rPr>
        <w:t>Causales de improcedencia y sobreseimiento</w:t>
      </w:r>
    </w:p>
    <w:p w14:paraId="53A4CC85" w14:textId="77777777" w:rsidR="007F20F1" w:rsidRPr="00150187" w:rsidRDefault="007F20F1" w:rsidP="0037368C">
      <w:pPr>
        <w:autoSpaceDE w:val="0"/>
        <w:autoSpaceDN w:val="0"/>
        <w:adjustRightInd w:val="0"/>
        <w:spacing w:after="0" w:line="360" w:lineRule="auto"/>
        <w:rPr>
          <w:rFonts w:eastAsia="Times New Roman" w:cs="Tahoma"/>
          <w:color w:val="auto"/>
          <w:lang w:val="es-ES" w:eastAsia="es-ES"/>
        </w:rPr>
      </w:pPr>
    </w:p>
    <w:p w14:paraId="5E0147CF" w14:textId="77777777" w:rsidR="00EC77D9" w:rsidRPr="00150187" w:rsidRDefault="00EC77D9" w:rsidP="0037368C">
      <w:pPr>
        <w:autoSpaceDE w:val="0"/>
        <w:autoSpaceDN w:val="0"/>
        <w:adjustRightInd w:val="0"/>
        <w:spacing w:after="0" w:line="360" w:lineRule="auto"/>
        <w:rPr>
          <w:rFonts w:eastAsia="Times New Roman" w:cs="Tahoma"/>
          <w:color w:val="auto"/>
          <w:lang w:val="es-ES" w:eastAsia="es-ES"/>
        </w:rPr>
      </w:pPr>
      <w:r w:rsidRPr="00150187">
        <w:rPr>
          <w:rFonts w:eastAsia="Times New Roman" w:cs="Tahoma"/>
          <w:color w:val="auto"/>
          <w:lang w:val="es-ES" w:eastAsia="es-ES"/>
        </w:rPr>
        <w:t xml:space="preserve">De las constancias que forma parte del Recurso de Revisión que se analiza, se advierte que previo al estudio del fondo de la </w:t>
      </w:r>
      <w:r w:rsidRPr="00150187">
        <w:rPr>
          <w:rFonts w:eastAsia="Times New Roman" w:cs="Tahoma"/>
          <w:i/>
          <w:color w:val="auto"/>
          <w:lang w:val="es-ES" w:eastAsia="es-ES"/>
        </w:rPr>
        <w:t>litis</w:t>
      </w:r>
      <w:r w:rsidRPr="00150187">
        <w:rPr>
          <w:rFonts w:eastAsia="Times New Roman" w:cs="Tahoma"/>
          <w:color w:val="auto"/>
          <w:lang w:val="es-ES" w:eastAsia="es-ES"/>
        </w:rPr>
        <w:t>, es necesario estudiar las causales de improcedencia y sobreseimiento que se adviertan, para determinar lo que en Derecho proceda.</w:t>
      </w:r>
    </w:p>
    <w:p w14:paraId="6F20B10C" w14:textId="77777777" w:rsidR="00773690" w:rsidRPr="00150187" w:rsidRDefault="00773690" w:rsidP="0037368C">
      <w:pPr>
        <w:autoSpaceDE w:val="0"/>
        <w:autoSpaceDN w:val="0"/>
        <w:adjustRightInd w:val="0"/>
        <w:spacing w:after="0" w:line="360" w:lineRule="auto"/>
        <w:rPr>
          <w:rFonts w:eastAsia="Times New Roman" w:cs="Tahoma"/>
          <w:color w:val="auto"/>
          <w:lang w:val="es-ES" w:eastAsia="es-ES"/>
        </w:rPr>
      </w:pPr>
    </w:p>
    <w:p w14:paraId="14C373D2" w14:textId="77777777" w:rsidR="00773690" w:rsidRPr="00150187" w:rsidRDefault="00773690" w:rsidP="0037368C">
      <w:pPr>
        <w:autoSpaceDE w:val="0"/>
        <w:autoSpaceDN w:val="0"/>
        <w:adjustRightInd w:val="0"/>
        <w:spacing w:after="0" w:line="360" w:lineRule="auto"/>
        <w:rPr>
          <w:rFonts w:eastAsia="Times New Roman" w:cs="Tahoma"/>
          <w:color w:val="auto"/>
          <w:lang w:val="es-ES" w:eastAsia="es-ES"/>
        </w:rPr>
      </w:pPr>
    </w:p>
    <w:p w14:paraId="3B9478FB" w14:textId="77777777" w:rsidR="00EC77D9" w:rsidRPr="00150187" w:rsidRDefault="00EC77D9" w:rsidP="0037368C">
      <w:pPr>
        <w:spacing w:after="0" w:line="360" w:lineRule="auto"/>
        <w:rPr>
          <w:b/>
          <w:color w:val="auto"/>
          <w:lang w:val="es-ES"/>
        </w:rPr>
      </w:pPr>
      <w:r w:rsidRPr="00150187">
        <w:rPr>
          <w:b/>
          <w:color w:val="auto"/>
          <w:lang w:val="es-ES"/>
        </w:rPr>
        <w:t>Causales de improcedencia</w:t>
      </w:r>
    </w:p>
    <w:p w14:paraId="6FD730A8" w14:textId="77777777" w:rsidR="00773690" w:rsidRPr="00150187" w:rsidRDefault="00773690" w:rsidP="0037368C">
      <w:pPr>
        <w:spacing w:after="0" w:line="360" w:lineRule="auto"/>
        <w:rPr>
          <w:b/>
          <w:color w:val="auto"/>
          <w:lang w:val="es-ES"/>
        </w:rPr>
      </w:pPr>
    </w:p>
    <w:p w14:paraId="6396891D" w14:textId="77777777" w:rsidR="00EC77D9" w:rsidRPr="00150187" w:rsidRDefault="00EC77D9" w:rsidP="0037368C">
      <w:pPr>
        <w:spacing w:after="0" w:line="360" w:lineRule="auto"/>
        <w:rPr>
          <w:rFonts w:eastAsia="Times New Roman" w:cs="Tahoma"/>
          <w:color w:val="auto"/>
          <w:lang w:eastAsia="es-ES"/>
        </w:rPr>
      </w:pPr>
      <w:r w:rsidRPr="00150187">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116FC2C" w14:textId="77777777" w:rsidR="00EC77D9" w:rsidRPr="00150187" w:rsidRDefault="00EC77D9" w:rsidP="0037368C">
      <w:pPr>
        <w:spacing w:after="0" w:line="360" w:lineRule="auto"/>
        <w:rPr>
          <w:rFonts w:eastAsia="Times New Roman" w:cs="Tahoma"/>
          <w:color w:val="auto"/>
          <w:lang w:eastAsia="es-ES"/>
        </w:rPr>
      </w:pPr>
    </w:p>
    <w:p w14:paraId="09D4E746" w14:textId="78DC20F4" w:rsidR="00EC77D9" w:rsidRPr="00150187" w:rsidRDefault="00EC77D9" w:rsidP="0037368C">
      <w:pPr>
        <w:spacing w:after="0" w:line="360" w:lineRule="auto"/>
        <w:rPr>
          <w:rFonts w:eastAsia="Times New Roman" w:cs="Tahoma"/>
          <w:color w:val="auto"/>
          <w:lang w:eastAsia="es-ES"/>
        </w:rPr>
      </w:pPr>
      <w:r w:rsidRPr="00150187">
        <w:rPr>
          <w:rFonts w:eastAsia="Times New Roman" w:cs="Tahoma"/>
          <w:color w:val="auto"/>
          <w:lang w:eastAsia="es-ES"/>
        </w:rPr>
        <w:t>En el presente caso, </w:t>
      </w:r>
      <w:r w:rsidRPr="00150187">
        <w:rPr>
          <w:rFonts w:eastAsia="Times New Roman" w:cs="Tahoma"/>
          <w:b/>
          <w:bCs/>
          <w:color w:val="auto"/>
          <w:lang w:eastAsia="es-ES"/>
        </w:rPr>
        <w:t>no se actualiza ninguna de las causales de improcedencia</w:t>
      </w:r>
      <w:r w:rsidRPr="00150187">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w:t>
      </w:r>
      <w:r w:rsidR="007202EE" w:rsidRPr="00150187">
        <w:rPr>
          <w:rFonts w:eastAsia="Times New Roman" w:cs="Tahoma"/>
          <w:color w:val="auto"/>
          <w:lang w:eastAsia="es-ES"/>
        </w:rPr>
        <w:t>p</w:t>
      </w:r>
      <w:r w:rsidR="005A60F9" w:rsidRPr="00150187">
        <w:rPr>
          <w:rFonts w:eastAsia="Times New Roman" w:cs="Tahoma"/>
          <w:color w:val="auto"/>
          <w:lang w:eastAsia="es-ES"/>
        </w:rPr>
        <w:t>ersona</w:t>
      </w:r>
      <w:r w:rsidR="007202EE" w:rsidRPr="00150187">
        <w:rPr>
          <w:rFonts w:eastAsia="Times New Roman" w:cs="Tahoma"/>
          <w:color w:val="auto"/>
          <w:lang w:eastAsia="es-ES"/>
        </w:rPr>
        <w:t xml:space="preserve"> </w:t>
      </w:r>
      <w:r w:rsidRPr="00150187">
        <w:rPr>
          <w:rFonts w:eastAsia="Times New Roman" w:cs="Tahoma"/>
          <w:color w:val="auto"/>
          <w:lang w:eastAsia="es-ES"/>
        </w:rPr>
        <w:t>Recurrente ante otra instancia; no existió prevención alguna; la veracidad de la respuesta no formó parte del agravio; ni se realizó una consulta o ampliación a los alcances del requerimiento informativo.</w:t>
      </w:r>
    </w:p>
    <w:p w14:paraId="257442FD" w14:textId="77777777" w:rsidR="00B3689C" w:rsidRPr="00150187" w:rsidRDefault="00B3689C" w:rsidP="0037368C">
      <w:pPr>
        <w:spacing w:after="0" w:line="360" w:lineRule="auto"/>
        <w:rPr>
          <w:rFonts w:eastAsia="Times New Roman" w:cs="Tahoma"/>
          <w:color w:val="auto"/>
          <w:lang w:eastAsia="es-ES"/>
        </w:rPr>
      </w:pPr>
    </w:p>
    <w:p w14:paraId="24171D74" w14:textId="77777777" w:rsidR="00EC77D9" w:rsidRPr="00150187" w:rsidRDefault="00EC77D9" w:rsidP="0037368C">
      <w:pPr>
        <w:spacing w:after="0" w:line="360" w:lineRule="auto"/>
        <w:rPr>
          <w:rFonts w:eastAsia="Times New Roman" w:cs="Tahoma"/>
          <w:color w:val="auto"/>
          <w:lang w:val="es-ES" w:eastAsia="es-ES"/>
        </w:rPr>
      </w:pPr>
      <w:r w:rsidRPr="00150187">
        <w:rPr>
          <w:rFonts w:eastAsia="Times New Roman" w:cs="Tahoma"/>
          <w:color w:val="auto"/>
          <w:lang w:val="es-ES" w:eastAsia="es-ES"/>
        </w:rPr>
        <w:t xml:space="preserve">Además, de que el Medios de Impugnación fue presentado en tiempo, toda vez que ante la ausencia de la respuesta del Ente Recurrido, se constituyó la </w:t>
      </w:r>
      <w:r w:rsidRPr="00150187">
        <w:rPr>
          <w:rFonts w:eastAsia="Times New Roman" w:cs="Tahoma"/>
          <w:b/>
          <w:color w:val="auto"/>
          <w:lang w:val="es-ES" w:eastAsia="es-ES"/>
        </w:rPr>
        <w:t>negativa ficta</w:t>
      </w:r>
      <w:r w:rsidRPr="00150187">
        <w:rPr>
          <w:rFonts w:eastAsia="Times New Roman" w:cs="Tahoma"/>
          <w:color w:val="auto"/>
          <w:lang w:val="es-ES" w:eastAsia="es-ES"/>
        </w:rPr>
        <w:t xml:space="preserve">, que genera la posibilidad de los particulares de interponer un recurso de revisión ante tal omisión, </w:t>
      </w:r>
      <w:r w:rsidRPr="00150187">
        <w:rPr>
          <w:rFonts w:eastAsia="Times New Roman" w:cs="Tahoma"/>
          <w:color w:val="auto"/>
          <w:u w:val="single"/>
          <w:lang w:val="es-ES" w:eastAsia="es-ES"/>
        </w:rPr>
        <w:t>en cualquier momento</w:t>
      </w:r>
      <w:r w:rsidRPr="00150187">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5D1BBB1" w14:textId="77777777" w:rsidR="00EC77D9" w:rsidRPr="00150187" w:rsidRDefault="00EC77D9" w:rsidP="0037368C">
      <w:pPr>
        <w:spacing w:after="0" w:line="360" w:lineRule="auto"/>
        <w:rPr>
          <w:rFonts w:eastAsia="Times New Roman" w:cs="Tahoma"/>
          <w:color w:val="auto"/>
          <w:lang w:val="es-ES" w:eastAsia="es-ES"/>
        </w:rPr>
      </w:pPr>
    </w:p>
    <w:p w14:paraId="7A1A32E3" w14:textId="30F6D611" w:rsidR="00EC77D9" w:rsidRPr="00150187" w:rsidRDefault="00EC77D9" w:rsidP="0037368C">
      <w:pPr>
        <w:spacing w:after="0" w:line="360" w:lineRule="auto"/>
        <w:rPr>
          <w:rFonts w:eastAsia="Times New Roman" w:cs="Tahoma"/>
          <w:bCs/>
          <w:color w:val="auto"/>
          <w:lang w:val="es-ES" w:eastAsia="es-ES"/>
        </w:rPr>
      </w:pPr>
      <w:r w:rsidRPr="00150187">
        <w:rPr>
          <w:rFonts w:eastAsia="Times New Roman" w:cs="Tahoma"/>
          <w:color w:val="auto"/>
          <w:lang w:val="es-ES" w:eastAsia="es-ES"/>
        </w:rPr>
        <w:lastRenderedPageBreak/>
        <w:t>Conforme a lo anterior, se actualiza la causal de procedencia señalada en el artículo 179, fracción VII, de la Ley de la materia</w:t>
      </w:r>
      <w:r w:rsidRPr="00150187">
        <w:rPr>
          <w:rFonts w:eastAsia="Times New Roman" w:cs="Tahoma"/>
          <w:bCs/>
          <w:color w:val="auto"/>
          <w:lang w:val="es-ES" w:eastAsia="es-ES"/>
        </w:rPr>
        <w:t>, toda vez que el Solicitante se inconformó con la falta de respuesta a su solicitud de acceso a información pública.</w:t>
      </w:r>
    </w:p>
    <w:p w14:paraId="1E29D973" w14:textId="77777777" w:rsidR="00773690" w:rsidRPr="00150187" w:rsidRDefault="00773690" w:rsidP="0037368C">
      <w:pPr>
        <w:spacing w:after="0" w:line="360" w:lineRule="auto"/>
        <w:rPr>
          <w:rFonts w:eastAsia="Times New Roman" w:cs="Tahoma"/>
          <w:bCs/>
          <w:color w:val="auto"/>
          <w:lang w:val="es-ES" w:eastAsia="es-ES"/>
        </w:rPr>
      </w:pPr>
    </w:p>
    <w:p w14:paraId="7B14536E" w14:textId="783AAB8A" w:rsidR="00EC77D9" w:rsidRPr="00150187" w:rsidRDefault="00EC77D9" w:rsidP="0037368C">
      <w:pPr>
        <w:spacing w:after="0" w:line="360" w:lineRule="auto"/>
        <w:rPr>
          <w:rFonts w:eastAsia="Times New Roman" w:cs="Tahoma"/>
          <w:b/>
          <w:bCs/>
          <w:color w:val="auto"/>
          <w:lang w:eastAsia="es-ES"/>
        </w:rPr>
      </w:pPr>
      <w:r w:rsidRPr="00150187">
        <w:rPr>
          <w:rFonts w:eastAsia="Times New Roman" w:cs="Tahoma"/>
          <w:b/>
          <w:bCs/>
          <w:color w:val="auto"/>
          <w:lang w:eastAsia="es-ES"/>
        </w:rPr>
        <w:t>Causales de sobreseimiento</w:t>
      </w:r>
    </w:p>
    <w:p w14:paraId="21F0E6F0" w14:textId="77777777" w:rsidR="006D4812" w:rsidRPr="00150187" w:rsidRDefault="006D4812" w:rsidP="0037368C">
      <w:pPr>
        <w:spacing w:after="0" w:line="360" w:lineRule="auto"/>
        <w:rPr>
          <w:rFonts w:eastAsia="Times New Roman" w:cs="Tahoma"/>
          <w:b/>
          <w:bCs/>
          <w:color w:val="auto"/>
          <w:lang w:eastAsia="es-ES"/>
        </w:rPr>
      </w:pPr>
    </w:p>
    <w:p w14:paraId="63CB641D" w14:textId="21D3BF0F" w:rsidR="006607EA" w:rsidRPr="00150187" w:rsidRDefault="00EC77D9" w:rsidP="0037368C">
      <w:pPr>
        <w:spacing w:after="0" w:line="360" w:lineRule="auto"/>
        <w:rPr>
          <w:rFonts w:eastAsia="Times New Roman" w:cs="Tahoma"/>
          <w:bCs/>
          <w:color w:val="auto"/>
          <w:lang w:eastAsia="es-ES"/>
        </w:rPr>
      </w:pPr>
      <w:r w:rsidRPr="00150187">
        <w:rPr>
          <w:rFonts w:eastAsia="Times New Roman" w:cs="Tahoma"/>
          <w:bCs/>
          <w:color w:val="auto"/>
          <w:lang w:eastAsia="es-ES"/>
        </w:rPr>
        <w:t>Por ser de previo y especial pronunciamiento, este Instituto analiza si se actualiza alguna causal de sobreseimiento.</w:t>
      </w:r>
      <w:r w:rsidR="00B61BF0" w:rsidRPr="00150187">
        <w:rPr>
          <w:rFonts w:eastAsia="Times New Roman" w:cs="Tahoma"/>
          <w:bCs/>
          <w:color w:val="auto"/>
          <w:lang w:eastAsia="es-ES"/>
        </w:rPr>
        <w:t xml:space="preserve"> </w:t>
      </w:r>
    </w:p>
    <w:p w14:paraId="1DA7DE69" w14:textId="77777777" w:rsidR="006607EA" w:rsidRPr="00150187" w:rsidRDefault="006607EA" w:rsidP="0037368C">
      <w:pPr>
        <w:spacing w:after="0" w:line="360" w:lineRule="auto"/>
        <w:rPr>
          <w:rFonts w:eastAsia="Times New Roman" w:cs="Tahoma"/>
          <w:bCs/>
          <w:color w:val="auto"/>
          <w:lang w:eastAsia="es-ES"/>
        </w:rPr>
      </w:pPr>
    </w:p>
    <w:p w14:paraId="0D0171D0" w14:textId="14F23840" w:rsidR="00EC77D9" w:rsidRPr="00150187" w:rsidRDefault="00EC77D9" w:rsidP="0037368C">
      <w:pPr>
        <w:spacing w:after="0" w:line="360" w:lineRule="auto"/>
        <w:rPr>
          <w:rFonts w:eastAsia="Times New Roman" w:cs="Tahoma"/>
          <w:color w:val="auto"/>
          <w:lang w:eastAsia="es-ES"/>
        </w:rPr>
      </w:pPr>
      <w:r w:rsidRPr="00150187">
        <w:rPr>
          <w:rFonts w:eastAsia="Times New Roman" w:cs="Tahoma"/>
          <w:bCs/>
          <w:color w:val="auto"/>
          <w:lang w:eastAsia="es-ES"/>
        </w:rPr>
        <w:t>Sobre el tema, e</w:t>
      </w:r>
      <w:r w:rsidRPr="00150187">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5A60F9" w:rsidRPr="00150187">
        <w:rPr>
          <w:rFonts w:eastAsia="Times New Roman" w:cs="Tahoma"/>
          <w:color w:val="auto"/>
          <w:lang w:eastAsia="es-ES"/>
        </w:rPr>
        <w:t xml:space="preserve">persona </w:t>
      </w:r>
      <w:r w:rsidRPr="00150187">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150187" w:rsidRDefault="00EC77D9" w:rsidP="0037368C">
      <w:pPr>
        <w:spacing w:after="0" w:line="360" w:lineRule="auto"/>
        <w:rPr>
          <w:rFonts w:eastAsia="Times New Roman" w:cs="Tahoma"/>
          <w:color w:val="auto"/>
          <w:lang w:eastAsia="es-ES"/>
        </w:rPr>
      </w:pPr>
    </w:p>
    <w:p w14:paraId="10D56242" w14:textId="28D9C3BF" w:rsidR="00EC77D9" w:rsidRPr="00150187" w:rsidRDefault="00EC77D9" w:rsidP="0037368C">
      <w:pPr>
        <w:spacing w:after="0" w:line="360" w:lineRule="auto"/>
        <w:rPr>
          <w:rFonts w:eastAsia="Times New Roman" w:cs="Tahoma"/>
          <w:bCs/>
          <w:color w:val="auto"/>
          <w:lang w:eastAsia="es-ES"/>
        </w:rPr>
      </w:pPr>
      <w:r w:rsidRPr="00150187">
        <w:rPr>
          <w:rFonts w:eastAsia="Times New Roman" w:cs="Tahoma"/>
          <w:bCs/>
          <w:color w:val="auto"/>
          <w:lang w:eastAsia="es-ES"/>
        </w:rPr>
        <w:t xml:space="preserve">Por tales motivos, se considera procedente entrar al fondo del presente asunto. </w:t>
      </w:r>
    </w:p>
    <w:p w14:paraId="61150BF0" w14:textId="77777777" w:rsidR="00085C38" w:rsidRPr="00150187" w:rsidRDefault="00085C38" w:rsidP="0037368C">
      <w:pPr>
        <w:spacing w:after="0" w:line="360" w:lineRule="auto"/>
        <w:rPr>
          <w:rFonts w:eastAsia="Times New Roman" w:cs="Tahoma"/>
          <w:bCs/>
          <w:color w:val="auto"/>
          <w:lang w:eastAsia="es-ES"/>
        </w:rPr>
      </w:pPr>
    </w:p>
    <w:p w14:paraId="2AEBE5D0" w14:textId="3F73C545" w:rsidR="00A2050F" w:rsidRPr="00150187" w:rsidRDefault="00EC77D9" w:rsidP="0037368C">
      <w:pPr>
        <w:spacing w:after="0" w:line="360" w:lineRule="auto"/>
        <w:rPr>
          <w:rFonts w:eastAsia="Times New Roman" w:cs="Tahoma"/>
          <w:b/>
          <w:bCs/>
          <w:iCs/>
          <w:color w:val="auto"/>
          <w:lang w:val="es-ES" w:eastAsia="es-ES"/>
        </w:rPr>
      </w:pPr>
      <w:r w:rsidRPr="00150187">
        <w:rPr>
          <w:rFonts w:eastAsia="Times New Roman" w:cs="Tahoma"/>
          <w:b/>
          <w:bCs/>
          <w:iCs/>
          <w:color w:val="auto"/>
          <w:lang w:val="es-ES" w:eastAsia="es-ES"/>
        </w:rPr>
        <w:t>TERCERO. Determinación de la Controversia</w:t>
      </w:r>
    </w:p>
    <w:p w14:paraId="500C65FC" w14:textId="77777777" w:rsidR="008F32A6" w:rsidRPr="00150187" w:rsidRDefault="008F32A6" w:rsidP="0037368C">
      <w:pPr>
        <w:spacing w:after="0" w:line="360" w:lineRule="auto"/>
        <w:rPr>
          <w:rFonts w:eastAsia="Times New Roman" w:cs="Tahoma"/>
          <w:b/>
          <w:bCs/>
          <w:iCs/>
          <w:color w:val="FF0000"/>
          <w:lang w:val="es-ES" w:eastAsia="es-ES"/>
        </w:rPr>
      </w:pPr>
    </w:p>
    <w:p w14:paraId="4ADE2D3A" w14:textId="61344284" w:rsidR="00AB477B" w:rsidRPr="00150187" w:rsidRDefault="00A2050F" w:rsidP="00085C38">
      <w:pPr>
        <w:spacing w:after="0" w:line="360" w:lineRule="auto"/>
        <w:rPr>
          <w:rFonts w:cs="Tahoma"/>
          <w:color w:val="auto"/>
        </w:rPr>
      </w:pPr>
      <w:r w:rsidRPr="00150187">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8E6060" w:rsidRPr="00150187">
        <w:rPr>
          <w:rFonts w:cs="Tahoma"/>
          <w:color w:val="auto"/>
        </w:rPr>
        <w:t>requirió</w:t>
      </w:r>
      <w:r w:rsidR="00085C38" w:rsidRPr="00150187">
        <w:rPr>
          <w:rFonts w:cs="Tahoma"/>
          <w:color w:val="auto"/>
        </w:rPr>
        <w:t xml:space="preserve"> lo siguiente:</w:t>
      </w:r>
    </w:p>
    <w:p w14:paraId="726B6F64" w14:textId="77777777" w:rsidR="00085C38" w:rsidRPr="00150187" w:rsidRDefault="00085C38" w:rsidP="00085C38">
      <w:pPr>
        <w:spacing w:after="0" w:line="360" w:lineRule="auto"/>
        <w:rPr>
          <w:rFonts w:cs="Tahoma"/>
          <w:color w:val="auto"/>
        </w:rPr>
      </w:pPr>
    </w:p>
    <w:p w14:paraId="63B14A11" w14:textId="77777777" w:rsidR="00773690" w:rsidRPr="00150187" w:rsidRDefault="00773690" w:rsidP="00085C38">
      <w:pPr>
        <w:spacing w:after="0" w:line="360" w:lineRule="auto"/>
        <w:rPr>
          <w:rFonts w:cs="Tahoma"/>
          <w:color w:val="auto"/>
        </w:rPr>
      </w:pPr>
    </w:p>
    <w:p w14:paraId="18DAF069" w14:textId="77777777" w:rsidR="00773690" w:rsidRPr="00150187" w:rsidRDefault="00773690" w:rsidP="00085C38">
      <w:pPr>
        <w:spacing w:after="0" w:line="360" w:lineRule="auto"/>
        <w:rPr>
          <w:rFonts w:cs="Tahoma"/>
          <w:color w:val="auto"/>
        </w:rPr>
      </w:pPr>
    </w:p>
    <w:p w14:paraId="10E4AA0E" w14:textId="4568F61C" w:rsidR="00085C38" w:rsidRPr="00150187" w:rsidRDefault="00085C38" w:rsidP="00085C38">
      <w:pPr>
        <w:pStyle w:val="Prrafodelista"/>
        <w:numPr>
          <w:ilvl w:val="0"/>
          <w:numId w:val="18"/>
        </w:numPr>
        <w:spacing w:after="0" w:line="360" w:lineRule="auto"/>
        <w:rPr>
          <w:rFonts w:cs="Tahoma"/>
          <w:color w:val="auto"/>
        </w:rPr>
      </w:pPr>
      <w:r w:rsidRPr="00150187">
        <w:rPr>
          <w:rFonts w:cs="Tahoma"/>
          <w:color w:val="auto"/>
        </w:rPr>
        <w:t>El visor de nómina por sueldos y salarios</w:t>
      </w:r>
      <w:r w:rsidR="00767F53" w:rsidRPr="00150187">
        <w:rPr>
          <w:rFonts w:cs="Tahoma"/>
          <w:color w:val="auto"/>
        </w:rPr>
        <w:t xml:space="preserve"> y por asimilados a salarios, del primero de enero de dos mil veinte al treinta de agosto de dos mil veinticuatro, que contenga:</w:t>
      </w:r>
    </w:p>
    <w:p w14:paraId="3030D14A" w14:textId="7D326DDD" w:rsidR="00767F53" w:rsidRPr="00150187" w:rsidRDefault="00767F53" w:rsidP="00767F53">
      <w:pPr>
        <w:pStyle w:val="Prrafodelista"/>
        <w:numPr>
          <w:ilvl w:val="0"/>
          <w:numId w:val="19"/>
        </w:numPr>
        <w:spacing w:after="0" w:line="360" w:lineRule="auto"/>
        <w:rPr>
          <w:rFonts w:cs="Tahoma"/>
          <w:color w:val="auto"/>
        </w:rPr>
      </w:pPr>
      <w:r w:rsidRPr="00150187">
        <w:rPr>
          <w:rFonts w:cs="Tahoma"/>
          <w:color w:val="auto"/>
        </w:rPr>
        <w:t>Diferencia a cargo o a favor o en contra;</w:t>
      </w:r>
    </w:p>
    <w:p w14:paraId="2F679115" w14:textId="0F75D386" w:rsidR="00767F53" w:rsidRPr="00150187" w:rsidRDefault="00767F53" w:rsidP="00767F53">
      <w:pPr>
        <w:pStyle w:val="Prrafodelista"/>
        <w:numPr>
          <w:ilvl w:val="0"/>
          <w:numId w:val="19"/>
        </w:numPr>
        <w:spacing w:after="0" w:line="360" w:lineRule="auto"/>
        <w:rPr>
          <w:rFonts w:cs="Tahoma"/>
          <w:color w:val="auto"/>
        </w:rPr>
      </w:pPr>
      <w:r w:rsidRPr="00150187">
        <w:rPr>
          <w:rFonts w:cs="Tahoma"/>
          <w:color w:val="auto"/>
        </w:rPr>
        <w:t>ISR retenido</w:t>
      </w:r>
    </w:p>
    <w:p w14:paraId="306E9F0D" w14:textId="19BB9606" w:rsidR="00767F53" w:rsidRPr="00150187" w:rsidRDefault="00767F53" w:rsidP="00085C38">
      <w:pPr>
        <w:pStyle w:val="Prrafodelista"/>
        <w:numPr>
          <w:ilvl w:val="0"/>
          <w:numId w:val="18"/>
        </w:numPr>
        <w:spacing w:after="0" w:line="360" w:lineRule="auto"/>
        <w:rPr>
          <w:rFonts w:cs="Tahoma"/>
          <w:color w:val="auto"/>
        </w:rPr>
      </w:pPr>
      <w:r w:rsidRPr="00150187">
        <w:rPr>
          <w:rFonts w:cs="Tahoma"/>
          <w:color w:val="auto"/>
        </w:rPr>
        <w:t>El Reporte emitido por la Secretaría de Finanzas del dos mil quince al treinta de agosto de dos mil veinticuatro, en donde se especifique el monto del ISR que se obtuvo en devolución.</w:t>
      </w:r>
    </w:p>
    <w:p w14:paraId="0EF603AA" w14:textId="27F4D3E0" w:rsidR="00767F53" w:rsidRPr="00150187" w:rsidRDefault="00767F53" w:rsidP="00085C38">
      <w:pPr>
        <w:pStyle w:val="Prrafodelista"/>
        <w:numPr>
          <w:ilvl w:val="0"/>
          <w:numId w:val="18"/>
        </w:numPr>
        <w:spacing w:after="0" w:line="360" w:lineRule="auto"/>
        <w:rPr>
          <w:rFonts w:cs="Tahoma"/>
          <w:color w:val="auto"/>
        </w:rPr>
      </w:pPr>
      <w:r w:rsidRPr="00150187">
        <w:rPr>
          <w:rFonts w:cs="Tahoma"/>
          <w:color w:val="auto"/>
        </w:rPr>
        <w:t>El Reporte en el que se aprecie el control de saldo pendiente de recuperar del ISR participable.</w:t>
      </w:r>
    </w:p>
    <w:p w14:paraId="0D7414E0" w14:textId="77777777" w:rsidR="00085C38" w:rsidRPr="00150187" w:rsidRDefault="00085C38" w:rsidP="00085C38">
      <w:pPr>
        <w:spacing w:after="0" w:line="360" w:lineRule="auto"/>
        <w:rPr>
          <w:rFonts w:cs="Tahoma"/>
          <w:color w:val="FF0000"/>
        </w:rPr>
      </w:pPr>
    </w:p>
    <w:p w14:paraId="6BB249AF" w14:textId="0BAC6449" w:rsidR="00EC77D9" w:rsidRPr="00150187" w:rsidRDefault="00EC77D9" w:rsidP="0037368C">
      <w:pPr>
        <w:pStyle w:val="NormalWeb"/>
        <w:spacing w:after="0" w:line="360" w:lineRule="auto"/>
        <w:ind w:right="-28"/>
        <w:rPr>
          <w:rFonts w:ascii="Palatino Linotype" w:hAnsi="Palatino Linotype" w:cs="Tahoma"/>
          <w:bCs/>
          <w:iCs/>
          <w:color w:val="auto"/>
          <w:sz w:val="22"/>
          <w:szCs w:val="22"/>
          <w:lang w:val="es-ES" w:eastAsia="es-ES"/>
        </w:rPr>
      </w:pPr>
      <w:r w:rsidRPr="00150187">
        <w:rPr>
          <w:rFonts w:ascii="Palatino Linotype" w:hAnsi="Palatino Linotype" w:cs="Tahoma"/>
          <w:bCs/>
          <w:iCs/>
          <w:color w:val="auto"/>
          <w:sz w:val="22"/>
          <w:szCs w:val="22"/>
          <w:lang w:val="es-ES"/>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150187">
        <w:rPr>
          <w:rFonts w:ascii="Palatino Linotype" w:hAnsi="Palatino Linotype" w:cs="Tahoma"/>
          <w:bCs/>
          <w:iCs/>
          <w:color w:val="auto"/>
          <w:sz w:val="22"/>
          <w:szCs w:val="22"/>
          <w:shd w:val="clear" w:color="auto" w:fill="FFFFFF"/>
        </w:rPr>
        <w:t xml:space="preserve">. </w:t>
      </w:r>
      <w:r w:rsidRPr="00150187">
        <w:rPr>
          <w:rFonts w:ascii="Palatino Linotype" w:hAnsi="Palatino Linotype" w:cs="Tahoma"/>
          <w:color w:val="auto"/>
          <w:sz w:val="22"/>
          <w:szCs w:val="22"/>
          <w:lang w:val="es-ES"/>
        </w:rPr>
        <w:t>Así las cosas, una vez admitido y notificado el Recurso de Revisión a las partes, estas</w:t>
      </w:r>
      <w:r w:rsidRPr="00150187">
        <w:rPr>
          <w:rFonts w:ascii="Palatino Linotype" w:hAnsi="Palatino Linotype" w:cs="Tahoma"/>
          <w:bCs/>
          <w:iCs/>
          <w:color w:val="auto"/>
          <w:sz w:val="22"/>
          <w:szCs w:val="22"/>
          <w:lang w:val="es-ES" w:eastAsia="es-ES"/>
        </w:rPr>
        <w:t xml:space="preserve"> fueron omisas en realizar manifestaciones o alegatos.</w:t>
      </w:r>
    </w:p>
    <w:p w14:paraId="52D2C92E" w14:textId="77777777" w:rsidR="00BE75BB" w:rsidRPr="00150187" w:rsidRDefault="00BE75BB" w:rsidP="0037368C">
      <w:pPr>
        <w:pStyle w:val="NormalWeb"/>
        <w:spacing w:after="0" w:line="360" w:lineRule="auto"/>
        <w:ind w:right="-28"/>
        <w:rPr>
          <w:rFonts w:ascii="Palatino Linotype" w:hAnsi="Palatino Linotype" w:cs="Tahoma"/>
          <w:bCs/>
          <w:iCs/>
          <w:color w:val="auto"/>
          <w:sz w:val="22"/>
          <w:szCs w:val="22"/>
          <w:lang w:val="es-ES" w:eastAsia="es-ES"/>
        </w:rPr>
      </w:pPr>
    </w:p>
    <w:p w14:paraId="6F1CFCEB" w14:textId="77777777" w:rsidR="00EC77D9" w:rsidRPr="00150187" w:rsidRDefault="00EC77D9" w:rsidP="0037368C">
      <w:pPr>
        <w:tabs>
          <w:tab w:val="left" w:pos="4962"/>
        </w:tabs>
        <w:spacing w:after="0" w:line="360" w:lineRule="auto"/>
        <w:rPr>
          <w:rFonts w:eastAsia="Calibri" w:cs="Tahoma"/>
          <w:bCs/>
          <w:color w:val="auto"/>
        </w:rPr>
      </w:pPr>
      <w:r w:rsidRPr="00150187">
        <w:rPr>
          <w:rFonts w:eastAsia="Calibri" w:cs="Tahoma"/>
          <w:iCs/>
          <w:color w:val="auto"/>
          <w:lang w:val="es-ES" w:eastAsia="es-ES_tradnl"/>
        </w:rPr>
        <w:t xml:space="preserve">Lo anterior, se desprende de las documentales que obran en el expediente de referencia, materia de la presente resolución, consistente en: la solicitud de acceso a la información </w:t>
      </w:r>
      <w:r w:rsidRPr="00150187">
        <w:rPr>
          <w:rFonts w:eastAsia="Calibri" w:cs="Tahoma"/>
          <w:iCs/>
          <w:color w:val="auto"/>
          <w:lang w:eastAsia="es-ES_tradnl"/>
        </w:rPr>
        <w:t xml:space="preserve">y el escrito recursal; </w:t>
      </w:r>
      <w:r w:rsidRPr="00150187">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150187" w:rsidRDefault="00EC77D9" w:rsidP="0037368C">
      <w:pPr>
        <w:spacing w:after="0" w:line="360" w:lineRule="auto"/>
        <w:rPr>
          <w:rFonts w:eastAsia="Calibri" w:cs="Tahoma"/>
          <w:color w:val="auto"/>
          <w:lang w:eastAsia="es-ES_tradnl"/>
        </w:rPr>
      </w:pPr>
    </w:p>
    <w:p w14:paraId="4AC719C6" w14:textId="5763AF06" w:rsidR="00EC77D9" w:rsidRPr="00150187" w:rsidRDefault="00EC77D9" w:rsidP="0037368C">
      <w:pPr>
        <w:spacing w:after="0" w:line="360" w:lineRule="auto"/>
        <w:rPr>
          <w:rFonts w:eastAsia="Times New Roman" w:cs="Tahoma"/>
          <w:b/>
          <w:bCs/>
          <w:iCs/>
          <w:color w:val="auto"/>
          <w:lang w:eastAsia="es-ES"/>
        </w:rPr>
      </w:pPr>
      <w:r w:rsidRPr="00150187">
        <w:rPr>
          <w:rFonts w:eastAsia="Times New Roman" w:cs="Tahoma"/>
          <w:b/>
          <w:bCs/>
          <w:iCs/>
          <w:color w:val="auto"/>
          <w:lang w:val="es-ES" w:eastAsia="es-ES"/>
        </w:rPr>
        <w:t xml:space="preserve">CUARTO. </w:t>
      </w:r>
      <w:r w:rsidRPr="00150187">
        <w:rPr>
          <w:rFonts w:eastAsia="Times New Roman" w:cs="Tahoma"/>
          <w:b/>
          <w:bCs/>
          <w:iCs/>
          <w:color w:val="auto"/>
          <w:lang w:eastAsia="es-ES"/>
        </w:rPr>
        <w:t>Marco normativo aplicable en materia de transparencia y acceso a la información pública</w:t>
      </w:r>
    </w:p>
    <w:p w14:paraId="53349C7E" w14:textId="77777777" w:rsidR="00EC77D9" w:rsidRPr="00150187" w:rsidRDefault="00EC77D9" w:rsidP="0037368C">
      <w:pPr>
        <w:autoSpaceDE w:val="0"/>
        <w:autoSpaceDN w:val="0"/>
        <w:adjustRightInd w:val="0"/>
        <w:spacing w:after="0" w:line="360" w:lineRule="auto"/>
        <w:rPr>
          <w:rFonts w:eastAsia="Times New Roman" w:cs="Tahoma"/>
          <w:bCs/>
          <w:iCs/>
          <w:color w:val="FF0000"/>
          <w:lang w:val="es-ES" w:eastAsia="es-ES"/>
        </w:rPr>
      </w:pPr>
    </w:p>
    <w:p w14:paraId="24646644"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150187" w:rsidRDefault="00B61BF0" w:rsidP="0037368C">
      <w:pPr>
        <w:spacing w:after="0" w:line="360" w:lineRule="auto"/>
        <w:rPr>
          <w:rFonts w:eastAsia="Times New Roman" w:cs="Tahoma"/>
          <w:bCs/>
          <w:iCs/>
          <w:color w:val="auto"/>
          <w:lang w:eastAsia="es-ES"/>
        </w:rPr>
      </w:pPr>
    </w:p>
    <w:p w14:paraId="27585E1D" w14:textId="6CD8436B"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150187" w:rsidRDefault="00EC77D9" w:rsidP="0037368C">
      <w:pPr>
        <w:spacing w:after="0" w:line="360" w:lineRule="auto"/>
        <w:rPr>
          <w:rFonts w:eastAsia="Times New Roman" w:cs="Tahoma"/>
          <w:bCs/>
          <w:iCs/>
          <w:color w:val="auto"/>
          <w:lang w:eastAsia="es-ES"/>
        </w:rPr>
      </w:pPr>
    </w:p>
    <w:p w14:paraId="3ECDEC3B"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150187" w:rsidRDefault="00EC77D9" w:rsidP="0037368C">
      <w:pPr>
        <w:spacing w:after="0" w:line="360" w:lineRule="auto"/>
        <w:rPr>
          <w:rFonts w:eastAsia="Times New Roman" w:cs="Tahoma"/>
          <w:bCs/>
          <w:iCs/>
          <w:color w:val="auto"/>
          <w:lang w:eastAsia="es-ES"/>
        </w:rPr>
      </w:pPr>
    </w:p>
    <w:p w14:paraId="16EC33CD"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150187" w:rsidRDefault="00EC77D9" w:rsidP="0037368C">
      <w:pPr>
        <w:spacing w:after="0" w:line="360" w:lineRule="auto"/>
        <w:rPr>
          <w:rFonts w:eastAsia="Times New Roman" w:cs="Tahoma"/>
          <w:bCs/>
          <w:iCs/>
          <w:color w:val="auto"/>
          <w:lang w:eastAsia="es-ES"/>
        </w:rPr>
      </w:pPr>
    </w:p>
    <w:p w14:paraId="5AAC1DAC"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150187" w:rsidRDefault="00EC77D9" w:rsidP="0037368C">
      <w:pPr>
        <w:spacing w:after="0" w:line="360" w:lineRule="auto"/>
        <w:rPr>
          <w:rFonts w:eastAsia="Times New Roman" w:cs="Tahoma"/>
          <w:bCs/>
          <w:iCs/>
          <w:color w:val="auto"/>
          <w:lang w:eastAsia="es-ES"/>
        </w:rPr>
      </w:pPr>
    </w:p>
    <w:p w14:paraId="1A199F11" w14:textId="77777777" w:rsidR="00EC77D9" w:rsidRPr="00150187" w:rsidRDefault="00EC77D9" w:rsidP="0037368C">
      <w:pPr>
        <w:widowControl w:val="0"/>
        <w:spacing w:after="0" w:line="360" w:lineRule="auto"/>
        <w:rPr>
          <w:rFonts w:eastAsia="Times New Roman" w:cs="Tahoma"/>
          <w:bCs/>
          <w:iCs/>
          <w:color w:val="auto"/>
          <w:lang w:eastAsia="es-ES"/>
        </w:rPr>
      </w:pPr>
      <w:r w:rsidRPr="00150187">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150187" w:rsidRDefault="00EC77D9" w:rsidP="0037368C">
      <w:pPr>
        <w:spacing w:after="0" w:line="360" w:lineRule="auto"/>
        <w:rPr>
          <w:rFonts w:eastAsia="Times New Roman" w:cs="Tahoma"/>
          <w:bCs/>
          <w:iCs/>
          <w:color w:val="auto"/>
          <w:lang w:eastAsia="es-ES"/>
        </w:rPr>
      </w:pPr>
    </w:p>
    <w:p w14:paraId="6B93EA99" w14:textId="2691E2CA"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 xml:space="preserve">El artículo 19, que, se presume que la información debe existir si se refiere a las facultades, competencias y funciones que los ordenamientos jurídicos aplicables otorgan a los sujetos </w:t>
      </w:r>
      <w:r w:rsidRPr="00150187">
        <w:rPr>
          <w:rFonts w:eastAsia="Times New Roman" w:cs="Tahoma"/>
          <w:bCs/>
          <w:iCs/>
          <w:color w:val="auto"/>
          <w:lang w:eastAsia="es-ES"/>
        </w:rPr>
        <w:lastRenderedPageBreak/>
        <w:t>obligados y en caso de que dichas facultades no se hayan ejercido, se deberá motivar la respuesta en función de las causas que motivaron tal circunstancia.</w:t>
      </w:r>
    </w:p>
    <w:p w14:paraId="2EB189AA" w14:textId="77777777" w:rsidR="008F32A6" w:rsidRPr="00150187" w:rsidRDefault="008F32A6" w:rsidP="0037368C">
      <w:pPr>
        <w:spacing w:after="0" w:line="360" w:lineRule="auto"/>
        <w:rPr>
          <w:rFonts w:eastAsia="Times New Roman" w:cs="Tahoma"/>
          <w:bCs/>
          <w:iCs/>
          <w:color w:val="auto"/>
          <w:lang w:eastAsia="es-ES"/>
        </w:rPr>
      </w:pPr>
    </w:p>
    <w:p w14:paraId="5F7D7557" w14:textId="263E538C" w:rsidR="00EC77D9" w:rsidRPr="00150187" w:rsidRDefault="00EC77D9" w:rsidP="0037368C">
      <w:pPr>
        <w:spacing w:after="0" w:line="360" w:lineRule="auto"/>
        <w:rPr>
          <w:rFonts w:eastAsia="Times New Roman" w:cs="Tahoma"/>
          <w:b/>
          <w:bCs/>
          <w:iCs/>
          <w:color w:val="auto"/>
          <w:lang w:val="es-ES" w:eastAsia="es-ES"/>
        </w:rPr>
      </w:pPr>
      <w:r w:rsidRPr="00150187">
        <w:rPr>
          <w:rFonts w:eastAsia="Times New Roman" w:cs="Tahoma"/>
          <w:b/>
          <w:bCs/>
          <w:iCs/>
          <w:color w:val="auto"/>
          <w:lang w:val="es-ES" w:eastAsia="es-ES"/>
        </w:rPr>
        <w:t>QUINTO. Estudio de Fondo</w:t>
      </w:r>
    </w:p>
    <w:p w14:paraId="7A854A8B" w14:textId="77777777" w:rsidR="007F20F1" w:rsidRPr="00150187" w:rsidRDefault="007F20F1" w:rsidP="0037368C">
      <w:pPr>
        <w:spacing w:after="0" w:line="360" w:lineRule="auto"/>
        <w:rPr>
          <w:rFonts w:eastAsia="Times New Roman" w:cs="Tahoma"/>
          <w:b/>
          <w:bCs/>
          <w:iCs/>
          <w:color w:val="FF0000"/>
          <w:lang w:val="es-ES" w:eastAsia="es-ES"/>
        </w:rPr>
      </w:pPr>
    </w:p>
    <w:p w14:paraId="32385722" w14:textId="41118CED" w:rsidR="00EC77D9" w:rsidRPr="00150187" w:rsidRDefault="00EC77D9" w:rsidP="0037368C">
      <w:pPr>
        <w:spacing w:after="0" w:line="360" w:lineRule="auto"/>
        <w:rPr>
          <w:b/>
          <w:bCs/>
          <w:color w:val="auto"/>
        </w:rPr>
      </w:pPr>
      <w:r w:rsidRPr="00150187">
        <w:rPr>
          <w:rFonts w:eastAsia="Times New Roman" w:cs="Tahoma"/>
          <w:bCs/>
          <w:iCs/>
          <w:color w:val="auto"/>
          <w:lang w:eastAsia="es-ES"/>
        </w:rPr>
        <w:t xml:space="preserve">Expuestas las posturas de las partes, se procede al análisis del agravio hecho valer por </w:t>
      </w:r>
      <w:r w:rsidR="005A60F9" w:rsidRPr="00150187">
        <w:rPr>
          <w:rFonts w:eastAsia="Times New Roman" w:cs="Tahoma"/>
          <w:bCs/>
          <w:iCs/>
          <w:color w:val="auto"/>
          <w:lang w:eastAsia="es-ES"/>
        </w:rPr>
        <w:t xml:space="preserve">la persona </w:t>
      </w:r>
      <w:r w:rsidRPr="00150187">
        <w:rPr>
          <w:rFonts w:eastAsia="Times New Roman" w:cs="Tahoma"/>
          <w:bCs/>
          <w:iCs/>
          <w:color w:val="auto"/>
          <w:lang w:eastAsia="es-ES"/>
        </w:rPr>
        <w:t xml:space="preserve">Recurrente, concerniente a la falta de respuesta del </w:t>
      </w:r>
      <w:r w:rsidR="00085C38" w:rsidRPr="00150187">
        <w:rPr>
          <w:b/>
          <w:bCs/>
          <w:color w:val="auto"/>
        </w:rPr>
        <w:t>Ayuntamiento de Amecameca</w:t>
      </w:r>
      <w:r w:rsidRPr="00150187">
        <w:rPr>
          <w:rFonts w:eastAsia="Times New Roman" w:cs="Tahoma"/>
          <w:iCs/>
          <w:color w:val="auto"/>
          <w:lang w:eastAsia="es-ES"/>
        </w:rPr>
        <w:t>, a</w:t>
      </w:r>
      <w:r w:rsidRPr="00150187">
        <w:rPr>
          <w:rFonts w:eastAsia="Times New Roman" w:cs="Tahoma"/>
          <w:bCs/>
          <w:iCs/>
          <w:color w:val="auto"/>
          <w:lang w:eastAsia="es-ES"/>
        </w:rPr>
        <w:t xml:space="preserve"> la solicitud de información presentada. </w:t>
      </w:r>
    </w:p>
    <w:p w14:paraId="7EC6AA3F" w14:textId="77777777" w:rsidR="00AB477B" w:rsidRPr="00150187" w:rsidRDefault="00AB477B" w:rsidP="0037368C">
      <w:pPr>
        <w:spacing w:after="0" w:line="360" w:lineRule="auto"/>
        <w:rPr>
          <w:rFonts w:eastAsia="Times New Roman" w:cs="Tahoma"/>
          <w:bCs/>
          <w:iCs/>
          <w:color w:val="FF0000"/>
          <w:lang w:eastAsia="es-ES"/>
        </w:rPr>
      </w:pPr>
    </w:p>
    <w:p w14:paraId="0AB45A33"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43F50E59" w14:textId="77777777" w:rsidR="00EC77D9" w:rsidRPr="00150187" w:rsidRDefault="00EC77D9" w:rsidP="0037368C">
      <w:pPr>
        <w:spacing w:after="0" w:line="360" w:lineRule="auto"/>
        <w:rPr>
          <w:rFonts w:eastAsia="Times New Roman" w:cs="Tahoma"/>
          <w:bCs/>
          <w:iCs/>
          <w:color w:val="auto"/>
          <w:lang w:eastAsia="es-ES"/>
        </w:rPr>
      </w:pPr>
    </w:p>
    <w:p w14:paraId="2B345289" w14:textId="77777777" w:rsidR="00EC77D9" w:rsidRPr="00150187" w:rsidRDefault="00EC77D9" w:rsidP="0037368C">
      <w:pPr>
        <w:numPr>
          <w:ilvl w:val="0"/>
          <w:numId w:val="1"/>
        </w:numPr>
        <w:spacing w:after="0" w:line="360" w:lineRule="auto"/>
        <w:rPr>
          <w:rFonts w:eastAsia="Times New Roman" w:cs="Tahoma"/>
          <w:bCs/>
          <w:iCs/>
          <w:color w:val="auto"/>
          <w:lang w:eastAsia="es-ES"/>
        </w:rPr>
      </w:pPr>
      <w:r w:rsidRPr="00150187">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114F2252" w14:textId="77777777" w:rsidR="00EC77D9" w:rsidRPr="00150187" w:rsidRDefault="00EC77D9" w:rsidP="0037368C">
      <w:pPr>
        <w:spacing w:after="0" w:line="360" w:lineRule="auto"/>
        <w:ind w:left="720"/>
        <w:rPr>
          <w:rFonts w:eastAsia="Times New Roman" w:cs="Tahoma"/>
          <w:bCs/>
          <w:iCs/>
          <w:color w:val="auto"/>
          <w:lang w:eastAsia="es-ES"/>
        </w:rPr>
      </w:pPr>
    </w:p>
    <w:p w14:paraId="23E46162" w14:textId="77777777" w:rsidR="00EC77D9" w:rsidRPr="00150187" w:rsidRDefault="00EC77D9" w:rsidP="0037368C">
      <w:pPr>
        <w:numPr>
          <w:ilvl w:val="0"/>
          <w:numId w:val="1"/>
        </w:numPr>
        <w:spacing w:after="0" w:line="360" w:lineRule="auto"/>
        <w:rPr>
          <w:rFonts w:eastAsia="Times New Roman" w:cs="Tahoma"/>
          <w:bCs/>
          <w:iCs/>
          <w:color w:val="auto"/>
          <w:lang w:eastAsia="es-ES"/>
        </w:rPr>
      </w:pPr>
      <w:r w:rsidRPr="00150187">
        <w:rPr>
          <w:rFonts w:eastAsia="Times New Roman" w:cs="Tahoma"/>
          <w:bCs/>
          <w:iCs/>
          <w:color w:val="auto"/>
          <w:lang w:eastAsia="es-ES"/>
        </w:rPr>
        <w:t>Transparentar la gestión pública, mediante la difusión de la información generada por los Sujetos Obligados, y</w:t>
      </w:r>
    </w:p>
    <w:p w14:paraId="0B78ABEB" w14:textId="77777777" w:rsidR="00EC77D9" w:rsidRPr="00150187" w:rsidRDefault="00EC77D9" w:rsidP="0037368C">
      <w:pPr>
        <w:spacing w:after="0" w:line="360" w:lineRule="auto"/>
        <w:ind w:left="720"/>
        <w:rPr>
          <w:rFonts w:eastAsia="Times New Roman" w:cs="Tahoma"/>
          <w:bCs/>
          <w:iCs/>
          <w:color w:val="auto"/>
          <w:lang w:eastAsia="es-ES"/>
        </w:rPr>
      </w:pPr>
    </w:p>
    <w:p w14:paraId="2F681C81" w14:textId="77777777" w:rsidR="00EC77D9" w:rsidRPr="00150187" w:rsidRDefault="00EC77D9" w:rsidP="0037368C">
      <w:pPr>
        <w:numPr>
          <w:ilvl w:val="0"/>
          <w:numId w:val="1"/>
        </w:numPr>
        <w:spacing w:after="0" w:line="360" w:lineRule="auto"/>
        <w:rPr>
          <w:rFonts w:eastAsia="Times New Roman" w:cs="Tahoma"/>
          <w:bCs/>
          <w:iCs/>
          <w:color w:val="auto"/>
          <w:lang w:eastAsia="es-ES"/>
        </w:rPr>
      </w:pPr>
      <w:r w:rsidRPr="00150187">
        <w:rPr>
          <w:rFonts w:eastAsia="Times New Roman" w:cs="Tahoma"/>
          <w:bCs/>
          <w:iCs/>
          <w:color w:val="auto"/>
          <w:lang w:eastAsia="es-ES"/>
        </w:rPr>
        <w:t>Promover, fomentar y difundir la cultura de la transparencia en el ejercicio de la función pública, el acceso a la información y la participación ciudadana, así como, la rendición de cuentas.</w:t>
      </w:r>
    </w:p>
    <w:p w14:paraId="481A5B4D" w14:textId="77777777" w:rsidR="00EC77D9" w:rsidRPr="00150187" w:rsidRDefault="00EC77D9" w:rsidP="0037368C">
      <w:pPr>
        <w:spacing w:after="0" w:line="360" w:lineRule="auto"/>
        <w:rPr>
          <w:rFonts w:eastAsia="Times New Roman" w:cs="Tahoma"/>
          <w:bCs/>
          <w:iCs/>
          <w:color w:val="auto"/>
          <w:lang w:eastAsia="es-ES"/>
        </w:rPr>
      </w:pPr>
    </w:p>
    <w:p w14:paraId="362D7C07"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 xml:space="preserve">Conforme a lo anterior, se deprende que </w:t>
      </w:r>
      <w:r w:rsidRPr="00150187">
        <w:rPr>
          <w:rFonts w:eastAsia="Times New Roman" w:cs="Tahoma"/>
          <w:b/>
          <w:bCs/>
          <w:iCs/>
          <w:color w:val="auto"/>
          <w:lang w:eastAsia="es-ES"/>
        </w:rPr>
        <w:t>los objetivos de la Ley de la materia,</w:t>
      </w:r>
      <w:r w:rsidRPr="00150187">
        <w:rPr>
          <w:rFonts w:eastAsia="Times New Roman" w:cs="Tahoma"/>
          <w:bCs/>
          <w:iCs/>
          <w:color w:val="auto"/>
          <w:lang w:eastAsia="es-ES"/>
        </w:rPr>
        <w:t xml:space="preserve"> son establecer las bases que regirán las formas para garantizar el derecho de acceso a la información, </w:t>
      </w:r>
      <w:r w:rsidRPr="00150187">
        <w:rPr>
          <w:rFonts w:eastAsia="Times New Roman" w:cs="Tahoma"/>
          <w:bCs/>
          <w:iCs/>
          <w:color w:val="auto"/>
          <w:lang w:eastAsia="es-ES"/>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09FBF755" w14:textId="77777777" w:rsidR="00EC77D9" w:rsidRPr="00150187" w:rsidRDefault="00EC77D9" w:rsidP="0037368C">
      <w:pPr>
        <w:spacing w:after="0" w:line="360" w:lineRule="auto"/>
        <w:rPr>
          <w:rFonts w:eastAsia="Times New Roman" w:cs="Tahoma"/>
          <w:bCs/>
          <w:iCs/>
          <w:color w:val="auto"/>
          <w:lang w:eastAsia="es-ES"/>
        </w:rPr>
      </w:pPr>
    </w:p>
    <w:p w14:paraId="224C22BD"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 xml:space="preserve">En ese orden de ideas, para la atención de las solicitudes de acceso a la información, debe privilegiarse el </w:t>
      </w:r>
      <w:r w:rsidRPr="00150187">
        <w:rPr>
          <w:rFonts w:eastAsia="Times New Roman" w:cs="Tahoma"/>
          <w:b/>
          <w:bCs/>
          <w:iCs/>
          <w:color w:val="auto"/>
          <w:lang w:eastAsia="es-ES"/>
        </w:rPr>
        <w:t>principio de máxima publicidad</w:t>
      </w:r>
      <w:r w:rsidRPr="00150187">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DDD829A" w14:textId="77777777" w:rsidR="00EC77D9" w:rsidRPr="00150187" w:rsidRDefault="00EC77D9" w:rsidP="0037368C">
      <w:pPr>
        <w:spacing w:after="0" w:line="360" w:lineRule="auto"/>
        <w:rPr>
          <w:rFonts w:eastAsia="Times New Roman" w:cs="Tahoma"/>
          <w:bCs/>
          <w:iCs/>
          <w:color w:val="auto"/>
          <w:lang w:eastAsia="es-ES"/>
        </w:rPr>
      </w:pPr>
    </w:p>
    <w:p w14:paraId="15E834E6" w14:textId="77777777" w:rsidR="00EC77D9" w:rsidRPr="00150187" w:rsidRDefault="00EC77D9" w:rsidP="0037368C">
      <w:pPr>
        <w:spacing w:after="0" w:line="360" w:lineRule="auto"/>
        <w:rPr>
          <w:rFonts w:eastAsia="Times New Roman" w:cs="Tahoma"/>
          <w:bCs/>
          <w:iCs/>
          <w:color w:val="auto"/>
          <w:lang w:eastAsia="es-ES"/>
        </w:rPr>
      </w:pPr>
      <w:r w:rsidRPr="00150187">
        <w:rPr>
          <w:rFonts w:eastAsia="Times New Roman" w:cs="Tahoma"/>
          <w:bCs/>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8422510" w14:textId="77777777" w:rsidR="00EC77D9" w:rsidRPr="00150187" w:rsidRDefault="00EC77D9" w:rsidP="0037368C">
      <w:pPr>
        <w:spacing w:after="0" w:line="360" w:lineRule="auto"/>
        <w:rPr>
          <w:rFonts w:eastAsia="Times New Roman" w:cs="Tahoma"/>
          <w:bCs/>
          <w:iCs/>
          <w:color w:val="auto"/>
          <w:lang w:eastAsia="es-ES"/>
        </w:rPr>
      </w:pPr>
    </w:p>
    <w:p w14:paraId="00EC16F0" w14:textId="53439FBE" w:rsidR="0093261A" w:rsidRPr="00150187" w:rsidRDefault="00EC77D9" w:rsidP="0037368C">
      <w:pPr>
        <w:numPr>
          <w:ilvl w:val="0"/>
          <w:numId w:val="2"/>
        </w:numPr>
        <w:spacing w:after="0" w:line="360" w:lineRule="auto"/>
        <w:rPr>
          <w:rFonts w:eastAsia="Times New Roman" w:cs="Tahoma"/>
          <w:bCs/>
          <w:iCs/>
          <w:color w:val="auto"/>
          <w:lang w:eastAsia="es-ES"/>
        </w:rPr>
      </w:pPr>
      <w:r w:rsidRPr="00150187">
        <w:rPr>
          <w:rFonts w:eastAsia="Times New Roman" w:cs="Tahoma"/>
          <w:bCs/>
          <w:iCs/>
          <w:color w:val="auto"/>
          <w:lang w:eastAsia="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1E8333F" w14:textId="77777777" w:rsidR="0093261A" w:rsidRPr="00150187" w:rsidRDefault="0093261A" w:rsidP="0037368C">
      <w:pPr>
        <w:spacing w:after="0" w:line="360" w:lineRule="auto"/>
        <w:rPr>
          <w:rFonts w:eastAsia="Times New Roman" w:cs="Tahoma"/>
          <w:bCs/>
          <w:iCs/>
          <w:color w:val="auto"/>
          <w:lang w:eastAsia="es-ES"/>
        </w:rPr>
      </w:pPr>
    </w:p>
    <w:p w14:paraId="35E844F3" w14:textId="442990DF" w:rsidR="007505E8" w:rsidRPr="00150187" w:rsidRDefault="00EC77D9" w:rsidP="0037368C">
      <w:pPr>
        <w:numPr>
          <w:ilvl w:val="0"/>
          <w:numId w:val="2"/>
        </w:numPr>
        <w:spacing w:after="0" w:line="360" w:lineRule="auto"/>
        <w:rPr>
          <w:rFonts w:eastAsia="Times New Roman" w:cs="Tahoma"/>
          <w:bCs/>
          <w:iCs/>
          <w:color w:val="auto"/>
          <w:lang w:eastAsia="es-ES"/>
        </w:rPr>
      </w:pPr>
      <w:r w:rsidRPr="00150187">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1027250" w14:textId="77777777" w:rsidR="007505E8" w:rsidRPr="00150187" w:rsidRDefault="007505E8" w:rsidP="0037368C">
      <w:pPr>
        <w:spacing w:after="0" w:line="360" w:lineRule="auto"/>
        <w:ind w:left="720"/>
        <w:rPr>
          <w:rFonts w:eastAsia="Times New Roman" w:cs="Tahoma"/>
          <w:bCs/>
          <w:iCs/>
          <w:color w:val="auto"/>
          <w:lang w:eastAsia="es-ES"/>
        </w:rPr>
      </w:pPr>
    </w:p>
    <w:p w14:paraId="58B4FFCB" w14:textId="77777777" w:rsidR="00EC77D9" w:rsidRPr="00150187" w:rsidRDefault="00EC77D9" w:rsidP="0037368C">
      <w:pPr>
        <w:numPr>
          <w:ilvl w:val="0"/>
          <w:numId w:val="2"/>
        </w:numPr>
        <w:spacing w:after="0" w:line="360" w:lineRule="auto"/>
        <w:rPr>
          <w:rFonts w:eastAsia="Times New Roman" w:cs="Tahoma"/>
          <w:bCs/>
          <w:iCs/>
          <w:color w:val="auto"/>
          <w:lang w:eastAsia="es-ES"/>
        </w:rPr>
      </w:pPr>
      <w:r w:rsidRPr="00150187">
        <w:rPr>
          <w:rFonts w:eastAsia="Times New Roman" w:cs="Tahoma"/>
          <w:bCs/>
          <w:iCs/>
          <w:color w:val="auto"/>
          <w:lang w:eastAsia="es-ES"/>
        </w:rPr>
        <w:t xml:space="preserve">Las respuestas a los requerimientos informativos deberán notificarse al interesado en el menor tiempo posible, que no podrá exceder </w:t>
      </w:r>
      <w:r w:rsidRPr="00150187">
        <w:rPr>
          <w:rFonts w:eastAsia="Times New Roman" w:cs="Tahoma"/>
          <w:b/>
          <w:bCs/>
          <w:iCs/>
          <w:color w:val="auto"/>
          <w:lang w:eastAsia="es-ES"/>
        </w:rPr>
        <w:t>quince días, contados a partir del día siguiente a la presentación de ésta.</w:t>
      </w:r>
      <w:r w:rsidRPr="00150187">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32C5FDA4" w14:textId="77777777" w:rsidR="00EC77D9" w:rsidRPr="00150187" w:rsidRDefault="00EC77D9" w:rsidP="0037368C">
      <w:pPr>
        <w:spacing w:after="0" w:line="360" w:lineRule="auto"/>
        <w:rPr>
          <w:rFonts w:eastAsia="Times New Roman" w:cs="Tahoma"/>
          <w:bCs/>
          <w:iCs/>
          <w:color w:val="auto"/>
          <w:lang w:eastAsia="es-ES"/>
        </w:rPr>
      </w:pPr>
    </w:p>
    <w:p w14:paraId="70A04FD2" w14:textId="77777777" w:rsidR="00EC77D9" w:rsidRPr="00150187" w:rsidRDefault="00EC77D9" w:rsidP="0037368C">
      <w:pPr>
        <w:numPr>
          <w:ilvl w:val="0"/>
          <w:numId w:val="2"/>
        </w:numPr>
        <w:spacing w:after="0" w:line="360" w:lineRule="auto"/>
        <w:rPr>
          <w:rFonts w:eastAsia="Times New Roman" w:cs="Tahoma"/>
          <w:b/>
          <w:bCs/>
          <w:iCs/>
          <w:color w:val="auto"/>
          <w:lang w:eastAsia="es-ES"/>
        </w:rPr>
      </w:pPr>
      <w:r w:rsidRPr="00150187">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150187">
        <w:rPr>
          <w:rFonts w:eastAsia="Times New Roman" w:cs="Tahoma"/>
          <w:b/>
          <w:bCs/>
          <w:iCs/>
          <w:color w:val="auto"/>
          <w:lang w:eastAsia="es-ES"/>
        </w:rPr>
        <w:t>que se encuentren en sus archivos o que estén constreñidos a elaborar;</w:t>
      </w:r>
    </w:p>
    <w:p w14:paraId="512323EC" w14:textId="77777777" w:rsidR="00EC77D9" w:rsidRPr="00150187" w:rsidRDefault="00EC77D9" w:rsidP="0037368C">
      <w:pPr>
        <w:spacing w:after="0" w:line="360" w:lineRule="auto"/>
        <w:rPr>
          <w:rFonts w:eastAsia="Times New Roman" w:cs="Tahoma"/>
          <w:b/>
          <w:bCs/>
          <w:iCs/>
          <w:color w:val="auto"/>
          <w:lang w:eastAsia="es-ES"/>
        </w:rPr>
      </w:pPr>
    </w:p>
    <w:p w14:paraId="1420CA29" w14:textId="153C9E92" w:rsidR="008E4F87" w:rsidRPr="00150187" w:rsidRDefault="00EC77D9" w:rsidP="0037368C">
      <w:pPr>
        <w:numPr>
          <w:ilvl w:val="0"/>
          <w:numId w:val="2"/>
        </w:numPr>
        <w:spacing w:after="0" w:line="360" w:lineRule="auto"/>
        <w:rPr>
          <w:rFonts w:eastAsia="Times New Roman" w:cs="Tahoma"/>
          <w:b/>
          <w:bCs/>
          <w:iCs/>
          <w:color w:val="auto"/>
          <w:lang w:eastAsia="es-ES"/>
        </w:rPr>
      </w:pPr>
      <w:r w:rsidRPr="00150187">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CB07303" w14:textId="77777777" w:rsidR="0023234F" w:rsidRPr="00150187" w:rsidRDefault="0023234F" w:rsidP="0023234F">
      <w:pPr>
        <w:pStyle w:val="Prrafodelista"/>
        <w:rPr>
          <w:rFonts w:eastAsia="Times New Roman" w:cs="Tahoma"/>
          <w:b/>
          <w:bCs/>
          <w:iCs/>
          <w:color w:val="auto"/>
          <w:lang w:eastAsia="es-ES"/>
        </w:rPr>
      </w:pPr>
    </w:p>
    <w:p w14:paraId="3622B45D" w14:textId="77777777" w:rsidR="00EC77D9" w:rsidRPr="00150187" w:rsidRDefault="00EC77D9" w:rsidP="0037368C">
      <w:pPr>
        <w:numPr>
          <w:ilvl w:val="0"/>
          <w:numId w:val="2"/>
        </w:numPr>
        <w:spacing w:after="0" w:line="360" w:lineRule="auto"/>
        <w:rPr>
          <w:rFonts w:eastAsia="Times New Roman" w:cs="Tahoma"/>
          <w:b/>
          <w:bCs/>
          <w:iCs/>
          <w:color w:val="auto"/>
          <w:lang w:eastAsia="es-ES"/>
        </w:rPr>
      </w:pPr>
      <w:r w:rsidRPr="00150187">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401B39B" w14:textId="77777777" w:rsidR="00911122" w:rsidRPr="00150187" w:rsidRDefault="00911122" w:rsidP="00911122">
      <w:pPr>
        <w:spacing w:after="0" w:line="360" w:lineRule="auto"/>
        <w:ind w:left="720"/>
        <w:rPr>
          <w:rFonts w:eastAsia="Times New Roman" w:cs="Tahoma"/>
          <w:b/>
          <w:bCs/>
          <w:iCs/>
          <w:color w:val="auto"/>
          <w:lang w:eastAsia="es-ES"/>
        </w:rPr>
      </w:pPr>
    </w:p>
    <w:p w14:paraId="0FB1B2E4" w14:textId="6FC98D04" w:rsidR="002E0C88" w:rsidRPr="00150187" w:rsidRDefault="000F5705" w:rsidP="0037368C">
      <w:pPr>
        <w:spacing w:after="0" w:line="360" w:lineRule="auto"/>
        <w:rPr>
          <w:rFonts w:eastAsia="Calibri" w:cs="Tahoma"/>
          <w:color w:val="auto"/>
        </w:rPr>
      </w:pPr>
      <w:r w:rsidRPr="00150187">
        <w:rPr>
          <w:rFonts w:eastAsia="Calibri" w:cs="Tahoma"/>
          <w:color w:val="auto"/>
        </w:rPr>
        <w:lastRenderedPageBreak/>
        <w:t xml:space="preserve">Una vez establecido lo anterior, es de indicar que el agravio del Particular consistió en que, a la fecha de interposición del Recurso de Revisión, </w:t>
      </w:r>
      <w:r w:rsidRPr="00150187">
        <w:rPr>
          <w:rFonts w:eastAsia="Calibri" w:cs="Tahoma"/>
          <w:bCs/>
          <w:color w:val="auto"/>
        </w:rPr>
        <w:t>el</w:t>
      </w:r>
      <w:r w:rsidR="003834B8" w:rsidRPr="00150187">
        <w:rPr>
          <w:b/>
          <w:color w:val="auto"/>
        </w:rPr>
        <w:t xml:space="preserve"> </w:t>
      </w:r>
      <w:r w:rsidR="00085C38" w:rsidRPr="00150187">
        <w:rPr>
          <w:b/>
          <w:bCs/>
          <w:color w:val="auto"/>
        </w:rPr>
        <w:t>Ayuntamiento de Amecameca</w:t>
      </w:r>
      <w:r w:rsidRPr="00150187">
        <w:rPr>
          <w:rFonts w:eastAsia="Calibri" w:cs="Tahoma"/>
          <w:bCs/>
          <w:color w:val="auto"/>
        </w:rPr>
        <w:t>, no había registrado respuesta al requerimiento</w:t>
      </w:r>
      <w:r w:rsidRPr="00150187">
        <w:rPr>
          <w:rFonts w:eastAsia="Calibri" w:cs="Tahoma"/>
          <w:color w:val="auto"/>
        </w:rPr>
        <w:t xml:space="preserve"> de acceso a la información, el cual se presentó, el</w:t>
      </w:r>
      <w:r w:rsidR="002E0C88" w:rsidRPr="00150187">
        <w:rPr>
          <w:rFonts w:eastAsia="Calibri" w:cs="Tahoma"/>
          <w:color w:val="auto"/>
        </w:rPr>
        <w:t xml:space="preserve"> </w:t>
      </w:r>
      <w:r w:rsidR="00767F53" w:rsidRPr="00150187">
        <w:rPr>
          <w:rFonts w:eastAsia="Calibri" w:cs="Tahoma"/>
          <w:color w:val="auto"/>
        </w:rPr>
        <w:t>treinta de agosto</w:t>
      </w:r>
      <w:r w:rsidR="002E0C88" w:rsidRPr="00150187">
        <w:rPr>
          <w:rFonts w:eastAsia="Calibri" w:cs="Tahoma"/>
          <w:color w:val="auto"/>
        </w:rPr>
        <w:t xml:space="preserve"> de dos mil veinticuatro.</w:t>
      </w:r>
    </w:p>
    <w:p w14:paraId="00796909" w14:textId="77777777" w:rsidR="00AB477B" w:rsidRPr="00150187" w:rsidRDefault="00AB477B" w:rsidP="0037368C">
      <w:pPr>
        <w:spacing w:after="0" w:line="360" w:lineRule="auto"/>
        <w:rPr>
          <w:rFonts w:eastAsia="Calibri" w:cs="Tahoma"/>
          <w:color w:val="FF0000"/>
        </w:rPr>
      </w:pPr>
    </w:p>
    <w:p w14:paraId="7954A457" w14:textId="6EE547C7" w:rsidR="001756F2" w:rsidRPr="00150187" w:rsidRDefault="001756F2" w:rsidP="0037368C">
      <w:pPr>
        <w:spacing w:after="0" w:line="360" w:lineRule="auto"/>
        <w:rPr>
          <w:rFonts w:eastAsia="Calibri" w:cs="Tahoma"/>
          <w:color w:val="auto"/>
        </w:rPr>
      </w:pPr>
      <w:r w:rsidRPr="00150187">
        <w:rPr>
          <w:rFonts w:eastAsia="Calibri" w:cs="Tahoma"/>
          <w:bCs/>
          <w:color w:val="auto"/>
        </w:rPr>
        <w:t xml:space="preserve">En ese orden de ideas, el plazo con el que contaba el Sujeto Obligado para emitir contestación al requerimiento informativo, </w:t>
      </w:r>
      <w:r w:rsidRPr="00150187">
        <w:rPr>
          <w:rFonts w:eastAsia="Calibri" w:cs="Tahoma"/>
          <w:b/>
          <w:bCs/>
          <w:color w:val="auto"/>
        </w:rPr>
        <w:t>comenzó a correr el</w:t>
      </w:r>
      <w:r w:rsidR="00E75711" w:rsidRPr="00150187">
        <w:rPr>
          <w:rFonts w:eastAsia="Calibri" w:cs="Tahoma"/>
          <w:b/>
          <w:bCs/>
          <w:color w:val="auto"/>
        </w:rPr>
        <w:t xml:space="preserve"> </w:t>
      </w:r>
      <w:r w:rsidR="00767F53" w:rsidRPr="00150187">
        <w:rPr>
          <w:rFonts w:eastAsia="Calibri" w:cs="Tahoma"/>
          <w:b/>
          <w:bCs/>
          <w:color w:val="auto"/>
        </w:rPr>
        <w:t>dos</w:t>
      </w:r>
      <w:r w:rsidR="002E0C88" w:rsidRPr="00150187">
        <w:rPr>
          <w:rFonts w:eastAsia="Calibri" w:cs="Tahoma"/>
          <w:b/>
          <w:bCs/>
          <w:color w:val="auto"/>
        </w:rPr>
        <w:t xml:space="preserve"> y feneció el </w:t>
      </w:r>
      <w:r w:rsidR="00767F53" w:rsidRPr="00150187">
        <w:rPr>
          <w:rFonts w:eastAsia="Calibri" w:cs="Tahoma"/>
          <w:b/>
          <w:bCs/>
          <w:color w:val="auto"/>
        </w:rPr>
        <w:t xml:space="preserve">veintitrés, </w:t>
      </w:r>
      <w:r w:rsidR="00767F53" w:rsidRPr="00150187">
        <w:rPr>
          <w:rFonts w:eastAsia="Calibri" w:cs="Tahoma"/>
          <w:color w:val="auto"/>
        </w:rPr>
        <w:t>ambos de septiembre</w:t>
      </w:r>
      <w:r w:rsidR="002E0C88" w:rsidRPr="00150187">
        <w:rPr>
          <w:rFonts w:eastAsia="Calibri" w:cs="Tahoma"/>
          <w:b/>
          <w:bCs/>
          <w:color w:val="auto"/>
        </w:rPr>
        <w:t xml:space="preserve"> </w:t>
      </w:r>
      <w:r w:rsidR="008F32A6" w:rsidRPr="00150187">
        <w:rPr>
          <w:rFonts w:eastAsia="Calibri" w:cs="Tahoma"/>
          <w:color w:val="auto"/>
        </w:rPr>
        <w:t>de</w:t>
      </w:r>
      <w:r w:rsidRPr="00150187">
        <w:rPr>
          <w:rFonts w:eastAsia="Calibri" w:cs="Tahoma"/>
          <w:color w:val="auto"/>
        </w:rPr>
        <w:t xml:space="preserve"> dos mil </w:t>
      </w:r>
      <w:r w:rsidR="00E67585" w:rsidRPr="00150187">
        <w:rPr>
          <w:rFonts w:eastAsia="Calibri" w:cs="Tahoma"/>
          <w:color w:val="auto"/>
        </w:rPr>
        <w:t>veinticuatro</w:t>
      </w:r>
      <w:r w:rsidRPr="00150187">
        <w:rPr>
          <w:rFonts w:eastAsia="Calibri" w:cs="Tahoma"/>
          <w:color w:val="auto"/>
        </w:rPr>
        <w:t>; lo anterior, sin contar los días</w:t>
      </w:r>
      <w:r w:rsidR="00FB56C6" w:rsidRPr="00150187">
        <w:rPr>
          <w:rFonts w:eastAsia="Calibri" w:cs="Tahoma"/>
          <w:color w:val="auto"/>
        </w:rPr>
        <w:t xml:space="preserve">, </w:t>
      </w:r>
      <w:r w:rsidR="00767F53" w:rsidRPr="00150187">
        <w:rPr>
          <w:rFonts w:eastAsia="Calibri" w:cs="Tahoma"/>
          <w:color w:val="auto"/>
        </w:rPr>
        <w:t>el treinta y uno de agosto, así como, primero, siete, ocho, catorce, quince, dieciséis, veintiuno y veintidós</w:t>
      </w:r>
      <w:r w:rsidR="002E0C88" w:rsidRPr="00150187">
        <w:rPr>
          <w:rFonts w:eastAsia="Calibri" w:cs="Tahoma"/>
          <w:color w:val="auto"/>
        </w:rPr>
        <w:t xml:space="preserve"> </w:t>
      </w:r>
      <w:r w:rsidR="008F32A6" w:rsidRPr="00150187">
        <w:rPr>
          <w:rFonts w:eastAsia="Calibri" w:cs="Tahoma"/>
          <w:color w:val="auto"/>
        </w:rPr>
        <w:t>de dicho mes y año</w:t>
      </w:r>
      <w:r w:rsidRPr="00150187">
        <w:rPr>
          <w:rFonts w:eastAsia="Calibri" w:cs="Tahoma"/>
          <w:color w:val="auto"/>
        </w:rPr>
        <w:t xml:space="preserve">, </w:t>
      </w:r>
      <w:r w:rsidRPr="00150187">
        <w:rPr>
          <w:rFonts w:eastAsia="Batang" w:cs="Tahoma"/>
          <w:bCs/>
          <w:color w:val="auto"/>
        </w:rPr>
        <w:t xml:space="preserve">de conformidad con los artículos 3°, fracción X, </w:t>
      </w:r>
      <w:r w:rsidR="00D4257C" w:rsidRPr="00150187">
        <w:rPr>
          <w:rFonts w:eastAsia="Batang" w:cs="Tahoma"/>
          <w:color w:val="auto"/>
          <w:lang w:val="es-ES"/>
        </w:rPr>
        <w:t xml:space="preserve">y </w:t>
      </w:r>
      <w:bookmarkStart w:id="1" w:name="_Hlk65786947"/>
      <w:r w:rsidRPr="00150187">
        <w:rPr>
          <w:rFonts w:eastAsia="Batang" w:cs="Tahoma"/>
          <w:bCs/>
          <w:color w:val="auto"/>
        </w:rPr>
        <w:t xml:space="preserve">el </w:t>
      </w:r>
      <w:r w:rsidRPr="00150187">
        <w:rPr>
          <w:rFonts w:eastAsia="Batang" w:cs="Tahoma"/>
          <w:color w:val="auto"/>
          <w:lang w:val="es-ES"/>
        </w:rPr>
        <w:t xml:space="preserve">Calendario Oficial en Materia de Transparencia, Acceso a la Información Pública y Protección de Datos Personales del Estado de México y Municipios, así como de laborales de este Instituto, para el año dos mil </w:t>
      </w:r>
      <w:r w:rsidR="00D4257C" w:rsidRPr="00150187">
        <w:rPr>
          <w:rFonts w:eastAsia="Batang" w:cs="Tahoma"/>
          <w:color w:val="auto"/>
          <w:lang w:val="es-ES"/>
        </w:rPr>
        <w:t>v</w:t>
      </w:r>
      <w:r w:rsidR="00FB56C6" w:rsidRPr="00150187">
        <w:rPr>
          <w:rFonts w:eastAsia="Batang" w:cs="Tahoma"/>
          <w:color w:val="auto"/>
          <w:lang w:val="es-ES"/>
        </w:rPr>
        <w:t>einticuatro</w:t>
      </w:r>
      <w:r w:rsidRPr="00150187">
        <w:rPr>
          <w:rFonts w:eastAsia="Batang" w:cs="Tahoma"/>
          <w:color w:val="auto"/>
          <w:lang w:val="es-ES"/>
        </w:rPr>
        <w:t xml:space="preserve"> y enero dos </w:t>
      </w:r>
      <w:bookmarkEnd w:id="1"/>
      <w:r w:rsidRPr="00150187">
        <w:rPr>
          <w:rFonts w:eastAsia="Batang" w:cs="Tahoma"/>
          <w:color w:val="auto"/>
          <w:lang w:val="es-ES"/>
        </w:rPr>
        <w:t>mil</w:t>
      </w:r>
      <w:r w:rsidR="00D4257C" w:rsidRPr="00150187">
        <w:rPr>
          <w:rFonts w:eastAsia="Batang" w:cs="Tahoma"/>
          <w:color w:val="auto"/>
          <w:lang w:val="es-ES"/>
        </w:rPr>
        <w:t xml:space="preserve"> </w:t>
      </w:r>
      <w:r w:rsidR="00FB56C6" w:rsidRPr="00150187">
        <w:rPr>
          <w:rFonts w:eastAsia="Batang" w:cs="Tahoma"/>
          <w:color w:val="auto"/>
          <w:lang w:val="es-ES"/>
        </w:rPr>
        <w:t>veinticinco</w:t>
      </w:r>
      <w:r w:rsidRPr="00150187">
        <w:rPr>
          <w:rFonts w:eastAsia="Batang" w:cs="Tahoma"/>
          <w:color w:val="auto"/>
          <w:lang w:val="es-ES"/>
        </w:rPr>
        <w:t>.</w:t>
      </w:r>
    </w:p>
    <w:p w14:paraId="32D2CA64" w14:textId="36F7B59A" w:rsidR="000F5705" w:rsidRPr="00150187" w:rsidRDefault="000F5705" w:rsidP="0037368C">
      <w:pPr>
        <w:spacing w:after="0" w:line="360" w:lineRule="auto"/>
        <w:rPr>
          <w:rFonts w:eastAsia="Calibri" w:cs="Tahoma"/>
          <w:color w:val="FF0000"/>
        </w:rPr>
      </w:pPr>
    </w:p>
    <w:p w14:paraId="03D8A6AE" w14:textId="5F84F94D" w:rsidR="00FA7798" w:rsidRPr="00150187" w:rsidRDefault="000F5705" w:rsidP="0037368C">
      <w:pPr>
        <w:spacing w:after="0" w:line="360" w:lineRule="auto"/>
        <w:rPr>
          <w:rFonts w:eastAsia="Calibri" w:cs="Tahoma"/>
          <w:color w:val="auto"/>
          <w:lang w:val="es-ES"/>
        </w:rPr>
      </w:pPr>
      <w:r w:rsidRPr="00150187">
        <w:rPr>
          <w:rFonts w:eastAsia="Calibri" w:cs="Tahoma"/>
          <w:color w:val="auto"/>
        </w:rPr>
        <w:t>Conforme a lo anterior, este Instituto verificó que, en efecto, no se registró una respuesta a la solicitud de</w:t>
      </w:r>
      <w:r w:rsidR="005A60F9" w:rsidRPr="00150187">
        <w:rPr>
          <w:rFonts w:eastAsia="Calibri" w:cs="Tahoma"/>
          <w:color w:val="auto"/>
        </w:rPr>
        <w:t xml:space="preserve"> la persona</w:t>
      </w:r>
      <w:r w:rsidRPr="00150187">
        <w:rPr>
          <w:rFonts w:eastAsia="Calibri" w:cs="Tahoma"/>
          <w:color w:val="auto"/>
        </w:rPr>
        <w:t xml:space="preserve"> Recurrente, en el </w:t>
      </w:r>
      <w:r w:rsidRPr="00150187">
        <w:rPr>
          <w:rFonts w:eastAsia="Calibri" w:cs="Tahoma"/>
          <w:color w:val="auto"/>
          <w:lang w:val="es-ES"/>
        </w:rPr>
        <w:t>Sistema de Acceso a la Información Mexiquense (SAIMEX), tal como se observa a continuación:</w:t>
      </w:r>
    </w:p>
    <w:p w14:paraId="43240F26" w14:textId="6049D3E5" w:rsidR="00F15472" w:rsidRPr="00150187" w:rsidRDefault="00F15472" w:rsidP="0037368C">
      <w:pPr>
        <w:spacing w:after="0" w:line="360" w:lineRule="auto"/>
        <w:rPr>
          <w:rFonts w:eastAsia="Calibri" w:cs="Tahoma"/>
          <w:bCs/>
          <w:color w:val="auto"/>
        </w:rPr>
      </w:pPr>
    </w:p>
    <w:p w14:paraId="022E1CB8" w14:textId="679715B6" w:rsidR="001170D2" w:rsidRPr="00150187" w:rsidRDefault="00767F53" w:rsidP="0037368C">
      <w:pPr>
        <w:spacing w:after="0" w:line="360" w:lineRule="auto"/>
        <w:jc w:val="center"/>
        <w:rPr>
          <w:rFonts w:eastAsia="Calibri" w:cs="Tahoma"/>
          <w:bCs/>
          <w:color w:val="FF0000"/>
        </w:rPr>
      </w:pPr>
      <w:r w:rsidRPr="00150187">
        <w:rPr>
          <w:rFonts w:eastAsia="Calibri" w:cs="Tahoma"/>
          <w:bCs/>
          <w:noProof/>
          <w:color w:val="FF0000"/>
          <w:lang w:eastAsia="es-MX"/>
        </w:rPr>
        <w:drawing>
          <wp:inline distT="0" distB="0" distL="0" distR="0" wp14:anchorId="2A28E7EC" wp14:editId="043B4E5A">
            <wp:extent cx="2771775" cy="2431840"/>
            <wp:effectExtent l="0" t="0" r="0" b="6985"/>
            <wp:docPr id="9928796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9658" name=""/>
                    <pic:cNvPicPr/>
                  </pic:nvPicPr>
                  <pic:blipFill>
                    <a:blip r:embed="rId8"/>
                    <a:stretch>
                      <a:fillRect/>
                    </a:stretch>
                  </pic:blipFill>
                  <pic:spPr>
                    <a:xfrm>
                      <a:off x="0" y="0"/>
                      <a:ext cx="2775716" cy="2435298"/>
                    </a:xfrm>
                    <a:prstGeom prst="rect">
                      <a:avLst/>
                    </a:prstGeom>
                  </pic:spPr>
                </pic:pic>
              </a:graphicData>
            </a:graphic>
          </wp:inline>
        </w:drawing>
      </w:r>
    </w:p>
    <w:p w14:paraId="1483FBAF" w14:textId="77777777" w:rsidR="001E6DE4" w:rsidRPr="00150187" w:rsidRDefault="001E6DE4" w:rsidP="0037368C">
      <w:pPr>
        <w:spacing w:after="0" w:line="360" w:lineRule="auto"/>
        <w:jc w:val="center"/>
        <w:rPr>
          <w:rFonts w:eastAsia="Calibri" w:cs="Tahoma"/>
          <w:bCs/>
          <w:color w:val="FF0000"/>
        </w:rPr>
      </w:pPr>
    </w:p>
    <w:p w14:paraId="2E0C5E60" w14:textId="30084DF0" w:rsidR="000F5705" w:rsidRPr="00150187" w:rsidRDefault="000F5705" w:rsidP="0037368C">
      <w:pPr>
        <w:spacing w:after="0" w:line="360" w:lineRule="auto"/>
        <w:rPr>
          <w:rFonts w:eastAsia="Calibri" w:cs="Tahoma"/>
          <w:color w:val="auto"/>
        </w:rPr>
      </w:pPr>
      <w:r w:rsidRPr="00150187">
        <w:rPr>
          <w:rFonts w:eastAsia="Calibri" w:cs="Tahoma"/>
          <w:bCs/>
          <w:color w:val="auto"/>
        </w:rPr>
        <w:t xml:space="preserve">Así, se colige que, tal como lo precisó el Particular, </w:t>
      </w:r>
      <w:r w:rsidRPr="00150187">
        <w:rPr>
          <w:rFonts w:eastAsia="Calibri" w:cs="Tahoma"/>
          <w:color w:val="auto"/>
        </w:rPr>
        <w:t xml:space="preserve">el </w:t>
      </w:r>
      <w:r w:rsidR="00085C38" w:rsidRPr="00150187">
        <w:rPr>
          <w:b/>
          <w:bCs/>
          <w:color w:val="auto"/>
        </w:rPr>
        <w:t>Ayuntamiento de Amecameca</w:t>
      </w:r>
      <w:r w:rsidRPr="00150187">
        <w:rPr>
          <w:rFonts w:eastAsia="Calibri" w:cs="Tahoma"/>
          <w:color w:val="auto"/>
        </w:rPr>
        <w:t>, no emitió respuesta para dar contestación a la solicitud de información, dentro de los plazos establecidos en el artículo 163, de la Ley de la materia, pues tenía hasta el</w:t>
      </w:r>
      <w:r w:rsidR="00703000" w:rsidRPr="00150187">
        <w:rPr>
          <w:rFonts w:eastAsia="Calibri" w:cs="Tahoma"/>
          <w:color w:val="auto"/>
        </w:rPr>
        <w:t xml:space="preserve"> </w:t>
      </w:r>
      <w:r w:rsidR="001F0FC2" w:rsidRPr="00150187">
        <w:rPr>
          <w:rFonts w:eastAsia="Calibri" w:cs="Tahoma"/>
          <w:color w:val="auto"/>
        </w:rPr>
        <w:t>veintitrés de septiembre</w:t>
      </w:r>
      <w:r w:rsidR="006F2B81" w:rsidRPr="00150187">
        <w:rPr>
          <w:rFonts w:eastAsia="Calibri" w:cs="Tahoma"/>
          <w:color w:val="auto"/>
        </w:rPr>
        <w:t xml:space="preserve"> </w:t>
      </w:r>
      <w:r w:rsidRPr="00150187">
        <w:rPr>
          <w:rFonts w:eastAsia="Calibri" w:cs="Tahoma"/>
          <w:color w:val="auto"/>
        </w:rPr>
        <w:t>de dos mil veinti</w:t>
      </w:r>
      <w:r w:rsidR="00AC5EA8" w:rsidRPr="00150187">
        <w:rPr>
          <w:rFonts w:eastAsia="Calibri" w:cs="Tahoma"/>
          <w:color w:val="auto"/>
        </w:rPr>
        <w:t>cuatro</w:t>
      </w:r>
      <w:r w:rsidRPr="00150187">
        <w:rPr>
          <w:rFonts w:eastAsia="Calibri" w:cs="Tahoma"/>
          <w:color w:val="auto"/>
        </w:rPr>
        <w:t xml:space="preserve">, para realizar dicha situación, inclusive a la presente fecha, dicho ente no ha emitido contestación alguna; por lo que, resulta evidente que el agravio hecho valer por </w:t>
      </w:r>
      <w:r w:rsidR="005A60F9" w:rsidRPr="00150187">
        <w:rPr>
          <w:rFonts w:eastAsia="Calibri" w:cs="Tahoma"/>
          <w:color w:val="auto"/>
        </w:rPr>
        <w:t xml:space="preserve">la persona </w:t>
      </w:r>
      <w:r w:rsidRPr="00150187">
        <w:rPr>
          <w:rFonts w:eastAsia="Calibri" w:cs="Tahoma"/>
          <w:color w:val="auto"/>
        </w:rPr>
        <w:t xml:space="preserve">Recurrente resulta </w:t>
      </w:r>
      <w:r w:rsidRPr="00150187">
        <w:rPr>
          <w:rFonts w:eastAsia="Calibri" w:cs="Tahoma"/>
          <w:b/>
          <w:bCs/>
          <w:color w:val="auto"/>
        </w:rPr>
        <w:t>FUNDADO.</w:t>
      </w:r>
    </w:p>
    <w:p w14:paraId="70719AD4" w14:textId="77777777" w:rsidR="00AB477B" w:rsidRPr="00150187" w:rsidRDefault="00AB477B" w:rsidP="0037368C">
      <w:pPr>
        <w:spacing w:after="0" w:line="360" w:lineRule="auto"/>
        <w:rPr>
          <w:rFonts w:eastAsia="Calibri" w:cs="Tahoma"/>
          <w:b/>
          <w:bCs/>
          <w:color w:val="auto"/>
        </w:rPr>
      </w:pPr>
    </w:p>
    <w:p w14:paraId="0A06C917" w14:textId="1691E1B9" w:rsidR="00AB7D62" w:rsidRPr="00150187" w:rsidRDefault="000F5705" w:rsidP="0037368C">
      <w:pPr>
        <w:spacing w:after="0" w:line="360" w:lineRule="auto"/>
        <w:rPr>
          <w:rFonts w:eastAsia="Calibri" w:cs="Tahoma"/>
          <w:bCs/>
          <w:color w:val="auto"/>
        </w:rPr>
      </w:pPr>
      <w:r w:rsidRPr="00150187">
        <w:rPr>
          <w:rFonts w:eastAsia="Calibri" w:cs="Tahoma"/>
          <w:bCs/>
          <w:color w:val="auto"/>
        </w:rPr>
        <w:t xml:space="preserve">Con base en lo expuesto, es procedente </w:t>
      </w:r>
      <w:r w:rsidRPr="00150187">
        <w:rPr>
          <w:rFonts w:eastAsia="Calibri" w:cs="Tahoma"/>
          <w:b/>
          <w:bCs/>
          <w:color w:val="auto"/>
        </w:rPr>
        <w:t>ORDENAR</w:t>
      </w:r>
      <w:r w:rsidRPr="00150187">
        <w:rPr>
          <w:rFonts w:eastAsia="Calibri" w:cs="Tahoma"/>
          <w:bCs/>
          <w:color w:val="auto"/>
        </w:rPr>
        <w:t xml:space="preserve"> al Sujeto Obligado, que emita respuesta que a derecho corresponda, al requerimiento de información; no obstante, para tal circunstancia es necesario analizar si cuenta con competencia para conocer de lo peti</w:t>
      </w:r>
      <w:r w:rsidR="0013258E" w:rsidRPr="00150187">
        <w:rPr>
          <w:rFonts w:eastAsia="Calibri" w:cs="Tahoma"/>
          <w:bCs/>
          <w:color w:val="auto"/>
        </w:rPr>
        <w:t>cionado</w:t>
      </w:r>
      <w:r w:rsidR="00AC5EA8" w:rsidRPr="00150187">
        <w:rPr>
          <w:rFonts w:eastAsia="Calibri" w:cs="Tahoma"/>
          <w:bCs/>
          <w:color w:val="auto"/>
        </w:rPr>
        <w:t>.</w:t>
      </w:r>
    </w:p>
    <w:p w14:paraId="7E065BDF" w14:textId="77777777" w:rsidR="003A74A8" w:rsidRPr="00150187" w:rsidRDefault="003A74A8" w:rsidP="0037368C">
      <w:pPr>
        <w:spacing w:after="0" w:line="360" w:lineRule="auto"/>
        <w:rPr>
          <w:rFonts w:eastAsia="Calibri" w:cs="Tahoma"/>
          <w:bCs/>
          <w:color w:val="auto"/>
        </w:rPr>
      </w:pPr>
    </w:p>
    <w:p w14:paraId="092916CA" w14:textId="7F380E85" w:rsidR="003A74A8" w:rsidRPr="00150187" w:rsidRDefault="001914EC" w:rsidP="001914EC">
      <w:pPr>
        <w:widowControl w:val="0"/>
        <w:autoSpaceDE w:val="0"/>
        <w:autoSpaceDN w:val="0"/>
        <w:adjustRightInd w:val="0"/>
        <w:spacing w:after="0" w:line="360" w:lineRule="auto"/>
        <w:contextualSpacing/>
      </w:pPr>
      <w:r w:rsidRPr="00150187">
        <w:t>Sobre el tema, los artículos 93 y 95 de la Ley Orgánica Municipal del Estado de México, con relación, al 2º y 3º del Reglamento Interno de la Tesorería Municipal y el Manual de Organización de dicha área, se advierte que el Sujeto Obligado cuenta con una Tesorería Municipal, encargada de la recaudación de los ingresos municipales y responsable de realizar las erogaciones que haga el Municipio de Amecameca por conducto de las dependencias de la Administración Pública Municipal.</w:t>
      </w:r>
    </w:p>
    <w:p w14:paraId="11DDE764" w14:textId="77777777" w:rsidR="001914EC" w:rsidRPr="00150187" w:rsidRDefault="001914EC" w:rsidP="001914EC">
      <w:pPr>
        <w:widowControl w:val="0"/>
        <w:autoSpaceDE w:val="0"/>
        <w:autoSpaceDN w:val="0"/>
        <w:adjustRightInd w:val="0"/>
        <w:spacing w:after="0" w:line="360" w:lineRule="auto"/>
        <w:contextualSpacing/>
      </w:pPr>
    </w:p>
    <w:p w14:paraId="47AB57F6" w14:textId="1F8BEA03" w:rsidR="001914EC" w:rsidRPr="00150187" w:rsidRDefault="001914EC" w:rsidP="001914EC">
      <w:pPr>
        <w:widowControl w:val="0"/>
        <w:autoSpaceDE w:val="0"/>
        <w:autoSpaceDN w:val="0"/>
        <w:adjustRightInd w:val="0"/>
        <w:spacing w:after="0" w:line="360" w:lineRule="auto"/>
        <w:contextualSpacing/>
      </w:pPr>
      <w:r w:rsidRPr="00150187">
        <w:t>Además, dicho órgano contara con un Coordinador de Recursos Humanos, encargado de supervisar la entrega oportuna del pago de ISR retenciones por salarios, ISR de asimilados a salarios e ISR por servicios profesionales, así como pago del impuesto sobre erogaciones por remuneraciones al trabajo personal; así como, de un Contador General encargado de presentar las declaraciones del Impuesto Sobre la Renta.</w:t>
      </w:r>
    </w:p>
    <w:p w14:paraId="4280EFF1" w14:textId="77777777" w:rsidR="001914EC" w:rsidRPr="00150187" w:rsidRDefault="001914EC" w:rsidP="00392F15">
      <w:pPr>
        <w:widowControl w:val="0"/>
        <w:autoSpaceDE w:val="0"/>
        <w:autoSpaceDN w:val="0"/>
        <w:adjustRightInd w:val="0"/>
        <w:spacing w:after="0" w:line="360" w:lineRule="auto"/>
        <w:contextualSpacing/>
      </w:pPr>
    </w:p>
    <w:p w14:paraId="5BD28615" w14:textId="7FB6D258" w:rsidR="00E25189" w:rsidRPr="00150187" w:rsidRDefault="001E54E9" w:rsidP="0037368C">
      <w:pPr>
        <w:spacing w:after="0" w:line="360" w:lineRule="auto"/>
        <w:rPr>
          <w:rFonts w:eastAsia="Calibri" w:cs="Tahoma"/>
          <w:bCs/>
          <w:color w:val="auto"/>
        </w:rPr>
      </w:pPr>
      <w:r w:rsidRPr="00150187">
        <w:rPr>
          <w:rFonts w:eastAsia="Calibri" w:cs="Tahoma"/>
          <w:bCs/>
          <w:color w:val="auto"/>
        </w:rPr>
        <w:t xml:space="preserve">Conforme a lo anterior, es claro que el Sujeto Obligado, tiene competencia para conocer </w:t>
      </w:r>
      <w:r w:rsidR="008C485C" w:rsidRPr="00150187">
        <w:rPr>
          <w:rFonts w:eastAsia="Calibri" w:cs="Tahoma"/>
          <w:bCs/>
          <w:color w:val="auto"/>
        </w:rPr>
        <w:t>de</w:t>
      </w:r>
      <w:r w:rsidR="00EA421F" w:rsidRPr="00150187">
        <w:rPr>
          <w:rFonts w:eastAsia="Calibri" w:cs="Tahoma"/>
          <w:bCs/>
          <w:color w:val="auto"/>
        </w:rPr>
        <w:t xml:space="preserve"> </w:t>
      </w:r>
      <w:r w:rsidR="008C485C" w:rsidRPr="00150187">
        <w:rPr>
          <w:rFonts w:eastAsia="Calibri" w:cs="Tahoma"/>
          <w:bCs/>
          <w:color w:val="auto"/>
        </w:rPr>
        <w:t>l</w:t>
      </w:r>
      <w:r w:rsidR="00EA421F" w:rsidRPr="00150187">
        <w:rPr>
          <w:rFonts w:eastAsia="Calibri" w:cs="Tahoma"/>
          <w:bCs/>
          <w:color w:val="auto"/>
        </w:rPr>
        <w:t>a</w:t>
      </w:r>
      <w:r w:rsidR="008C485C" w:rsidRPr="00150187">
        <w:rPr>
          <w:rFonts w:eastAsia="Calibri" w:cs="Tahoma"/>
          <w:bCs/>
          <w:color w:val="auto"/>
        </w:rPr>
        <w:t xml:space="preserve"> </w:t>
      </w:r>
      <w:r w:rsidR="00793CE5" w:rsidRPr="00150187">
        <w:rPr>
          <w:rFonts w:eastAsia="Calibri" w:cs="Tahoma"/>
          <w:bCs/>
          <w:color w:val="auto"/>
        </w:rPr>
        <w:t>información solicitada</w:t>
      </w:r>
      <w:r w:rsidRPr="00150187">
        <w:rPr>
          <w:rFonts w:eastAsia="Calibri" w:cs="Tahoma"/>
          <w:bCs/>
          <w:color w:val="auto"/>
        </w:rPr>
        <w:t>,</w:t>
      </w:r>
      <w:r w:rsidR="00E25189" w:rsidRPr="00150187">
        <w:rPr>
          <w:rFonts w:eastAsia="Calibri" w:cs="Tahoma"/>
          <w:bCs/>
          <w:color w:val="auto"/>
        </w:rPr>
        <w:t xml:space="preserve"> por lo que, </w:t>
      </w:r>
      <w:r w:rsidR="00E25189" w:rsidRPr="00150187">
        <w:rPr>
          <w:rFonts w:eastAsia="Times New Roman" w:cs="Tahoma"/>
          <w:bCs/>
          <w:iCs/>
          <w:color w:val="auto"/>
          <w:lang w:eastAsia="es-ES"/>
        </w:rPr>
        <w:t xml:space="preserve">para atender el requerimiento en análisis, deberá realizar </w:t>
      </w:r>
      <w:r w:rsidR="00E25189" w:rsidRPr="00150187">
        <w:rPr>
          <w:rFonts w:eastAsia="Times New Roman" w:cs="Tahoma"/>
          <w:bCs/>
          <w:iCs/>
          <w:color w:val="auto"/>
          <w:lang w:eastAsia="es-ES"/>
        </w:rPr>
        <w:lastRenderedPageBreak/>
        <w:t>una búsqueda exhaustiva y razonable en todas sus áreas competentes, en términos del artículo 162 de la Ley de Transparencia y Acceso a la Información Pública del Estado de México y Municipios,</w:t>
      </w:r>
      <w:r w:rsidR="00E25189" w:rsidRPr="00150187">
        <w:rPr>
          <w:rFonts w:eastAsia="Calibri" w:cs="Tahoma"/>
          <w:bCs/>
          <w:color w:val="auto"/>
        </w:rPr>
        <w:t xml:space="preserve"> a efecto de que dé la respuesta que a derecho corresponda y, en su caso, proporcione los documentos que den cuenta de la información solicitada.</w:t>
      </w:r>
    </w:p>
    <w:p w14:paraId="257B0509" w14:textId="77777777" w:rsidR="00773690" w:rsidRPr="00150187" w:rsidRDefault="00773690" w:rsidP="0037368C">
      <w:pPr>
        <w:spacing w:after="0" w:line="360" w:lineRule="auto"/>
        <w:rPr>
          <w:rFonts w:eastAsia="Calibri" w:cs="Tahoma"/>
          <w:bCs/>
          <w:color w:val="auto"/>
        </w:rPr>
      </w:pPr>
    </w:p>
    <w:p w14:paraId="0E6E53A3" w14:textId="77777777" w:rsidR="008C16B5" w:rsidRPr="00150187" w:rsidRDefault="00E25189" w:rsidP="0037368C">
      <w:pPr>
        <w:spacing w:after="0" w:line="360" w:lineRule="auto"/>
        <w:rPr>
          <w:rFonts w:eastAsia="Times New Roman" w:cs="Tahoma"/>
          <w:bCs/>
          <w:iCs/>
          <w:color w:val="auto"/>
          <w:lang w:val="es-ES" w:eastAsia="es-ES"/>
        </w:rPr>
      </w:pPr>
      <w:r w:rsidRPr="00150187">
        <w:rPr>
          <w:rFonts w:eastAsia="Times New Roman" w:cs="Tahoma"/>
          <w:bCs/>
          <w:iCs/>
          <w:color w:val="auto"/>
          <w:lang w:val="es-ES_tradnl" w:eastAsia="es-ES"/>
        </w:rPr>
        <w:t>No pasa desapercibido para este Instituto que los documentos que den cuenta de lo solicitado, pudieran contener datos o información clasificada; a</w:t>
      </w:r>
      <w:r w:rsidRPr="00150187">
        <w:rPr>
          <w:rFonts w:eastAsia="Times New Roman" w:cs="Tahoma"/>
          <w:bCs/>
          <w:iCs/>
          <w:color w:val="auto"/>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30ABB311" w14:textId="77777777" w:rsidR="008C16B5" w:rsidRPr="00150187" w:rsidRDefault="008C16B5" w:rsidP="0037368C">
      <w:pPr>
        <w:spacing w:after="0" w:line="360" w:lineRule="auto"/>
        <w:rPr>
          <w:rFonts w:eastAsia="Times New Roman" w:cs="Tahoma"/>
          <w:bCs/>
          <w:iCs/>
          <w:color w:val="auto"/>
          <w:lang w:val="es-ES" w:eastAsia="es-ES"/>
        </w:rPr>
      </w:pPr>
    </w:p>
    <w:p w14:paraId="1DB48BF6" w14:textId="398B50E8" w:rsidR="00E25189" w:rsidRPr="00150187" w:rsidRDefault="00E25189" w:rsidP="0037368C">
      <w:pPr>
        <w:spacing w:after="0" w:line="360" w:lineRule="auto"/>
        <w:rPr>
          <w:rFonts w:eastAsia="Times New Roman" w:cs="Tahoma"/>
          <w:bCs/>
          <w:iCs/>
          <w:color w:val="auto"/>
          <w:lang w:val="es-ES" w:eastAsia="es-ES"/>
        </w:rPr>
      </w:pPr>
      <w:r w:rsidRPr="00150187">
        <w:rPr>
          <w:rFonts w:eastAsia="Times New Roman" w:cs="Tahoma"/>
          <w:bCs/>
          <w:i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A0785F6" w14:textId="77777777" w:rsidR="00A47197" w:rsidRPr="00150187" w:rsidRDefault="00A47197" w:rsidP="0037368C">
      <w:pPr>
        <w:spacing w:after="0" w:line="360" w:lineRule="auto"/>
        <w:rPr>
          <w:rFonts w:eastAsia="Times New Roman" w:cs="Tahoma"/>
          <w:bCs/>
          <w:iCs/>
          <w:color w:val="auto"/>
          <w:lang w:val="es-ES" w:eastAsia="es-ES"/>
        </w:rPr>
      </w:pPr>
    </w:p>
    <w:p w14:paraId="36C80B1A" w14:textId="58555382" w:rsidR="008E4F87" w:rsidRPr="00150187" w:rsidRDefault="00EC77D9" w:rsidP="0037368C">
      <w:pPr>
        <w:spacing w:after="0" w:line="360" w:lineRule="auto"/>
        <w:contextualSpacing/>
        <w:rPr>
          <w:rFonts w:eastAsia="Calibri" w:cs="Tahoma"/>
          <w:b/>
          <w:color w:val="auto"/>
        </w:rPr>
      </w:pPr>
      <w:r w:rsidRPr="00150187">
        <w:rPr>
          <w:rFonts w:eastAsia="Calibri" w:cs="Tahoma"/>
          <w:b/>
          <w:color w:val="auto"/>
        </w:rPr>
        <w:t>SEXTO. Decisión</w:t>
      </w:r>
    </w:p>
    <w:p w14:paraId="522765AD" w14:textId="77777777" w:rsidR="008E4F87" w:rsidRPr="00150187" w:rsidRDefault="008E4F87" w:rsidP="0037368C">
      <w:pPr>
        <w:spacing w:after="0" w:line="360" w:lineRule="auto"/>
        <w:rPr>
          <w:rFonts w:eastAsia="Times New Roman" w:cs="Tahoma"/>
          <w:color w:val="auto"/>
          <w:lang w:eastAsia="es-ES"/>
        </w:rPr>
      </w:pPr>
    </w:p>
    <w:p w14:paraId="6174FFA1" w14:textId="27ADAC63" w:rsidR="00EC77D9" w:rsidRPr="00150187" w:rsidRDefault="00EC77D9" w:rsidP="0037368C">
      <w:pPr>
        <w:spacing w:after="0" w:line="360" w:lineRule="auto"/>
        <w:rPr>
          <w:rFonts w:eastAsia="Times New Roman" w:cs="Tahoma"/>
          <w:color w:val="auto"/>
          <w:lang w:eastAsia="es-ES"/>
        </w:rPr>
      </w:pPr>
      <w:r w:rsidRPr="00150187">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150187">
        <w:rPr>
          <w:rFonts w:eastAsia="Times New Roman" w:cs="Tahoma"/>
          <w:b/>
          <w:bCs/>
          <w:color w:val="auto"/>
          <w:lang w:eastAsia="es-ES"/>
        </w:rPr>
        <w:t>ORDENAR</w:t>
      </w:r>
      <w:r w:rsidRPr="00150187">
        <w:rPr>
          <w:rFonts w:eastAsia="Times New Roman" w:cs="Tahoma"/>
          <w:color w:val="auto"/>
          <w:lang w:eastAsia="es-ES"/>
        </w:rPr>
        <w:t xml:space="preserve"> al Sujeto Obligado,</w:t>
      </w:r>
      <w:r w:rsidRPr="00150187">
        <w:rPr>
          <w:rFonts w:eastAsia="Calibri" w:cs="Tahoma"/>
          <w:color w:val="auto"/>
        </w:rPr>
        <w:t xml:space="preserve"> a que dé </w:t>
      </w:r>
      <w:r w:rsidR="001E6DE4" w:rsidRPr="00150187">
        <w:rPr>
          <w:rFonts w:eastAsia="Calibri" w:cs="Tahoma"/>
          <w:color w:val="auto"/>
        </w:rPr>
        <w:t>atención</w:t>
      </w:r>
      <w:r w:rsidRPr="00150187">
        <w:rPr>
          <w:rFonts w:eastAsia="Calibri" w:cs="Tahoma"/>
          <w:color w:val="auto"/>
        </w:rPr>
        <w:t xml:space="preserve"> y </w:t>
      </w:r>
      <w:r w:rsidRPr="00150187">
        <w:rPr>
          <w:rFonts w:eastAsia="Times New Roman" w:cs="Tahoma"/>
          <w:color w:val="auto"/>
          <w:lang w:eastAsia="es-ES"/>
        </w:rPr>
        <w:t>respuesta a la solicitud de información pública con número</w:t>
      </w:r>
      <w:r w:rsidR="00A22DBE" w:rsidRPr="00150187">
        <w:rPr>
          <w:color w:val="auto"/>
        </w:rPr>
        <w:t xml:space="preserve"> </w:t>
      </w:r>
      <w:r w:rsidR="00214C23" w:rsidRPr="00150187">
        <w:rPr>
          <w:color w:val="auto"/>
        </w:rPr>
        <w:t>00105/AMECAMEC/IP/2024.</w:t>
      </w:r>
    </w:p>
    <w:p w14:paraId="607FB65A" w14:textId="77777777" w:rsidR="00EC77D9" w:rsidRPr="00150187" w:rsidRDefault="00EC77D9" w:rsidP="0037368C">
      <w:pPr>
        <w:spacing w:after="0" w:line="360" w:lineRule="auto"/>
        <w:rPr>
          <w:rFonts w:eastAsia="Times New Roman" w:cs="Tahoma"/>
          <w:b/>
          <w:bCs/>
          <w:iCs/>
          <w:color w:val="FF0000"/>
          <w:lang w:eastAsia="es-ES"/>
        </w:rPr>
      </w:pPr>
    </w:p>
    <w:p w14:paraId="03561767" w14:textId="77777777" w:rsidR="00773690" w:rsidRPr="00150187" w:rsidRDefault="00773690" w:rsidP="0037368C">
      <w:pPr>
        <w:spacing w:after="0" w:line="360" w:lineRule="auto"/>
        <w:rPr>
          <w:rFonts w:eastAsia="Times New Roman" w:cs="Tahoma"/>
          <w:b/>
          <w:bCs/>
          <w:iCs/>
          <w:color w:val="FF0000"/>
          <w:lang w:eastAsia="es-ES"/>
        </w:rPr>
      </w:pPr>
    </w:p>
    <w:p w14:paraId="0D9B261E" w14:textId="77777777" w:rsidR="00773690" w:rsidRPr="00150187" w:rsidRDefault="00773690" w:rsidP="0037368C">
      <w:pPr>
        <w:spacing w:after="0" w:line="360" w:lineRule="auto"/>
        <w:rPr>
          <w:rFonts w:eastAsia="Times New Roman" w:cs="Tahoma"/>
          <w:b/>
          <w:bCs/>
          <w:iCs/>
          <w:color w:val="FF0000"/>
          <w:lang w:eastAsia="es-ES"/>
        </w:rPr>
      </w:pPr>
    </w:p>
    <w:p w14:paraId="24F3F1D8" w14:textId="2455EEBA" w:rsidR="00975E93" w:rsidRPr="00150187" w:rsidRDefault="001E6DE4" w:rsidP="0037368C">
      <w:pPr>
        <w:spacing w:after="0" w:line="360" w:lineRule="auto"/>
        <w:rPr>
          <w:rFonts w:eastAsia="Times New Roman" w:cs="Tahoma"/>
          <w:b/>
          <w:bCs/>
          <w:iCs/>
          <w:color w:val="auto"/>
          <w:lang w:eastAsia="es-ES"/>
        </w:rPr>
      </w:pPr>
      <w:r w:rsidRPr="00150187">
        <w:rPr>
          <w:rFonts w:eastAsia="Times New Roman" w:cs="Tahoma"/>
          <w:b/>
          <w:bCs/>
          <w:iCs/>
          <w:color w:val="auto"/>
          <w:lang w:eastAsia="es-ES"/>
        </w:rPr>
        <w:t>SÉPTIMO. Vista a la Secretaría</w:t>
      </w:r>
      <w:r w:rsidRPr="00150187">
        <w:rPr>
          <w:rFonts w:eastAsia="Times New Roman" w:cs="Tahoma"/>
          <w:b/>
          <w:bCs/>
          <w:iCs/>
          <w:color w:val="auto"/>
          <w:lang w:val="x-none" w:eastAsia="es-ES"/>
        </w:rPr>
        <w:t xml:space="preserve"> Técnica del </w:t>
      </w:r>
      <w:r w:rsidRPr="00150187">
        <w:rPr>
          <w:rFonts w:eastAsia="Times New Roman" w:cs="Tahoma"/>
          <w:b/>
          <w:bCs/>
          <w:iCs/>
          <w:color w:val="auto"/>
          <w:lang w:eastAsia="es-ES"/>
        </w:rPr>
        <w:t>Pleno</w:t>
      </w:r>
    </w:p>
    <w:p w14:paraId="44132D53" w14:textId="77777777" w:rsidR="00C14E02" w:rsidRPr="00150187" w:rsidRDefault="00C14E02" w:rsidP="0037368C">
      <w:pPr>
        <w:spacing w:after="0" w:line="360" w:lineRule="auto"/>
        <w:rPr>
          <w:rFonts w:eastAsia="Times New Roman" w:cs="Tahoma"/>
          <w:bCs/>
          <w:color w:val="auto"/>
          <w:lang w:eastAsia="es-ES"/>
        </w:rPr>
      </w:pPr>
    </w:p>
    <w:p w14:paraId="7242732E" w14:textId="04DDBD2F" w:rsidR="008C16B5" w:rsidRPr="00150187" w:rsidRDefault="00EC77D9" w:rsidP="0037368C">
      <w:pPr>
        <w:spacing w:after="0" w:line="360" w:lineRule="auto"/>
        <w:rPr>
          <w:b/>
          <w:color w:val="FF0000"/>
        </w:rPr>
      </w:pPr>
      <w:r w:rsidRPr="00150187">
        <w:rPr>
          <w:rFonts w:eastAsia="Times New Roman" w:cs="Tahoma"/>
          <w:bCs/>
          <w:color w:val="auto"/>
          <w:lang w:eastAsia="es-ES"/>
        </w:rPr>
        <w:t xml:space="preserve">En el caso en estudio, ha quedado acreditado que </w:t>
      </w:r>
      <w:r w:rsidRPr="00150187">
        <w:rPr>
          <w:rFonts w:eastAsia="Times New Roman" w:cs="Tahoma"/>
          <w:b/>
          <w:color w:val="auto"/>
          <w:lang w:eastAsia="es-ES"/>
        </w:rPr>
        <w:t xml:space="preserve">el </w:t>
      </w:r>
      <w:r w:rsidR="00085C38" w:rsidRPr="00150187">
        <w:rPr>
          <w:b/>
          <w:color w:val="auto"/>
        </w:rPr>
        <w:t>Ayuntamiento de Amecameca</w:t>
      </w:r>
      <w:r w:rsidR="00A74D3A" w:rsidRPr="00150187">
        <w:rPr>
          <w:b/>
          <w:color w:val="auto"/>
        </w:rPr>
        <w:t xml:space="preserve"> </w:t>
      </w:r>
      <w:r w:rsidRPr="00150187">
        <w:rPr>
          <w:rFonts w:eastAsia="Times New Roman" w:cs="Tahoma"/>
          <w:bCs/>
          <w:color w:val="auto"/>
          <w:lang w:eastAsia="es-ES"/>
        </w:rPr>
        <w:t>omitió dar respuesta en el plazo señalado en el artículo 163 de la Ley de Transparencia y Acceso a la Información Pública del Estado de México y Municipios.</w:t>
      </w:r>
      <w:r w:rsidR="00AA0825" w:rsidRPr="00150187">
        <w:rPr>
          <w:rFonts w:eastAsia="Times New Roman" w:cs="Tahoma"/>
          <w:bCs/>
          <w:color w:val="auto"/>
          <w:lang w:eastAsia="es-ES"/>
        </w:rPr>
        <w:t xml:space="preserve"> </w:t>
      </w:r>
    </w:p>
    <w:p w14:paraId="72F1143E" w14:textId="77777777" w:rsidR="008C16B5" w:rsidRPr="00150187" w:rsidRDefault="008C16B5" w:rsidP="0037368C">
      <w:pPr>
        <w:spacing w:after="0" w:line="360" w:lineRule="auto"/>
        <w:rPr>
          <w:rFonts w:eastAsia="Times New Roman" w:cs="Tahoma"/>
          <w:bCs/>
          <w:color w:val="FF0000"/>
          <w:lang w:eastAsia="es-ES"/>
        </w:rPr>
      </w:pPr>
    </w:p>
    <w:p w14:paraId="204DE9A1" w14:textId="7A498E9D" w:rsidR="001E6DE4" w:rsidRPr="00150187" w:rsidRDefault="001E6DE4" w:rsidP="0037368C">
      <w:pPr>
        <w:spacing w:after="0" w:line="360" w:lineRule="auto"/>
        <w:rPr>
          <w:rFonts w:eastAsia="Calibri" w:cs="Tahoma"/>
          <w:bCs/>
          <w:color w:val="auto"/>
        </w:rPr>
      </w:pPr>
      <w:r w:rsidRPr="00150187">
        <w:rPr>
          <w:rFonts w:eastAsia="Times New Roman" w:cs="Tahoma"/>
          <w:color w:val="auto"/>
          <w:lang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150187">
        <w:rPr>
          <w:rFonts w:eastAsia="Calibri" w:cs="Tahoma"/>
          <w:bCs/>
          <w:color w:val="auto"/>
        </w:rPr>
        <w:t xml:space="preserve"> </w:t>
      </w:r>
    </w:p>
    <w:p w14:paraId="68088733" w14:textId="77777777" w:rsidR="001E6DE4" w:rsidRPr="00150187" w:rsidRDefault="001E6DE4" w:rsidP="0037368C">
      <w:pPr>
        <w:spacing w:after="0" w:line="360" w:lineRule="auto"/>
        <w:ind w:right="-93"/>
        <w:rPr>
          <w:rFonts w:eastAsia="Calibri" w:cs="Tahoma"/>
          <w:bCs/>
          <w:color w:val="auto"/>
        </w:rPr>
      </w:pPr>
    </w:p>
    <w:p w14:paraId="3E7572FF" w14:textId="77777777" w:rsidR="008C16B5" w:rsidRPr="00150187" w:rsidRDefault="001E6DE4" w:rsidP="0037368C">
      <w:pPr>
        <w:spacing w:after="0" w:line="360" w:lineRule="auto"/>
        <w:ind w:right="-93"/>
        <w:rPr>
          <w:rFonts w:eastAsia="Calibri" w:cs="Tahoma"/>
          <w:bCs/>
          <w:color w:val="auto"/>
        </w:rPr>
      </w:pPr>
      <w:r w:rsidRPr="00150187">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1DBEA3A4" w14:textId="77777777" w:rsidR="00AB477B" w:rsidRPr="00150187" w:rsidRDefault="00AB477B" w:rsidP="0037368C">
      <w:pPr>
        <w:spacing w:after="0" w:line="360" w:lineRule="auto"/>
        <w:ind w:right="-93"/>
        <w:rPr>
          <w:rFonts w:eastAsia="Calibri" w:cs="Tahoma"/>
          <w:bCs/>
          <w:color w:val="auto"/>
        </w:rPr>
      </w:pPr>
    </w:p>
    <w:p w14:paraId="371116F3" w14:textId="3AC98797" w:rsidR="001E6DE4" w:rsidRPr="00150187" w:rsidRDefault="001E6DE4" w:rsidP="0037368C">
      <w:pPr>
        <w:spacing w:after="0" w:line="360" w:lineRule="auto"/>
        <w:ind w:right="-93"/>
        <w:rPr>
          <w:rFonts w:eastAsia="Calibri" w:cs="Tahoma"/>
          <w:bCs/>
          <w:color w:val="auto"/>
        </w:rPr>
      </w:pPr>
      <w:r w:rsidRPr="00150187">
        <w:rPr>
          <w:rFonts w:eastAsia="Calibri" w:cs="Tahoma"/>
          <w:bCs/>
          <w:color w:val="auto"/>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5AA4976" w14:textId="77777777" w:rsidR="001E6DE4" w:rsidRPr="00150187" w:rsidRDefault="001E6DE4" w:rsidP="0037368C">
      <w:pPr>
        <w:spacing w:after="0" w:line="360" w:lineRule="auto"/>
        <w:ind w:right="-93"/>
        <w:rPr>
          <w:rFonts w:eastAsia="Calibri" w:cs="Tahoma"/>
          <w:bCs/>
          <w:color w:val="auto"/>
        </w:rPr>
      </w:pPr>
    </w:p>
    <w:p w14:paraId="4F84C377" w14:textId="77777777" w:rsidR="008C16B5" w:rsidRPr="00150187" w:rsidRDefault="001E6DE4" w:rsidP="0037368C">
      <w:pPr>
        <w:spacing w:after="0" w:line="360" w:lineRule="auto"/>
        <w:ind w:right="-93"/>
        <w:rPr>
          <w:rFonts w:eastAsia="Calibri" w:cs="Tahoma"/>
          <w:bCs/>
          <w:color w:val="auto"/>
        </w:rPr>
      </w:pPr>
      <w:r w:rsidRPr="00150187">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6B462E3C" w14:textId="77777777" w:rsidR="00773690" w:rsidRPr="00150187" w:rsidRDefault="00773690" w:rsidP="0037368C">
      <w:pPr>
        <w:spacing w:after="0" w:line="360" w:lineRule="auto"/>
        <w:ind w:right="-93"/>
        <w:rPr>
          <w:rFonts w:eastAsia="Calibri" w:cs="Tahoma"/>
          <w:bCs/>
          <w:color w:val="auto"/>
        </w:rPr>
      </w:pPr>
    </w:p>
    <w:p w14:paraId="4018AA0F" w14:textId="334B9BE0" w:rsidR="001E6DE4" w:rsidRPr="00150187" w:rsidRDefault="001E6DE4" w:rsidP="0037368C">
      <w:pPr>
        <w:spacing w:after="0" w:line="360" w:lineRule="auto"/>
        <w:ind w:right="-93"/>
        <w:rPr>
          <w:rFonts w:eastAsia="Calibri" w:cs="Tahoma"/>
          <w:bCs/>
          <w:color w:val="auto"/>
        </w:rPr>
      </w:pPr>
      <w:r w:rsidRPr="00150187">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150187">
        <w:rPr>
          <w:rFonts w:eastAsia="Calibri" w:cs="Tahoma"/>
          <w:bCs/>
          <w:color w:val="auto"/>
          <w:lang w:val="es-ES_tradnl"/>
        </w:rPr>
        <w:t>a la Secretaría Técnica de este Instituto</w:t>
      </w:r>
      <w:r w:rsidRPr="00150187">
        <w:rPr>
          <w:rFonts w:eastAsia="Calibri" w:cs="Tahoma"/>
          <w:bCs/>
          <w:color w:val="auto"/>
        </w:rPr>
        <w:t>, para que realice lo conducente.</w:t>
      </w:r>
    </w:p>
    <w:p w14:paraId="123368DA" w14:textId="77777777" w:rsidR="008C16B5" w:rsidRPr="00150187" w:rsidRDefault="008C16B5" w:rsidP="0037368C">
      <w:pPr>
        <w:spacing w:after="0" w:line="360" w:lineRule="auto"/>
        <w:ind w:right="-93"/>
        <w:rPr>
          <w:rFonts w:eastAsia="Calibri" w:cs="Tahoma"/>
          <w:bCs/>
          <w:color w:val="auto"/>
        </w:rPr>
      </w:pPr>
    </w:p>
    <w:p w14:paraId="09BD30BB" w14:textId="5C719132" w:rsidR="001E6DE4" w:rsidRPr="00150187" w:rsidRDefault="001E6DE4" w:rsidP="0037368C">
      <w:pPr>
        <w:autoSpaceDE w:val="0"/>
        <w:autoSpaceDN w:val="0"/>
        <w:adjustRightInd w:val="0"/>
        <w:spacing w:after="0" w:line="360" w:lineRule="auto"/>
        <w:rPr>
          <w:rFonts w:eastAsia="Calibri" w:cs="Tahoma"/>
          <w:b/>
          <w:bCs/>
          <w:iCs/>
          <w:color w:val="auto"/>
          <w:lang w:val="es-ES"/>
        </w:rPr>
      </w:pPr>
      <w:r w:rsidRPr="00150187">
        <w:rPr>
          <w:rFonts w:eastAsia="Calibri" w:cs="Tahoma"/>
          <w:b/>
          <w:bCs/>
          <w:iCs/>
          <w:color w:val="auto"/>
          <w:lang w:val="es-ES"/>
        </w:rPr>
        <w:t>Términos de la Resolución para conocimiento del Particular</w:t>
      </w:r>
    </w:p>
    <w:p w14:paraId="3A033686" w14:textId="77777777" w:rsidR="001E6DE4" w:rsidRPr="00150187" w:rsidRDefault="001E6DE4" w:rsidP="0037368C">
      <w:pPr>
        <w:autoSpaceDE w:val="0"/>
        <w:autoSpaceDN w:val="0"/>
        <w:adjustRightInd w:val="0"/>
        <w:spacing w:after="0" w:line="360" w:lineRule="auto"/>
        <w:rPr>
          <w:rFonts w:eastAsia="Calibri" w:cs="Tahoma"/>
          <w:b/>
          <w:bCs/>
          <w:iCs/>
          <w:color w:val="FF0000"/>
          <w:lang w:val="es-ES"/>
        </w:rPr>
      </w:pPr>
    </w:p>
    <w:p w14:paraId="6FFA14F4" w14:textId="684427FB" w:rsidR="008C16B5" w:rsidRPr="00150187" w:rsidRDefault="001E6DE4" w:rsidP="0037368C">
      <w:pPr>
        <w:widowControl w:val="0"/>
        <w:autoSpaceDE w:val="0"/>
        <w:autoSpaceDN w:val="0"/>
        <w:adjustRightInd w:val="0"/>
        <w:spacing w:after="0" w:line="360" w:lineRule="auto"/>
        <w:rPr>
          <w:bCs/>
          <w:color w:val="auto"/>
        </w:rPr>
      </w:pPr>
      <w:r w:rsidRPr="00150187">
        <w:rPr>
          <w:rFonts w:eastAsia="Calibri" w:cs="Tahoma"/>
          <w:bCs/>
          <w:iCs/>
          <w:color w:val="auto"/>
          <w:lang w:val="es-ES"/>
        </w:rPr>
        <w:t xml:space="preserve">Se le hace del conocimiento al Particular, que, en el presente caso, se le da la razón, pues el </w:t>
      </w:r>
      <w:r w:rsidR="00085C38" w:rsidRPr="00150187">
        <w:rPr>
          <w:bCs/>
          <w:color w:val="auto"/>
        </w:rPr>
        <w:t>Ayuntamiento de Amecameca</w:t>
      </w:r>
      <w:r w:rsidR="00A74D3A" w:rsidRPr="00150187">
        <w:rPr>
          <w:bCs/>
          <w:color w:val="auto"/>
        </w:rPr>
        <w:t xml:space="preserve"> </w:t>
      </w:r>
      <w:r w:rsidRPr="00150187">
        <w:rPr>
          <w:rFonts w:eastAsia="Calibri" w:cs="Tahoma"/>
          <w:bCs/>
          <w:iCs/>
          <w:color w:val="auto"/>
          <w:lang w:val="es-ES"/>
        </w:rPr>
        <w:t xml:space="preserve">no emitió contestación alguna, por lo que, deberá dar atención al requerimiento de información, realizar unas búsqueda </w:t>
      </w:r>
      <w:r w:rsidR="00596110" w:rsidRPr="00150187">
        <w:rPr>
          <w:rFonts w:eastAsia="Calibri" w:cs="Tahoma"/>
          <w:bCs/>
          <w:iCs/>
          <w:color w:val="auto"/>
          <w:lang w:val="es-ES"/>
        </w:rPr>
        <w:t>exhaustiva y razonable en sus archivos,</w:t>
      </w:r>
      <w:r w:rsidRPr="00150187">
        <w:rPr>
          <w:rFonts w:eastAsia="Calibri" w:cs="Tahoma"/>
          <w:bCs/>
          <w:iCs/>
          <w:color w:val="auto"/>
          <w:lang w:val="es-ES"/>
        </w:rPr>
        <w:t xml:space="preserve"> y en su caso, entregarle la documentación que corresponda.</w:t>
      </w:r>
      <w:r w:rsidR="0037368C" w:rsidRPr="00150187">
        <w:rPr>
          <w:rFonts w:eastAsia="Calibri" w:cs="Tahoma"/>
          <w:bCs/>
          <w:iCs/>
          <w:color w:val="auto"/>
          <w:lang w:val="es-ES"/>
        </w:rPr>
        <w:t xml:space="preserve"> </w:t>
      </w:r>
    </w:p>
    <w:p w14:paraId="4F365998" w14:textId="77777777" w:rsidR="008C16B5" w:rsidRPr="00150187" w:rsidRDefault="008C16B5" w:rsidP="0037368C">
      <w:pPr>
        <w:widowControl w:val="0"/>
        <w:autoSpaceDE w:val="0"/>
        <w:autoSpaceDN w:val="0"/>
        <w:adjustRightInd w:val="0"/>
        <w:spacing w:after="0" w:line="360" w:lineRule="auto"/>
        <w:rPr>
          <w:rFonts w:eastAsia="Calibri" w:cs="Tahoma"/>
          <w:bCs/>
          <w:iCs/>
          <w:color w:val="auto"/>
          <w:lang w:val="es-ES"/>
        </w:rPr>
      </w:pPr>
    </w:p>
    <w:p w14:paraId="77E01F49" w14:textId="77777777" w:rsidR="008C16B5" w:rsidRPr="00150187" w:rsidRDefault="001E6DE4" w:rsidP="0037368C">
      <w:pPr>
        <w:widowControl w:val="0"/>
        <w:autoSpaceDE w:val="0"/>
        <w:autoSpaceDN w:val="0"/>
        <w:adjustRightInd w:val="0"/>
        <w:spacing w:after="0" w:line="360" w:lineRule="auto"/>
        <w:rPr>
          <w:rFonts w:eastAsia="Calibri" w:cs="Tahoma"/>
          <w:bCs/>
          <w:iCs/>
          <w:color w:val="auto"/>
          <w:lang w:val="es-ES" w:eastAsia="es-ES_tradnl"/>
        </w:rPr>
      </w:pPr>
      <w:r w:rsidRPr="00150187">
        <w:rPr>
          <w:rFonts w:eastAsia="Calibri" w:cs="Tahoma"/>
          <w:bCs/>
          <w:iCs/>
          <w:color w:val="auto"/>
          <w:lang w:val="es-ES" w:eastAsia="es-ES_tradnl"/>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36C9A984" w14:textId="77777777" w:rsidR="00AB477B" w:rsidRPr="00150187" w:rsidRDefault="00AB477B" w:rsidP="0037368C">
      <w:pPr>
        <w:widowControl w:val="0"/>
        <w:autoSpaceDE w:val="0"/>
        <w:autoSpaceDN w:val="0"/>
        <w:adjustRightInd w:val="0"/>
        <w:spacing w:after="0" w:line="360" w:lineRule="auto"/>
        <w:rPr>
          <w:rFonts w:eastAsia="Calibri" w:cs="Tahoma"/>
          <w:bCs/>
          <w:iCs/>
          <w:color w:val="auto"/>
          <w:lang w:val="es-ES" w:eastAsia="es-ES_tradnl"/>
        </w:rPr>
      </w:pPr>
    </w:p>
    <w:p w14:paraId="30F823D7" w14:textId="11824658" w:rsidR="001E6DE4" w:rsidRPr="00150187" w:rsidRDefault="001E6DE4" w:rsidP="008C16B5">
      <w:pPr>
        <w:autoSpaceDE w:val="0"/>
        <w:autoSpaceDN w:val="0"/>
        <w:adjustRightInd w:val="0"/>
        <w:spacing w:after="0" w:line="360" w:lineRule="auto"/>
        <w:rPr>
          <w:rFonts w:eastAsia="Calibri" w:cs="Tahoma"/>
          <w:bCs/>
          <w:iCs/>
          <w:color w:val="auto"/>
        </w:rPr>
      </w:pPr>
      <w:r w:rsidRPr="00150187">
        <w:rPr>
          <w:rFonts w:eastAsia="Calibri" w:cs="Tahoma"/>
          <w:bCs/>
          <w:iCs/>
          <w:color w:val="auto"/>
        </w:rPr>
        <w:t xml:space="preserve">Finalmente, </w:t>
      </w:r>
      <w:r w:rsidR="008C16B5" w:rsidRPr="00150187">
        <w:rPr>
          <w:rFonts w:eastAsia="Calibri" w:cs="Tahoma"/>
          <w:bCs/>
          <w:iCs/>
          <w:color w:val="auto"/>
        </w:rPr>
        <w:t xml:space="preserve">se le informa que </w:t>
      </w:r>
      <w:r w:rsidRPr="00150187">
        <w:rPr>
          <w:rFonts w:eastAsia="Calibri" w:cs="Tahoma"/>
          <w:bCs/>
          <w:iCs/>
          <w:color w:val="auto"/>
        </w:rPr>
        <w:t>la labor d</w:t>
      </w:r>
      <w:r w:rsidR="008C16B5" w:rsidRPr="00150187">
        <w:rPr>
          <w:rFonts w:eastAsia="Calibri" w:cs="Tahoma"/>
          <w:bCs/>
          <w:iCs/>
          <w:color w:val="auto"/>
        </w:rPr>
        <w:t>e este</w:t>
      </w:r>
      <w:r w:rsidRPr="00150187">
        <w:rPr>
          <w:rFonts w:eastAsia="Calibri" w:cs="Tahoma"/>
          <w:bCs/>
          <w:iCs/>
          <w:color w:val="auto"/>
        </w:rPr>
        <w:t xml:space="preserve"> Instituto</w:t>
      </w:r>
      <w:r w:rsidR="008C16B5" w:rsidRPr="00150187">
        <w:rPr>
          <w:rFonts w:eastAsia="Calibri" w:cs="Tahoma"/>
          <w:bCs/>
          <w:iCs/>
          <w:color w:val="auto"/>
        </w:rPr>
        <w:t xml:space="preserve"> de Transparencia, Acceso a la Información Pública y Protección de Datos Personales del Estado de México y Municipios</w:t>
      </w:r>
      <w:r w:rsidRPr="00150187">
        <w:rPr>
          <w:rFonts w:eastAsia="Calibri" w:cs="Tahoma"/>
          <w:bCs/>
          <w:iCs/>
          <w:color w:val="auto"/>
        </w:rPr>
        <w:t>, es apoyar a la población a acceder a la información pública y garantizar la protección de los datos personales.</w:t>
      </w:r>
    </w:p>
    <w:p w14:paraId="79317E69" w14:textId="77777777" w:rsidR="00773690" w:rsidRPr="00150187" w:rsidRDefault="00773690" w:rsidP="008C16B5">
      <w:pPr>
        <w:autoSpaceDE w:val="0"/>
        <w:autoSpaceDN w:val="0"/>
        <w:adjustRightInd w:val="0"/>
        <w:spacing w:after="0" w:line="360" w:lineRule="auto"/>
        <w:rPr>
          <w:rFonts w:eastAsia="Calibri" w:cs="Tahoma"/>
          <w:bCs/>
          <w:iCs/>
          <w:color w:val="auto"/>
        </w:rPr>
      </w:pPr>
    </w:p>
    <w:p w14:paraId="108A3254" w14:textId="4DE57F81" w:rsidR="00EC77D9" w:rsidRPr="00150187" w:rsidRDefault="00EC77D9" w:rsidP="0037368C">
      <w:pPr>
        <w:spacing w:after="0" w:line="360" w:lineRule="auto"/>
        <w:rPr>
          <w:rFonts w:eastAsia="Times New Roman" w:cs="Tahoma"/>
          <w:bCs/>
          <w:color w:val="auto"/>
          <w:lang w:eastAsia="es-ES"/>
        </w:rPr>
      </w:pPr>
      <w:r w:rsidRPr="00150187">
        <w:rPr>
          <w:rFonts w:eastAsia="Times New Roman" w:cs="Tahoma"/>
          <w:bCs/>
          <w:color w:val="auto"/>
          <w:lang w:eastAsia="es-ES"/>
        </w:rPr>
        <w:t>Por lo expuesto y fundado, este Pleno</w:t>
      </w:r>
      <w:r w:rsidR="008C16B5" w:rsidRPr="00150187">
        <w:rPr>
          <w:rFonts w:eastAsia="Times New Roman" w:cs="Tahoma"/>
          <w:bCs/>
          <w:color w:val="auto"/>
          <w:lang w:eastAsia="es-ES"/>
        </w:rPr>
        <w:t>:</w:t>
      </w:r>
    </w:p>
    <w:p w14:paraId="59D6FC9A" w14:textId="77777777" w:rsidR="00C14E02" w:rsidRPr="00150187" w:rsidRDefault="00C14E02" w:rsidP="0037368C">
      <w:pPr>
        <w:spacing w:after="0" w:line="360" w:lineRule="auto"/>
        <w:rPr>
          <w:rFonts w:eastAsia="Times New Roman" w:cs="Tahoma"/>
          <w:bCs/>
          <w:color w:val="auto"/>
          <w:lang w:eastAsia="es-ES"/>
        </w:rPr>
      </w:pPr>
    </w:p>
    <w:p w14:paraId="13A4DD88" w14:textId="77777777" w:rsidR="00773690" w:rsidRPr="00150187" w:rsidRDefault="00773690" w:rsidP="0037368C">
      <w:pPr>
        <w:spacing w:after="0" w:line="360" w:lineRule="auto"/>
        <w:rPr>
          <w:rFonts w:eastAsia="Times New Roman" w:cs="Tahoma"/>
          <w:bCs/>
          <w:color w:val="auto"/>
          <w:lang w:eastAsia="es-ES"/>
        </w:rPr>
      </w:pPr>
    </w:p>
    <w:p w14:paraId="65020191" w14:textId="77777777" w:rsidR="00773690" w:rsidRPr="00150187" w:rsidRDefault="00773690" w:rsidP="0037368C">
      <w:pPr>
        <w:spacing w:after="0" w:line="360" w:lineRule="auto"/>
        <w:rPr>
          <w:rFonts w:eastAsia="Times New Roman" w:cs="Tahoma"/>
          <w:bCs/>
          <w:color w:val="auto"/>
          <w:lang w:eastAsia="es-ES"/>
        </w:rPr>
      </w:pPr>
    </w:p>
    <w:p w14:paraId="22A7533A" w14:textId="77777777" w:rsidR="00773690" w:rsidRPr="00150187" w:rsidRDefault="00773690" w:rsidP="0037368C">
      <w:pPr>
        <w:spacing w:after="0" w:line="360" w:lineRule="auto"/>
        <w:rPr>
          <w:rFonts w:eastAsia="Times New Roman" w:cs="Tahoma"/>
          <w:bCs/>
          <w:color w:val="auto"/>
          <w:lang w:eastAsia="es-ES"/>
        </w:rPr>
      </w:pPr>
    </w:p>
    <w:p w14:paraId="042DF9C3" w14:textId="12C72864" w:rsidR="00EC77D9" w:rsidRPr="00150187" w:rsidRDefault="00EC77D9" w:rsidP="0037368C">
      <w:pPr>
        <w:spacing w:after="0" w:line="360" w:lineRule="auto"/>
        <w:jc w:val="center"/>
        <w:rPr>
          <w:rFonts w:eastAsia="Times New Roman" w:cs="Tahoma"/>
          <w:b/>
          <w:bCs/>
          <w:color w:val="auto"/>
          <w:lang w:eastAsia="es-ES"/>
        </w:rPr>
      </w:pPr>
      <w:r w:rsidRPr="00150187">
        <w:rPr>
          <w:rFonts w:eastAsia="Times New Roman" w:cs="Tahoma"/>
          <w:b/>
          <w:bCs/>
          <w:color w:val="auto"/>
          <w:lang w:eastAsia="es-ES"/>
        </w:rPr>
        <w:t>R E S U E L V E</w:t>
      </w:r>
    </w:p>
    <w:p w14:paraId="468C8996" w14:textId="77777777" w:rsidR="001E6DE4" w:rsidRPr="00150187" w:rsidRDefault="001E6DE4" w:rsidP="0037368C">
      <w:pPr>
        <w:spacing w:after="0" w:line="360" w:lineRule="auto"/>
        <w:ind w:right="113"/>
        <w:rPr>
          <w:rFonts w:eastAsia="Times New Roman" w:cs="Arial"/>
          <w:b/>
          <w:color w:val="auto"/>
          <w:lang w:eastAsia="es-ES"/>
        </w:rPr>
      </w:pPr>
    </w:p>
    <w:p w14:paraId="32043534" w14:textId="1BD9A6B1" w:rsidR="00EC77D9" w:rsidRPr="00150187" w:rsidRDefault="00EC77D9" w:rsidP="0037368C">
      <w:pPr>
        <w:widowControl w:val="0"/>
        <w:spacing w:after="0" w:line="360" w:lineRule="auto"/>
        <w:rPr>
          <w:rFonts w:eastAsia="Calibri" w:cs="Tahoma"/>
          <w:bCs/>
          <w:color w:val="auto"/>
        </w:rPr>
      </w:pPr>
      <w:r w:rsidRPr="00150187">
        <w:rPr>
          <w:rFonts w:eastAsia="Times New Roman" w:cs="Tahoma"/>
          <w:b/>
          <w:bCs/>
          <w:color w:val="auto"/>
          <w:lang w:eastAsia="es-ES"/>
        </w:rPr>
        <w:t xml:space="preserve">PRIMERO. </w:t>
      </w:r>
      <w:r w:rsidRPr="00150187">
        <w:rPr>
          <w:rFonts w:eastAsia="Calibri" w:cs="Tahoma"/>
          <w:bCs/>
          <w:color w:val="auto"/>
        </w:rPr>
        <w:t xml:space="preserve">Resultan </w:t>
      </w:r>
      <w:r w:rsidRPr="00150187">
        <w:rPr>
          <w:rFonts w:eastAsia="Calibri" w:cs="Tahoma"/>
          <w:b/>
          <w:bCs/>
          <w:color w:val="auto"/>
        </w:rPr>
        <w:t>FUNDADAS</w:t>
      </w:r>
      <w:r w:rsidRPr="00150187">
        <w:rPr>
          <w:rFonts w:eastAsia="Calibri" w:cs="Tahoma"/>
          <w:bCs/>
          <w:color w:val="auto"/>
        </w:rPr>
        <w:t xml:space="preserve"> las razones o motivos de inconformidad hechos valer por el Particular en el Recurso de Revisión </w:t>
      </w:r>
      <w:r w:rsidR="00C169DB" w:rsidRPr="00150187">
        <w:rPr>
          <w:rFonts w:eastAsia="Calibri" w:cs="Tahoma"/>
          <w:bCs/>
          <w:color w:val="auto"/>
        </w:rPr>
        <w:t>0</w:t>
      </w:r>
      <w:r w:rsidR="00085C38" w:rsidRPr="00150187">
        <w:rPr>
          <w:rFonts w:eastAsia="Calibri" w:cs="Tahoma"/>
          <w:bCs/>
          <w:color w:val="auto"/>
        </w:rPr>
        <w:t>5801</w:t>
      </w:r>
      <w:r w:rsidR="00C169DB" w:rsidRPr="00150187">
        <w:rPr>
          <w:rFonts w:eastAsia="Calibri" w:cs="Tahoma"/>
          <w:bCs/>
          <w:color w:val="auto"/>
        </w:rPr>
        <w:t>/INFOEM/IP/RR/2024</w:t>
      </w:r>
      <w:r w:rsidRPr="00150187">
        <w:rPr>
          <w:rFonts w:eastAsia="Calibri" w:cs="Tahoma"/>
          <w:b/>
          <w:color w:val="auto"/>
        </w:rPr>
        <w:t>,</w:t>
      </w:r>
      <w:r w:rsidRPr="00150187">
        <w:rPr>
          <w:rFonts w:eastAsia="Times New Roman" w:cs="Tahoma"/>
          <w:b/>
          <w:color w:val="auto"/>
          <w:lang w:eastAsia="es-ES"/>
        </w:rPr>
        <w:t xml:space="preserve"> </w:t>
      </w:r>
      <w:r w:rsidRPr="00150187">
        <w:rPr>
          <w:rFonts w:eastAsia="Calibri" w:cs="Tahoma"/>
          <w:bCs/>
          <w:color w:val="auto"/>
        </w:rPr>
        <w:t>en términos del considerando QUINTO y SEXTO de la presente Resolución.</w:t>
      </w:r>
    </w:p>
    <w:p w14:paraId="03E50149" w14:textId="77777777" w:rsidR="0097492D" w:rsidRPr="00150187" w:rsidRDefault="0097492D" w:rsidP="0037368C">
      <w:pPr>
        <w:spacing w:after="0" w:line="360" w:lineRule="auto"/>
        <w:rPr>
          <w:rFonts w:eastAsia="Times New Roman" w:cs="Tahoma"/>
          <w:b/>
          <w:bCs/>
          <w:color w:val="FF0000"/>
          <w:lang w:eastAsia="es-ES"/>
        </w:rPr>
      </w:pPr>
    </w:p>
    <w:p w14:paraId="6AF6A50E" w14:textId="7449F38C" w:rsidR="00EC77D9" w:rsidRPr="00150187" w:rsidRDefault="00EC77D9" w:rsidP="0037368C">
      <w:pPr>
        <w:spacing w:after="0" w:line="360" w:lineRule="auto"/>
        <w:ind w:right="-93"/>
        <w:rPr>
          <w:b/>
          <w:bCs/>
          <w:color w:val="auto"/>
        </w:rPr>
      </w:pPr>
      <w:r w:rsidRPr="00150187">
        <w:rPr>
          <w:rFonts w:eastAsia="Calibri" w:cs="Tahoma"/>
          <w:b/>
          <w:bCs/>
          <w:color w:val="auto"/>
        </w:rPr>
        <w:t>SEGUNDO.</w:t>
      </w:r>
      <w:r w:rsidRPr="00150187">
        <w:rPr>
          <w:rFonts w:eastAsia="Calibri" w:cs="Tahoma"/>
          <w:color w:val="auto"/>
          <w:lang w:eastAsia="es-MX"/>
        </w:rPr>
        <w:t xml:space="preserve"> Se </w:t>
      </w:r>
      <w:r w:rsidRPr="00150187">
        <w:rPr>
          <w:rFonts w:eastAsia="Calibri" w:cs="Tahoma"/>
          <w:b/>
          <w:color w:val="auto"/>
          <w:lang w:eastAsia="es-MX"/>
        </w:rPr>
        <w:t xml:space="preserve">ORDENA </w:t>
      </w:r>
      <w:r w:rsidRPr="00150187">
        <w:rPr>
          <w:rFonts w:eastAsia="Calibri" w:cs="Tahoma"/>
          <w:color w:val="auto"/>
          <w:lang w:eastAsia="es-MX"/>
        </w:rPr>
        <w:t xml:space="preserve">al Sujeto Obligado, </w:t>
      </w:r>
      <w:r w:rsidRPr="00150187">
        <w:rPr>
          <w:rFonts w:eastAsia="Calibri" w:cs="Tahoma"/>
          <w:bCs/>
          <w:color w:val="auto"/>
        </w:rPr>
        <w:t xml:space="preserve">a efecto de que dé </w:t>
      </w:r>
      <w:r w:rsidR="001E6DE4" w:rsidRPr="00150187">
        <w:rPr>
          <w:rFonts w:eastAsia="Calibri" w:cs="Tahoma"/>
          <w:bCs/>
          <w:color w:val="auto"/>
        </w:rPr>
        <w:t>atención</w:t>
      </w:r>
      <w:r w:rsidRPr="00150187">
        <w:rPr>
          <w:rFonts w:eastAsia="Calibri" w:cs="Tahoma"/>
          <w:bCs/>
          <w:color w:val="auto"/>
        </w:rPr>
        <w:t xml:space="preserve"> a la solicitud de acceso a la información</w:t>
      </w:r>
      <w:r w:rsidR="00A22DBE" w:rsidRPr="00150187">
        <w:rPr>
          <w:b/>
          <w:bCs/>
          <w:color w:val="auto"/>
        </w:rPr>
        <w:t xml:space="preserve"> </w:t>
      </w:r>
      <w:r w:rsidR="00B72F68" w:rsidRPr="00150187">
        <w:rPr>
          <w:color w:val="auto"/>
        </w:rPr>
        <w:t>00105/AMECAMEC/IP/2024</w:t>
      </w:r>
      <w:r w:rsidRPr="00150187">
        <w:rPr>
          <w:rFonts w:eastAsia="Times New Roman" w:cs="Tahoma"/>
          <w:color w:val="auto"/>
          <w:lang w:eastAsia="es-ES"/>
        </w:rPr>
        <w:t>y,</w:t>
      </w:r>
      <w:r w:rsidRPr="00150187">
        <w:rPr>
          <w:rFonts w:eastAsia="Times New Roman" w:cs="Tahoma"/>
          <w:b/>
          <w:color w:val="auto"/>
          <w:lang w:eastAsia="es-ES"/>
        </w:rPr>
        <w:t xml:space="preserve"> </w:t>
      </w:r>
      <w:r w:rsidRPr="00150187">
        <w:rPr>
          <w:rFonts w:eastAsia="Times New Roman" w:cs="Tahoma"/>
          <w:color w:val="auto"/>
          <w:lang w:eastAsia="es-ES"/>
        </w:rPr>
        <w:t xml:space="preserve">a través del </w:t>
      </w:r>
      <w:r w:rsidRPr="00150187">
        <w:rPr>
          <w:rFonts w:eastAsia="Times New Roman" w:cs="Tahoma"/>
          <w:color w:val="auto"/>
          <w:lang w:val="es-ES" w:eastAsia="es-ES"/>
        </w:rPr>
        <w:t>Sistema de Acceso a la Información Mexiquense (SAIMEX)</w:t>
      </w:r>
      <w:r w:rsidR="00B72F68" w:rsidRPr="00150187">
        <w:rPr>
          <w:rFonts w:eastAsia="Times New Roman" w:cs="Tahoma"/>
          <w:color w:val="auto"/>
          <w:lang w:val="es-ES" w:eastAsia="es-ES"/>
        </w:rPr>
        <w:t xml:space="preserve"> y correo electrónico</w:t>
      </w:r>
      <w:r w:rsidRPr="00150187">
        <w:rPr>
          <w:rFonts w:eastAsia="Times New Roman" w:cs="Tahoma"/>
          <w:color w:val="auto"/>
          <w:lang w:val="es-ES" w:eastAsia="es-ES"/>
        </w:rPr>
        <w:t>, dé la respuesta que conforme a derecho corresponda.</w:t>
      </w:r>
    </w:p>
    <w:p w14:paraId="31B2ADA2" w14:textId="77777777" w:rsidR="00B3689C" w:rsidRPr="00150187" w:rsidRDefault="00B3689C" w:rsidP="0037368C">
      <w:pPr>
        <w:spacing w:after="0" w:line="360" w:lineRule="auto"/>
        <w:ind w:right="-93"/>
        <w:rPr>
          <w:rFonts w:eastAsia="Calibri" w:cs="Tahoma"/>
          <w:bCs/>
          <w:color w:val="auto"/>
        </w:rPr>
      </w:pPr>
    </w:p>
    <w:p w14:paraId="5994E3B8" w14:textId="33A4DC08" w:rsidR="00EC77D9" w:rsidRPr="00150187" w:rsidRDefault="00EC77D9" w:rsidP="0037368C">
      <w:pPr>
        <w:spacing w:after="0" w:line="360" w:lineRule="auto"/>
        <w:rPr>
          <w:rFonts w:eastAsia="Calibri" w:cs="Tahoma"/>
          <w:bCs/>
          <w:iCs/>
          <w:color w:val="auto"/>
          <w:lang w:val="es-ES_tradnl" w:eastAsia="es-ES"/>
        </w:rPr>
      </w:pPr>
      <w:r w:rsidRPr="00150187">
        <w:rPr>
          <w:rFonts w:eastAsia="Calibri" w:cs="Tahoma"/>
          <w:b/>
          <w:bCs/>
          <w:iCs/>
          <w:color w:val="auto"/>
          <w:lang w:val="es-ES" w:eastAsia="es-ES"/>
        </w:rPr>
        <w:t>TERCERO</w:t>
      </w:r>
      <w:r w:rsidRPr="00150187">
        <w:rPr>
          <w:rFonts w:eastAsia="Calibri" w:cs="Tahoma"/>
          <w:b/>
          <w:bCs/>
          <w:color w:val="auto"/>
        </w:rPr>
        <w:t xml:space="preserve">. </w:t>
      </w:r>
      <w:r w:rsidRPr="00150187">
        <w:rPr>
          <w:rFonts w:eastAsia="Calibri" w:cs="Tahoma"/>
          <w:bCs/>
          <w:iCs/>
          <w:color w:val="auto"/>
          <w:lang w:val="es-ES_tradnl" w:eastAsia="es-ES"/>
        </w:rPr>
        <w:t>Con fundamento en el artículo 179, párrafo segundo, de la Ley de Transparencia y Acceso a la Información Pública del Estado de México y Municipios, se hace del conocimiento de</w:t>
      </w:r>
      <w:r w:rsidR="005A60F9" w:rsidRPr="00150187">
        <w:rPr>
          <w:rFonts w:eastAsia="Calibri" w:cs="Tahoma"/>
          <w:bCs/>
          <w:iCs/>
          <w:color w:val="auto"/>
          <w:lang w:val="es-ES_tradnl" w:eastAsia="es-ES"/>
        </w:rPr>
        <w:t xml:space="preserve"> la persona</w:t>
      </w:r>
      <w:r w:rsidRPr="00150187">
        <w:rPr>
          <w:rFonts w:eastAsia="Calibri" w:cs="Tahoma"/>
          <w:bCs/>
          <w:iCs/>
          <w:color w:val="auto"/>
          <w:lang w:val="es-ES_tradnl" w:eastAsia="es-ES"/>
        </w:rPr>
        <w:t xml:space="preserve"> Recurrente que tiene derecho a interponer nuevamente Recurso de Revisión ante este Instituto, por la respuesta que dé el Sujeto Obligado, en cumplimiento a esta Resolución.  </w:t>
      </w:r>
    </w:p>
    <w:p w14:paraId="4B2D11A5" w14:textId="77777777" w:rsidR="0037368C" w:rsidRPr="00150187" w:rsidRDefault="0037368C" w:rsidP="0037368C">
      <w:pPr>
        <w:spacing w:after="0" w:line="360" w:lineRule="auto"/>
        <w:rPr>
          <w:rFonts w:eastAsia="Calibri" w:cs="Tahoma"/>
          <w:bCs/>
          <w:iCs/>
          <w:color w:val="auto"/>
          <w:lang w:eastAsia="es-ES"/>
        </w:rPr>
      </w:pPr>
    </w:p>
    <w:p w14:paraId="1769E19A" w14:textId="64734E78" w:rsidR="00EC77D9" w:rsidRPr="00150187" w:rsidRDefault="00EC77D9" w:rsidP="0037368C">
      <w:pPr>
        <w:spacing w:after="0" w:line="360" w:lineRule="auto"/>
        <w:rPr>
          <w:rFonts w:eastAsia="Times New Roman" w:cs="Tahoma"/>
          <w:color w:val="auto"/>
          <w:lang w:eastAsia="es-ES"/>
        </w:rPr>
      </w:pPr>
      <w:r w:rsidRPr="00150187">
        <w:rPr>
          <w:rFonts w:eastAsia="Calibri" w:cs="Tahoma"/>
          <w:b/>
          <w:color w:val="auto"/>
          <w:lang w:eastAsia="es-MX"/>
        </w:rPr>
        <w:t>CUARTO</w:t>
      </w:r>
      <w:r w:rsidRPr="00150187">
        <w:rPr>
          <w:rFonts w:eastAsia="Calibri" w:cs="Tahoma"/>
          <w:b/>
          <w:bCs/>
          <w:color w:val="auto"/>
        </w:rPr>
        <w:t xml:space="preserve">. </w:t>
      </w:r>
      <w:r w:rsidRPr="00150187">
        <w:rPr>
          <w:rFonts w:eastAsia="Times New Roman" w:cs="Tahoma"/>
          <w:b/>
          <w:color w:val="auto"/>
          <w:lang w:eastAsia="es-ES"/>
        </w:rPr>
        <w:t>NOTIFÍQUESE</w:t>
      </w:r>
      <w:r w:rsidR="0062268E" w:rsidRPr="00150187">
        <w:rPr>
          <w:rFonts w:eastAsia="Times New Roman" w:cs="Tahoma"/>
          <w:b/>
          <w:color w:val="auto"/>
          <w:lang w:eastAsia="es-ES"/>
        </w:rPr>
        <w:t xml:space="preserve"> POR SAIMEX</w:t>
      </w:r>
      <w:r w:rsidRPr="00150187">
        <w:rPr>
          <w:rFonts w:eastAsia="Times New Roman" w:cs="Tahoma"/>
          <w:b/>
          <w:color w:val="auto"/>
          <w:lang w:eastAsia="es-ES"/>
        </w:rPr>
        <w:t xml:space="preserve"> </w:t>
      </w:r>
      <w:r w:rsidRPr="00150187">
        <w:rPr>
          <w:rFonts w:eastAsia="Times New Roman" w:cs="Tahoma"/>
          <w:color w:val="auto"/>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00B03A23" w:rsidRPr="00150187">
        <w:rPr>
          <w:rFonts w:eastAsia="Times New Roman" w:cs="Tahoma"/>
          <w:color w:val="auto"/>
          <w:lang w:eastAsia="es-ES"/>
        </w:rPr>
        <w:t xml:space="preserve">, </w:t>
      </w:r>
      <w:r w:rsidR="00B03A23" w:rsidRPr="00150187">
        <w:rPr>
          <w:color w:val="auto"/>
        </w:rPr>
        <w:t>se le apercibe que en caso de negarse a cumplir la presente resolución o hacerlo de manera parcial, se le impondrá una medida de apremio de conformidad con lo previsto en los artículos 198, 200, fracción III, 214, 215 y 216 de la Ley referida.</w:t>
      </w:r>
    </w:p>
    <w:p w14:paraId="41884E1F" w14:textId="77777777" w:rsidR="00975E93" w:rsidRPr="00150187" w:rsidRDefault="00975E93" w:rsidP="0037368C">
      <w:pPr>
        <w:spacing w:after="0" w:line="360" w:lineRule="auto"/>
        <w:rPr>
          <w:rFonts w:eastAsia="Calibri" w:cs="Tahoma"/>
          <w:color w:val="auto"/>
          <w:lang w:eastAsia="es-MX"/>
        </w:rPr>
      </w:pPr>
    </w:p>
    <w:p w14:paraId="357CF708" w14:textId="1F5D16C6" w:rsidR="00EC77D9" w:rsidRPr="00150187" w:rsidRDefault="00EC77D9" w:rsidP="0037368C">
      <w:pPr>
        <w:spacing w:after="0" w:line="360" w:lineRule="auto"/>
        <w:rPr>
          <w:rFonts w:eastAsia="Times New Roman" w:cs="Tahoma"/>
          <w:b/>
          <w:color w:val="auto"/>
          <w:lang w:eastAsia="es-ES"/>
        </w:rPr>
      </w:pPr>
      <w:r w:rsidRPr="00150187">
        <w:rPr>
          <w:rFonts w:eastAsia="Calibri" w:cs="Tahoma"/>
          <w:b/>
          <w:bCs/>
          <w:iCs/>
          <w:color w:val="auto"/>
          <w:lang w:val="es-ES" w:eastAsia="es-ES"/>
        </w:rPr>
        <w:t>QUINTO</w:t>
      </w:r>
      <w:r w:rsidRPr="00150187">
        <w:rPr>
          <w:rFonts w:eastAsia="Calibri" w:cs="Tahoma"/>
          <w:bCs/>
          <w:iCs/>
          <w:color w:val="auto"/>
          <w:lang w:val="es-ES" w:eastAsia="es-ES"/>
        </w:rPr>
        <w:t>.</w:t>
      </w:r>
      <w:r w:rsidRPr="00150187">
        <w:rPr>
          <w:rFonts w:eastAsia="Times New Roman" w:cs="Tahoma"/>
          <w:b/>
          <w:color w:val="auto"/>
          <w:lang w:eastAsia="es-ES"/>
        </w:rPr>
        <w:t xml:space="preserve"> NOTIFÍQUESE</w:t>
      </w:r>
      <w:r w:rsidR="0062268E" w:rsidRPr="00150187">
        <w:rPr>
          <w:rFonts w:eastAsia="Times New Roman" w:cs="Tahoma"/>
          <w:b/>
          <w:color w:val="auto"/>
          <w:lang w:eastAsia="es-ES"/>
        </w:rPr>
        <w:t xml:space="preserve"> POR SAIMEX</w:t>
      </w:r>
      <w:r w:rsidR="00B72F68" w:rsidRPr="00150187">
        <w:rPr>
          <w:rFonts w:eastAsia="Times New Roman" w:cs="Tahoma"/>
          <w:b/>
          <w:color w:val="auto"/>
          <w:lang w:eastAsia="es-ES"/>
        </w:rPr>
        <w:t xml:space="preserve"> y correo electrónico</w:t>
      </w:r>
      <w:r w:rsidRPr="00150187">
        <w:rPr>
          <w:rFonts w:eastAsia="Times New Roman" w:cs="Tahoma"/>
          <w:b/>
          <w:color w:val="auto"/>
          <w:lang w:eastAsia="es-ES"/>
        </w:rPr>
        <w:t xml:space="preserve"> </w:t>
      </w:r>
      <w:r w:rsidRPr="00150187">
        <w:rPr>
          <w:rFonts w:eastAsia="Times New Roman" w:cs="Tahoma"/>
          <w:bCs/>
          <w:color w:val="auto"/>
          <w:lang w:eastAsia="es-ES"/>
        </w:rPr>
        <w:t>a</w:t>
      </w:r>
      <w:r w:rsidR="005A60F9" w:rsidRPr="00150187">
        <w:rPr>
          <w:rFonts w:eastAsia="Times New Roman" w:cs="Tahoma"/>
          <w:bCs/>
          <w:color w:val="auto"/>
          <w:lang w:eastAsia="es-ES"/>
        </w:rPr>
        <w:t xml:space="preserve"> la persona</w:t>
      </w:r>
      <w:r w:rsidRPr="00150187">
        <w:rPr>
          <w:rFonts w:eastAsia="Times New Roman" w:cs="Tahoma"/>
          <w:bCs/>
          <w:color w:val="auto"/>
          <w:lang w:eastAsia="es-ES"/>
        </w:rPr>
        <w:t xml:space="preserve"> Recurrente la presente Resolución</w:t>
      </w:r>
      <w:r w:rsidRPr="00150187">
        <w:rPr>
          <w:rFonts w:eastAsia="Times New Roman" w:cs="Tahoma"/>
          <w:bCs/>
          <w:color w:val="auto"/>
          <w:lang w:val="es-ES" w:eastAsia="es-ES"/>
        </w:rPr>
        <w:t>;</w:t>
      </w:r>
      <w:r w:rsidRPr="00150187">
        <w:rPr>
          <w:rFonts w:eastAsia="Times New Roman" w:cs="Tahoma"/>
          <w:bCs/>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61DCE6B" w14:textId="77777777" w:rsidR="00EC77D9" w:rsidRPr="00150187" w:rsidRDefault="00EC77D9" w:rsidP="0037368C">
      <w:pPr>
        <w:spacing w:after="0" w:line="360" w:lineRule="auto"/>
        <w:rPr>
          <w:rFonts w:eastAsia="Times New Roman" w:cs="Tahoma"/>
          <w:color w:val="auto"/>
          <w:lang w:eastAsia="es-ES"/>
        </w:rPr>
      </w:pPr>
    </w:p>
    <w:p w14:paraId="0E297553" w14:textId="77777777" w:rsidR="001646F8" w:rsidRPr="00150187" w:rsidRDefault="001646F8" w:rsidP="0037368C">
      <w:pPr>
        <w:spacing w:after="0" w:line="360" w:lineRule="auto"/>
        <w:rPr>
          <w:rFonts w:eastAsia="Calibri" w:cs="Tahoma"/>
          <w:bCs/>
          <w:color w:val="auto"/>
        </w:rPr>
      </w:pPr>
      <w:r w:rsidRPr="00150187">
        <w:rPr>
          <w:b/>
          <w:bCs/>
          <w:color w:val="auto"/>
        </w:rPr>
        <w:t>SEXTO.</w:t>
      </w:r>
      <w:r w:rsidRPr="00150187">
        <w:rPr>
          <w:color w:val="auto"/>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058FB6AA" w14:textId="77777777" w:rsidR="00172038" w:rsidRPr="00150187" w:rsidRDefault="00172038" w:rsidP="0037368C">
      <w:pPr>
        <w:spacing w:after="0" w:line="360" w:lineRule="auto"/>
        <w:ind w:right="-93"/>
        <w:rPr>
          <w:rFonts w:eastAsia="Calibri" w:cs="Tahoma"/>
          <w:bCs/>
          <w:color w:val="FF0000"/>
        </w:rPr>
      </w:pPr>
    </w:p>
    <w:p w14:paraId="23FD6781" w14:textId="16A4BE26" w:rsidR="00EC77D9" w:rsidRPr="009C4626" w:rsidRDefault="00EC77D9" w:rsidP="0037368C">
      <w:pPr>
        <w:spacing w:after="0" w:line="360" w:lineRule="auto"/>
        <w:rPr>
          <w:color w:val="FF0000"/>
        </w:rPr>
      </w:pPr>
      <w:r w:rsidRPr="00150187">
        <w:rPr>
          <w:rFonts w:eastAsia="Calibri" w:cs="Tahoma"/>
          <w:color w:val="auto"/>
          <w:lang w:val="es-ES" w:eastAsia="es-ES_tradnl"/>
        </w:rPr>
        <w:t xml:space="preserve">ASÍ LO RESUELVE, POR </w:t>
      </w:r>
      <w:r w:rsidRPr="00150187">
        <w:rPr>
          <w:rFonts w:eastAsia="Calibri" w:cs="Tahoma"/>
          <w:b/>
          <w:bCs/>
          <w:color w:val="auto"/>
          <w:lang w:val="es-ES" w:eastAsia="es-ES_tradnl"/>
        </w:rPr>
        <w:t>UNANIMIDAD</w:t>
      </w:r>
      <w:r w:rsidRPr="00150187">
        <w:rPr>
          <w:rFonts w:eastAsia="Calibri" w:cs="Tahoma"/>
          <w:color w:val="auto"/>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BC30E5" w:rsidRPr="00150187">
        <w:rPr>
          <w:rFonts w:eastAsia="Calibri" w:cs="Tahoma"/>
          <w:color w:val="auto"/>
          <w:lang w:val="es-ES" w:eastAsia="es-ES_tradnl"/>
        </w:rPr>
        <w:t xml:space="preserve"> </w:t>
      </w:r>
      <w:r w:rsidR="00B10063" w:rsidRPr="00150187">
        <w:rPr>
          <w:rFonts w:eastAsia="Calibri" w:cs="Tahoma"/>
          <w:color w:val="auto"/>
          <w:lang w:val="es-ES" w:eastAsia="es-ES_tradnl"/>
        </w:rPr>
        <w:t>TRIGÉSIMA</w:t>
      </w:r>
      <w:r w:rsidR="00150187" w:rsidRPr="00150187">
        <w:rPr>
          <w:rFonts w:eastAsia="Calibri" w:cs="Tahoma"/>
          <w:color w:val="auto"/>
          <w:lang w:val="es-ES" w:eastAsia="es-ES_tradnl"/>
        </w:rPr>
        <w:t xml:space="preserve"> SÉPTIMA</w:t>
      </w:r>
      <w:r w:rsidR="00A74D3A" w:rsidRPr="00150187">
        <w:rPr>
          <w:rFonts w:eastAsia="Calibri" w:cs="Tahoma"/>
          <w:color w:val="auto"/>
          <w:lang w:val="es-ES" w:eastAsia="es-ES_tradnl"/>
        </w:rPr>
        <w:t xml:space="preserve"> SESIÓN</w:t>
      </w:r>
      <w:r w:rsidRPr="00150187">
        <w:rPr>
          <w:rFonts w:eastAsia="Calibri" w:cs="Tahoma"/>
          <w:color w:val="auto"/>
          <w:lang w:val="es-ES" w:eastAsia="es-ES_tradnl"/>
        </w:rPr>
        <w:t xml:space="preserve"> ORDINARIA, CELEBRADA EL</w:t>
      </w:r>
      <w:r w:rsidR="00400DC0" w:rsidRPr="00150187">
        <w:rPr>
          <w:rFonts w:eastAsia="Calibri" w:cs="Tahoma"/>
          <w:color w:val="auto"/>
          <w:lang w:val="es-ES" w:eastAsia="es-ES_tradnl"/>
        </w:rPr>
        <w:t xml:space="preserve"> </w:t>
      </w:r>
      <w:r w:rsidR="00150187" w:rsidRPr="00150187">
        <w:rPr>
          <w:rFonts w:eastAsia="Calibri" w:cs="Tahoma"/>
          <w:color w:val="auto"/>
          <w:lang w:val="es-ES" w:eastAsia="es-ES_tradnl"/>
        </w:rPr>
        <w:t xml:space="preserve">DIECISÉIS </w:t>
      </w:r>
      <w:r w:rsidRPr="00150187">
        <w:rPr>
          <w:rFonts w:eastAsia="Calibri" w:cs="Tahoma"/>
          <w:color w:val="auto"/>
          <w:lang w:val="es-ES" w:eastAsia="es-ES_tradnl"/>
        </w:rPr>
        <w:t>DE</w:t>
      </w:r>
      <w:r w:rsidR="00150187" w:rsidRPr="00150187">
        <w:rPr>
          <w:rFonts w:eastAsia="Calibri" w:cs="Tahoma"/>
          <w:color w:val="auto"/>
          <w:lang w:val="es-ES" w:eastAsia="es-ES_tradnl"/>
        </w:rPr>
        <w:t xml:space="preserve"> OCTUBRE</w:t>
      </w:r>
      <w:r w:rsidRPr="00150187">
        <w:rPr>
          <w:rFonts w:eastAsia="Calibri" w:cs="Tahoma"/>
          <w:color w:val="auto"/>
          <w:lang w:val="es-ES" w:eastAsia="es-ES_tradnl"/>
        </w:rPr>
        <w:t xml:space="preserve"> DOS MIL VEINT</w:t>
      </w:r>
      <w:r w:rsidR="00CC3B02" w:rsidRPr="00150187">
        <w:rPr>
          <w:rFonts w:eastAsia="Calibri" w:cs="Tahoma"/>
          <w:color w:val="auto"/>
          <w:lang w:val="es-ES" w:eastAsia="es-ES_tradnl"/>
        </w:rPr>
        <w:t>ICUATRO</w:t>
      </w:r>
      <w:r w:rsidRPr="00150187">
        <w:rPr>
          <w:rFonts w:eastAsia="Calibri" w:cs="Tahoma"/>
          <w:color w:val="auto"/>
          <w:lang w:val="es-ES" w:eastAsia="es-ES_tradnl"/>
        </w:rPr>
        <w:t>, ANTE EL SECRETARIO TÉCNICO DEL PLENO, ALEXIS TAPIA RAMÍREZ</w:t>
      </w:r>
      <w:r w:rsidRPr="009C4626">
        <w:rPr>
          <w:color w:val="FF0000"/>
        </w:rPr>
        <w:br w:type="page"/>
      </w:r>
    </w:p>
    <w:p w14:paraId="4B7887A5" w14:textId="77777777" w:rsidR="00EC77D9" w:rsidRPr="009C4626" w:rsidRDefault="00EC77D9" w:rsidP="0037368C">
      <w:pPr>
        <w:spacing w:after="0" w:line="360" w:lineRule="auto"/>
        <w:rPr>
          <w:color w:val="FF0000"/>
        </w:rPr>
      </w:pPr>
    </w:p>
    <w:p w14:paraId="1950A4FE" w14:textId="77777777" w:rsidR="00C50842" w:rsidRPr="009C4626" w:rsidRDefault="00C50842" w:rsidP="0037368C">
      <w:pPr>
        <w:spacing w:after="0" w:line="360" w:lineRule="auto"/>
        <w:rPr>
          <w:color w:val="FF0000"/>
        </w:rPr>
      </w:pPr>
    </w:p>
    <w:sectPr w:rsidR="00C50842" w:rsidRPr="009C4626" w:rsidSect="00B207DF">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38A3" w14:textId="77777777" w:rsidR="009A22AE" w:rsidRDefault="009A22AE" w:rsidP="00EC77D9">
      <w:pPr>
        <w:spacing w:after="0" w:line="240" w:lineRule="auto"/>
      </w:pPr>
      <w:r>
        <w:separator/>
      </w:r>
    </w:p>
  </w:endnote>
  <w:endnote w:type="continuationSeparator" w:id="0">
    <w:p w14:paraId="2E84BF4A" w14:textId="77777777" w:rsidR="009A22AE" w:rsidRDefault="009A22AE"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6F2B81" w:rsidRDefault="006F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6F2B81" w:rsidRDefault="006F2B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6F2B81" w:rsidRDefault="006F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5018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50187">
              <w:rPr>
                <w:b/>
                <w:bCs/>
                <w:noProof/>
              </w:rPr>
              <w:t>21</w:t>
            </w:r>
            <w:r>
              <w:rPr>
                <w:b/>
                <w:bCs/>
                <w:sz w:val="24"/>
                <w:szCs w:val="24"/>
              </w:rPr>
              <w:fldChar w:fldCharType="end"/>
            </w:r>
          </w:p>
        </w:sdtContent>
      </w:sdt>
    </w:sdtContent>
  </w:sdt>
  <w:p w14:paraId="480CB874" w14:textId="77777777" w:rsidR="006F2B81" w:rsidRDefault="006F2B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6F2B81" w:rsidRDefault="006F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5018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50187">
              <w:rPr>
                <w:b/>
                <w:bCs/>
                <w:noProof/>
              </w:rPr>
              <w:t>21</w:t>
            </w:r>
            <w:r>
              <w:rPr>
                <w:b/>
                <w:bCs/>
                <w:sz w:val="24"/>
                <w:szCs w:val="24"/>
              </w:rPr>
              <w:fldChar w:fldCharType="end"/>
            </w:r>
          </w:p>
        </w:sdtContent>
      </w:sdt>
    </w:sdtContent>
  </w:sdt>
  <w:p w14:paraId="604FB1E6" w14:textId="77777777" w:rsidR="006F2B81" w:rsidRDefault="006F2B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A7D0" w14:textId="77777777" w:rsidR="009A22AE" w:rsidRDefault="009A22AE" w:rsidP="00EC77D9">
      <w:pPr>
        <w:spacing w:after="0" w:line="240" w:lineRule="auto"/>
      </w:pPr>
      <w:r>
        <w:separator/>
      </w:r>
    </w:p>
  </w:footnote>
  <w:footnote w:type="continuationSeparator" w:id="0">
    <w:p w14:paraId="4229F5DD" w14:textId="77777777" w:rsidR="009A22AE" w:rsidRDefault="009A22AE"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6F2B81" w:rsidRPr="00E152D8" w14:paraId="4A0009A6" w14:textId="77777777" w:rsidTr="006F2B81">
      <w:trPr>
        <w:trHeight w:val="132"/>
      </w:trPr>
      <w:tc>
        <w:tcPr>
          <w:tcW w:w="2691" w:type="dxa"/>
        </w:tcPr>
        <w:p w14:paraId="76E98208" w14:textId="77777777" w:rsidR="006F2B81" w:rsidRPr="00E152D8" w:rsidRDefault="006F2B81" w:rsidP="006F2B8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6F2B81" w:rsidRPr="00EE1572" w:rsidRDefault="006F2B81" w:rsidP="006F2B81">
          <w:pPr>
            <w:tabs>
              <w:tab w:val="right" w:pos="8838"/>
            </w:tabs>
            <w:ind w:left="-28" w:right="-32"/>
            <w:rPr>
              <w:rFonts w:eastAsia="Calibri" w:cs="Tahoma"/>
            </w:rPr>
          </w:pPr>
          <w:r w:rsidRPr="00EE1572">
            <w:rPr>
              <w:rFonts w:eastAsia="Calibri" w:cs="Tahoma"/>
            </w:rPr>
            <w:t>03846/INFOEM/IP/RR/2020</w:t>
          </w:r>
        </w:p>
      </w:tc>
    </w:tr>
    <w:tr w:rsidR="006F2B81" w:rsidRPr="00E152D8" w14:paraId="4AB4C711" w14:textId="77777777" w:rsidTr="006F2B81">
      <w:trPr>
        <w:trHeight w:val="261"/>
      </w:trPr>
      <w:tc>
        <w:tcPr>
          <w:tcW w:w="2691" w:type="dxa"/>
        </w:tcPr>
        <w:p w14:paraId="7E7EF0C1" w14:textId="77777777" w:rsidR="006F2B81" w:rsidRPr="00E152D8" w:rsidRDefault="006F2B81" w:rsidP="006F2B8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6F2B81" w:rsidRPr="00EE1572" w:rsidRDefault="006F2B81" w:rsidP="006F2B81">
          <w:pPr>
            <w:tabs>
              <w:tab w:val="right" w:pos="8838"/>
            </w:tabs>
            <w:ind w:right="-32"/>
            <w:rPr>
              <w:rFonts w:eastAsia="Calibri" w:cs="Tahoma"/>
              <w:lang w:val="es-MX"/>
            </w:rPr>
          </w:pPr>
          <w:r>
            <w:rPr>
              <w:rFonts w:eastAsia="Calibri" w:cs="Tahoma"/>
              <w:lang w:val="es-MX"/>
            </w:rPr>
            <w:t>Ayuntamiento de Valle de Chalco Solidaridad</w:t>
          </w:r>
        </w:p>
      </w:tc>
    </w:tr>
    <w:tr w:rsidR="006F2B81" w:rsidRPr="00E152D8" w14:paraId="4659C8A1" w14:textId="77777777" w:rsidTr="006F2B81">
      <w:trPr>
        <w:trHeight w:val="261"/>
      </w:trPr>
      <w:tc>
        <w:tcPr>
          <w:tcW w:w="2691" w:type="dxa"/>
        </w:tcPr>
        <w:p w14:paraId="1445B823" w14:textId="77777777" w:rsidR="006F2B81" w:rsidRPr="00E152D8" w:rsidRDefault="006F2B81" w:rsidP="006F2B8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6F2B81" w:rsidRPr="00E152D8" w:rsidRDefault="006F2B81" w:rsidP="006F2B81">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6F2B81" w:rsidRDefault="009A22AE">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096"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544"/>
    </w:tblGrid>
    <w:tr w:rsidR="006F2B81" w:rsidRPr="00E152D8" w14:paraId="62A5EE36" w14:textId="77777777" w:rsidTr="00085C38">
      <w:trPr>
        <w:trHeight w:val="138"/>
      </w:trPr>
      <w:tc>
        <w:tcPr>
          <w:tcW w:w="2552" w:type="dxa"/>
          <w:vAlign w:val="center"/>
        </w:tcPr>
        <w:p w14:paraId="028A99F9" w14:textId="77777777" w:rsidR="006F2B81" w:rsidRPr="00E152D8" w:rsidRDefault="006F2B81" w:rsidP="006F2B81">
          <w:pPr>
            <w:tabs>
              <w:tab w:val="right" w:pos="8838"/>
            </w:tabs>
            <w:ind w:right="-105"/>
            <w:jc w:val="left"/>
            <w:rPr>
              <w:rFonts w:eastAsia="Calibri" w:cs="Tahoma"/>
              <w:b/>
              <w:lang w:val="es-MX"/>
            </w:rPr>
          </w:pPr>
          <w:r w:rsidRPr="00E152D8">
            <w:rPr>
              <w:rFonts w:eastAsia="Calibri" w:cs="Tahoma"/>
              <w:b/>
              <w:lang w:val="es-MX"/>
            </w:rPr>
            <w:t>Recurso de Revisión:</w:t>
          </w:r>
        </w:p>
      </w:tc>
      <w:tc>
        <w:tcPr>
          <w:tcW w:w="3544" w:type="dxa"/>
        </w:tcPr>
        <w:p w14:paraId="1A41A00E" w14:textId="32742D6A" w:rsidR="006F2B81" w:rsidRPr="00051642" w:rsidRDefault="006F2B81" w:rsidP="006F2B81">
          <w:pPr>
            <w:tabs>
              <w:tab w:val="right" w:pos="8838"/>
            </w:tabs>
            <w:ind w:right="-32"/>
            <w:rPr>
              <w:rFonts w:eastAsia="Calibri" w:cs="Tahoma"/>
            </w:rPr>
          </w:pPr>
          <w:r>
            <w:rPr>
              <w:rFonts w:eastAsia="Calibri" w:cs="Tahoma"/>
              <w:lang w:val="es-MX"/>
            </w:rPr>
            <w:t>0</w:t>
          </w:r>
          <w:r w:rsidR="00085C38">
            <w:rPr>
              <w:rFonts w:eastAsia="Calibri" w:cs="Tahoma"/>
              <w:lang w:val="es-MX"/>
            </w:rPr>
            <w:t>5801</w:t>
          </w:r>
          <w:r>
            <w:rPr>
              <w:rFonts w:eastAsia="Calibri" w:cs="Tahoma"/>
              <w:lang w:val="es-MX"/>
            </w:rPr>
            <w:t>/INFOEM/IP/RR/2024</w:t>
          </w:r>
        </w:p>
      </w:tc>
    </w:tr>
    <w:tr w:rsidR="006F2B81" w:rsidRPr="00E152D8" w14:paraId="25EB3B4F" w14:textId="77777777" w:rsidTr="00085C38">
      <w:trPr>
        <w:trHeight w:val="273"/>
      </w:trPr>
      <w:tc>
        <w:tcPr>
          <w:tcW w:w="2552" w:type="dxa"/>
        </w:tcPr>
        <w:p w14:paraId="12B07625" w14:textId="77777777" w:rsidR="006F2B81" w:rsidRPr="00E152D8" w:rsidRDefault="006F2B81"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544" w:type="dxa"/>
        </w:tcPr>
        <w:p w14:paraId="16B12BD5" w14:textId="63164F71" w:rsidR="006F2B81" w:rsidRPr="00051642" w:rsidRDefault="00085C38" w:rsidP="009C4626">
          <w:pPr>
            <w:tabs>
              <w:tab w:val="right" w:pos="8838"/>
            </w:tabs>
            <w:ind w:left="-28" w:right="-32"/>
            <w:rPr>
              <w:rFonts w:eastAsia="Calibri" w:cs="Tahoma"/>
              <w:lang w:val="es-MX"/>
            </w:rPr>
          </w:pPr>
          <w:r>
            <w:rPr>
              <w:color w:val="000000"/>
            </w:rPr>
            <w:t>Ayuntamiento de Amecameca</w:t>
          </w:r>
        </w:p>
      </w:tc>
    </w:tr>
    <w:tr w:rsidR="006F2B81" w:rsidRPr="00E152D8" w14:paraId="2B76E1FC" w14:textId="77777777" w:rsidTr="00085C38">
      <w:trPr>
        <w:trHeight w:val="273"/>
      </w:trPr>
      <w:tc>
        <w:tcPr>
          <w:tcW w:w="2552" w:type="dxa"/>
        </w:tcPr>
        <w:p w14:paraId="4C4F10A1" w14:textId="77777777" w:rsidR="006F2B81" w:rsidRPr="00E152D8" w:rsidRDefault="006F2B81" w:rsidP="009E6F8A">
          <w:pPr>
            <w:tabs>
              <w:tab w:val="right" w:pos="8838"/>
            </w:tabs>
            <w:ind w:right="-105"/>
            <w:rPr>
              <w:rFonts w:eastAsia="Calibri" w:cs="Tahoma"/>
              <w:b/>
              <w:lang w:val="es-MX"/>
            </w:rPr>
          </w:pPr>
          <w:r w:rsidRPr="00E152D8">
            <w:rPr>
              <w:rFonts w:eastAsia="Calibri" w:cs="Tahoma"/>
              <w:b/>
              <w:lang w:val="es-MX"/>
            </w:rPr>
            <w:t>Comisionado Ponente:</w:t>
          </w:r>
        </w:p>
      </w:tc>
      <w:tc>
        <w:tcPr>
          <w:tcW w:w="3544" w:type="dxa"/>
        </w:tcPr>
        <w:p w14:paraId="4E6DF248" w14:textId="77777777" w:rsidR="006F2B81" w:rsidRDefault="006F2B81"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6F2B81" w:rsidRPr="00E152D8" w:rsidRDefault="006F2B81" w:rsidP="009E6F8A">
          <w:pPr>
            <w:tabs>
              <w:tab w:val="right" w:pos="8838"/>
            </w:tabs>
            <w:ind w:left="-28" w:right="-32"/>
            <w:rPr>
              <w:rFonts w:eastAsia="Calibri" w:cs="Tahoma"/>
              <w:b/>
              <w:lang w:val="es-MX"/>
            </w:rPr>
          </w:pPr>
        </w:p>
      </w:tc>
    </w:tr>
  </w:tbl>
  <w:p w14:paraId="0AC850F3" w14:textId="77777777" w:rsidR="006F2B81" w:rsidRDefault="009A22AE" w:rsidP="006F2B81">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84.6pt;margin-top:-138.3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tblGrid>
    <w:tr w:rsidR="006F2B81" w:rsidRPr="009C4626" w14:paraId="03E85E0E" w14:textId="77777777" w:rsidTr="00B823F1">
      <w:trPr>
        <w:trHeight w:val="132"/>
      </w:trPr>
      <w:tc>
        <w:tcPr>
          <w:tcW w:w="2552" w:type="dxa"/>
        </w:tcPr>
        <w:p w14:paraId="67360501" w14:textId="1B94502D" w:rsidR="006F2B81" w:rsidRPr="00E152D8" w:rsidRDefault="006F2B81" w:rsidP="006F2B81">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3827" w:type="dxa"/>
        </w:tcPr>
        <w:p w14:paraId="1E6AD7E0" w14:textId="2C281CEC" w:rsidR="006F2B81" w:rsidRPr="009C4626" w:rsidRDefault="006F2B81" w:rsidP="009C4626">
          <w:pPr>
            <w:tabs>
              <w:tab w:val="right" w:pos="8838"/>
            </w:tabs>
            <w:ind w:left="-111" w:right="-109"/>
            <w:rPr>
              <w:rFonts w:eastAsia="Calibri" w:cs="Tahoma"/>
              <w:lang w:val="es-MX"/>
            </w:rPr>
          </w:pPr>
          <w:r w:rsidRPr="009C4626">
            <w:rPr>
              <w:rFonts w:eastAsia="Calibri" w:cs="Tahoma"/>
              <w:lang w:val="es-MX"/>
            </w:rPr>
            <w:t>0</w:t>
          </w:r>
          <w:r w:rsidR="00085C38">
            <w:rPr>
              <w:rFonts w:eastAsia="Calibri" w:cs="Tahoma"/>
              <w:lang w:val="es-MX"/>
            </w:rPr>
            <w:t>5801</w:t>
          </w:r>
          <w:r w:rsidRPr="009C4626">
            <w:rPr>
              <w:rFonts w:eastAsia="Calibri" w:cs="Tahoma"/>
              <w:lang w:val="es-MX"/>
            </w:rPr>
            <w:t>/INFOEM/IP/RR/2024</w:t>
          </w:r>
        </w:p>
      </w:tc>
    </w:tr>
    <w:tr w:rsidR="006F2B81" w:rsidRPr="00E152D8" w14:paraId="5E1FE5FD" w14:textId="77777777" w:rsidTr="00B823F1">
      <w:trPr>
        <w:trHeight w:val="132"/>
      </w:trPr>
      <w:tc>
        <w:tcPr>
          <w:tcW w:w="2552" w:type="dxa"/>
        </w:tcPr>
        <w:p w14:paraId="046D02FA" w14:textId="77777777" w:rsidR="006F2B81" w:rsidRPr="00E152D8" w:rsidRDefault="006F2B81" w:rsidP="006F2B81">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827" w:type="dxa"/>
        </w:tcPr>
        <w:p w14:paraId="6517D3A9" w14:textId="50E23C1D" w:rsidR="006F2B81" w:rsidRPr="00A301F2" w:rsidRDefault="00A301F2" w:rsidP="006F2B81">
          <w:pPr>
            <w:tabs>
              <w:tab w:val="right" w:pos="8838"/>
            </w:tabs>
            <w:ind w:left="-111" w:right="-109"/>
            <w:rPr>
              <w:rFonts w:eastAsia="Calibri" w:cs="Tahoma"/>
              <w:highlight w:val="black"/>
              <w:lang w:val="es-MX"/>
            </w:rPr>
          </w:pPr>
          <w:r w:rsidRPr="00A301F2">
            <w:rPr>
              <w:rFonts w:eastAsia="Calibri" w:cs="Tahoma"/>
              <w:highlight w:val="black"/>
              <w:lang w:val="es-MX"/>
            </w:rPr>
            <w:t>XXXXXXXXXXXXXXXXXXX</w:t>
          </w:r>
        </w:p>
      </w:tc>
    </w:tr>
    <w:tr w:rsidR="006F2B81" w:rsidRPr="00E152D8" w14:paraId="55B580D4" w14:textId="77777777" w:rsidTr="00B823F1">
      <w:trPr>
        <w:trHeight w:val="261"/>
      </w:trPr>
      <w:tc>
        <w:tcPr>
          <w:tcW w:w="2552" w:type="dxa"/>
        </w:tcPr>
        <w:p w14:paraId="08C714D2" w14:textId="77777777" w:rsidR="006F2B81" w:rsidRPr="00E152D8" w:rsidRDefault="006F2B81" w:rsidP="006F2B8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827" w:type="dxa"/>
        </w:tcPr>
        <w:p w14:paraId="58768412" w14:textId="03017EF9" w:rsidR="006F2B81" w:rsidRPr="00463532" w:rsidRDefault="00085C38" w:rsidP="009C4626">
          <w:pPr>
            <w:tabs>
              <w:tab w:val="right" w:pos="8838"/>
            </w:tabs>
            <w:ind w:left="-111" w:right="-32"/>
            <w:rPr>
              <w:rFonts w:eastAsia="Calibri" w:cs="Tahoma"/>
              <w:lang w:val="es-MX"/>
            </w:rPr>
          </w:pPr>
          <w:r>
            <w:rPr>
              <w:color w:val="000000"/>
            </w:rPr>
            <w:t>Ayuntamiento de Amecameca</w:t>
          </w:r>
        </w:p>
      </w:tc>
    </w:tr>
    <w:tr w:rsidR="006F2B81" w:rsidRPr="00E152D8" w14:paraId="3EC166B6" w14:textId="77777777" w:rsidTr="00B823F1">
      <w:trPr>
        <w:trHeight w:val="261"/>
      </w:trPr>
      <w:tc>
        <w:tcPr>
          <w:tcW w:w="2552" w:type="dxa"/>
        </w:tcPr>
        <w:p w14:paraId="2F1C1A23" w14:textId="77777777" w:rsidR="006F2B81" w:rsidRPr="00E152D8" w:rsidRDefault="006F2B81" w:rsidP="006F2B81">
          <w:pPr>
            <w:tabs>
              <w:tab w:val="right" w:pos="8838"/>
            </w:tabs>
            <w:ind w:right="-105"/>
            <w:rPr>
              <w:rFonts w:eastAsia="Calibri" w:cs="Tahoma"/>
              <w:b/>
              <w:lang w:val="es-MX"/>
            </w:rPr>
          </w:pPr>
          <w:r w:rsidRPr="00E152D8">
            <w:rPr>
              <w:rFonts w:eastAsia="Calibri" w:cs="Tahoma"/>
              <w:b/>
              <w:lang w:val="es-MX"/>
            </w:rPr>
            <w:t>Comisionado Ponente:</w:t>
          </w:r>
        </w:p>
      </w:tc>
      <w:tc>
        <w:tcPr>
          <w:tcW w:w="3827" w:type="dxa"/>
        </w:tcPr>
        <w:p w14:paraId="64237160" w14:textId="77777777" w:rsidR="006F2B81" w:rsidRPr="00E152D8" w:rsidRDefault="006F2B81" w:rsidP="006F2B81">
          <w:pPr>
            <w:tabs>
              <w:tab w:val="right" w:pos="8838"/>
            </w:tabs>
            <w:ind w:left="-111" w:right="-32"/>
            <w:rPr>
              <w:rFonts w:eastAsia="Calibri" w:cs="Tahoma"/>
              <w:b/>
              <w:lang w:val="es-MX"/>
            </w:rPr>
          </w:pPr>
          <w:r w:rsidRPr="00E152D8">
            <w:rPr>
              <w:rFonts w:eastAsia="Calibri" w:cs="Tahoma"/>
              <w:lang w:val="es-MX"/>
            </w:rPr>
            <w:t>Luis Gustavo Parra Noriega</w:t>
          </w:r>
        </w:p>
      </w:tc>
    </w:tr>
  </w:tbl>
  <w:p w14:paraId="1C8E311B" w14:textId="1C645A76" w:rsidR="006F2B81" w:rsidRDefault="009A22AE" w:rsidP="006F2B81">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83.55pt;margin-top:-125.4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071"/>
    <w:multiLevelType w:val="hybridMultilevel"/>
    <w:tmpl w:val="4DD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228DA"/>
    <w:multiLevelType w:val="hybridMultilevel"/>
    <w:tmpl w:val="BFDCF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D33B8"/>
    <w:multiLevelType w:val="hybridMultilevel"/>
    <w:tmpl w:val="B39E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5354A"/>
    <w:multiLevelType w:val="hybridMultilevel"/>
    <w:tmpl w:val="4B1E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8E33762"/>
    <w:multiLevelType w:val="hybridMultilevel"/>
    <w:tmpl w:val="E75EAE1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C32F35"/>
    <w:multiLevelType w:val="hybridMultilevel"/>
    <w:tmpl w:val="7318003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3EC83A4D"/>
    <w:multiLevelType w:val="hybridMultilevel"/>
    <w:tmpl w:val="DC9A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F5CB6"/>
    <w:multiLevelType w:val="hybridMultilevel"/>
    <w:tmpl w:val="F8A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0053EBC"/>
    <w:multiLevelType w:val="hybridMultilevel"/>
    <w:tmpl w:val="D7EE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55B65A3"/>
    <w:multiLevelType w:val="hybridMultilevel"/>
    <w:tmpl w:val="DBBE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7"/>
  </w:num>
  <w:num w:numId="5">
    <w:abstractNumId w:val="16"/>
  </w:num>
  <w:num w:numId="6">
    <w:abstractNumId w:val="6"/>
  </w:num>
  <w:num w:numId="7">
    <w:abstractNumId w:val="12"/>
  </w:num>
  <w:num w:numId="8">
    <w:abstractNumId w:val="6"/>
  </w:num>
  <w:num w:numId="9">
    <w:abstractNumId w:val="10"/>
  </w:num>
  <w:num w:numId="10">
    <w:abstractNumId w:val="6"/>
  </w:num>
  <w:num w:numId="11">
    <w:abstractNumId w:val="3"/>
  </w:num>
  <w:num w:numId="12">
    <w:abstractNumId w:val="9"/>
  </w:num>
  <w:num w:numId="13">
    <w:abstractNumId w:val="0"/>
  </w:num>
  <w:num w:numId="14">
    <w:abstractNumId w:val="15"/>
  </w:num>
  <w:num w:numId="15">
    <w:abstractNumId w:val="1"/>
  </w:num>
  <w:num w:numId="16">
    <w:abstractNumId w:val="2"/>
  </w:num>
  <w:num w:numId="17">
    <w:abstractNumId w:val="1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13F59"/>
    <w:rsid w:val="000144E2"/>
    <w:rsid w:val="00020AB8"/>
    <w:rsid w:val="000222D5"/>
    <w:rsid w:val="0003132E"/>
    <w:rsid w:val="00034C7E"/>
    <w:rsid w:val="00047686"/>
    <w:rsid w:val="00051EE6"/>
    <w:rsid w:val="000615EA"/>
    <w:rsid w:val="00066FDF"/>
    <w:rsid w:val="00071F9E"/>
    <w:rsid w:val="00077B14"/>
    <w:rsid w:val="00081C90"/>
    <w:rsid w:val="000823E5"/>
    <w:rsid w:val="00085C38"/>
    <w:rsid w:val="00092121"/>
    <w:rsid w:val="00094453"/>
    <w:rsid w:val="000964A5"/>
    <w:rsid w:val="000C006D"/>
    <w:rsid w:val="000C3BD0"/>
    <w:rsid w:val="000D30AB"/>
    <w:rsid w:val="000E12E9"/>
    <w:rsid w:val="000E6D07"/>
    <w:rsid w:val="000F5705"/>
    <w:rsid w:val="00104B20"/>
    <w:rsid w:val="00107737"/>
    <w:rsid w:val="001170D2"/>
    <w:rsid w:val="00122140"/>
    <w:rsid w:val="00130A70"/>
    <w:rsid w:val="0013258E"/>
    <w:rsid w:val="00144493"/>
    <w:rsid w:val="001448D9"/>
    <w:rsid w:val="00150187"/>
    <w:rsid w:val="001552DB"/>
    <w:rsid w:val="00160637"/>
    <w:rsid w:val="001613C8"/>
    <w:rsid w:val="001646F8"/>
    <w:rsid w:val="00172038"/>
    <w:rsid w:val="001756F2"/>
    <w:rsid w:val="00182C11"/>
    <w:rsid w:val="00187AAD"/>
    <w:rsid w:val="001914EC"/>
    <w:rsid w:val="00191FDE"/>
    <w:rsid w:val="001928BD"/>
    <w:rsid w:val="00192D56"/>
    <w:rsid w:val="001952CF"/>
    <w:rsid w:val="00196794"/>
    <w:rsid w:val="00197E2A"/>
    <w:rsid w:val="001A5EFF"/>
    <w:rsid w:val="001A60A4"/>
    <w:rsid w:val="001B0790"/>
    <w:rsid w:val="001C2619"/>
    <w:rsid w:val="001C3FF2"/>
    <w:rsid w:val="001D39EC"/>
    <w:rsid w:val="001E01FD"/>
    <w:rsid w:val="001E4133"/>
    <w:rsid w:val="001E478B"/>
    <w:rsid w:val="001E54E9"/>
    <w:rsid w:val="001E699E"/>
    <w:rsid w:val="001E6DE4"/>
    <w:rsid w:val="001F0FC2"/>
    <w:rsid w:val="001F55A5"/>
    <w:rsid w:val="002039F5"/>
    <w:rsid w:val="00206B4A"/>
    <w:rsid w:val="00214C23"/>
    <w:rsid w:val="00215C11"/>
    <w:rsid w:val="00220B1D"/>
    <w:rsid w:val="002259C5"/>
    <w:rsid w:val="0023234F"/>
    <w:rsid w:val="0024708B"/>
    <w:rsid w:val="00265B53"/>
    <w:rsid w:val="002762F3"/>
    <w:rsid w:val="00281566"/>
    <w:rsid w:val="0028211E"/>
    <w:rsid w:val="002864DB"/>
    <w:rsid w:val="00292591"/>
    <w:rsid w:val="002A261A"/>
    <w:rsid w:val="002A5660"/>
    <w:rsid w:val="002A7380"/>
    <w:rsid w:val="002B064E"/>
    <w:rsid w:val="002B0CAA"/>
    <w:rsid w:val="002B206E"/>
    <w:rsid w:val="002B3B3D"/>
    <w:rsid w:val="002C0BE7"/>
    <w:rsid w:val="002D10C3"/>
    <w:rsid w:val="002D2283"/>
    <w:rsid w:val="002D4674"/>
    <w:rsid w:val="002E0C88"/>
    <w:rsid w:val="002E6038"/>
    <w:rsid w:val="002E621B"/>
    <w:rsid w:val="003044BA"/>
    <w:rsid w:val="00304AD6"/>
    <w:rsid w:val="00311C91"/>
    <w:rsid w:val="003128A4"/>
    <w:rsid w:val="0031530F"/>
    <w:rsid w:val="003173B0"/>
    <w:rsid w:val="00324215"/>
    <w:rsid w:val="0033661B"/>
    <w:rsid w:val="00341982"/>
    <w:rsid w:val="003459B3"/>
    <w:rsid w:val="0035104A"/>
    <w:rsid w:val="00355FC7"/>
    <w:rsid w:val="00356A74"/>
    <w:rsid w:val="003573E6"/>
    <w:rsid w:val="0037368C"/>
    <w:rsid w:val="003834B8"/>
    <w:rsid w:val="00392F15"/>
    <w:rsid w:val="003A74A8"/>
    <w:rsid w:val="003B121B"/>
    <w:rsid w:val="003B1CBE"/>
    <w:rsid w:val="003B3CD3"/>
    <w:rsid w:val="003C39F9"/>
    <w:rsid w:val="003C58B1"/>
    <w:rsid w:val="003C7AEA"/>
    <w:rsid w:val="003D0090"/>
    <w:rsid w:val="003E370B"/>
    <w:rsid w:val="003E3B2A"/>
    <w:rsid w:val="00400DC0"/>
    <w:rsid w:val="00404767"/>
    <w:rsid w:val="004061A3"/>
    <w:rsid w:val="004100AC"/>
    <w:rsid w:val="00413BC8"/>
    <w:rsid w:val="00427609"/>
    <w:rsid w:val="00430E8A"/>
    <w:rsid w:val="00433451"/>
    <w:rsid w:val="004339D5"/>
    <w:rsid w:val="00451C54"/>
    <w:rsid w:val="00454CCA"/>
    <w:rsid w:val="00463532"/>
    <w:rsid w:val="00464DA6"/>
    <w:rsid w:val="00494A1F"/>
    <w:rsid w:val="00494ADB"/>
    <w:rsid w:val="004A60ED"/>
    <w:rsid w:val="004A7A38"/>
    <w:rsid w:val="004B54D0"/>
    <w:rsid w:val="004D1039"/>
    <w:rsid w:val="004D7869"/>
    <w:rsid w:val="004E44D2"/>
    <w:rsid w:val="00506114"/>
    <w:rsid w:val="0050747C"/>
    <w:rsid w:val="00512474"/>
    <w:rsid w:val="00520569"/>
    <w:rsid w:val="0054037C"/>
    <w:rsid w:val="00541CD3"/>
    <w:rsid w:val="005439B3"/>
    <w:rsid w:val="00561A2B"/>
    <w:rsid w:val="00563865"/>
    <w:rsid w:val="00571DD3"/>
    <w:rsid w:val="0058579C"/>
    <w:rsid w:val="00585D36"/>
    <w:rsid w:val="0058656F"/>
    <w:rsid w:val="00596110"/>
    <w:rsid w:val="005A50D9"/>
    <w:rsid w:val="005A60F9"/>
    <w:rsid w:val="005A6486"/>
    <w:rsid w:val="005B78CE"/>
    <w:rsid w:val="005C3536"/>
    <w:rsid w:val="005C4EBF"/>
    <w:rsid w:val="005D1AB8"/>
    <w:rsid w:val="005E6021"/>
    <w:rsid w:val="005F71FE"/>
    <w:rsid w:val="005F7AB9"/>
    <w:rsid w:val="00621128"/>
    <w:rsid w:val="0062268E"/>
    <w:rsid w:val="00636809"/>
    <w:rsid w:val="00643BC6"/>
    <w:rsid w:val="006447D4"/>
    <w:rsid w:val="006502FE"/>
    <w:rsid w:val="00657F1C"/>
    <w:rsid w:val="006607EA"/>
    <w:rsid w:val="00667F19"/>
    <w:rsid w:val="006724BD"/>
    <w:rsid w:val="00683E00"/>
    <w:rsid w:val="00686C69"/>
    <w:rsid w:val="00687A5B"/>
    <w:rsid w:val="00695D3F"/>
    <w:rsid w:val="006A198C"/>
    <w:rsid w:val="006A271A"/>
    <w:rsid w:val="006B6510"/>
    <w:rsid w:val="006C291D"/>
    <w:rsid w:val="006C35BB"/>
    <w:rsid w:val="006C5476"/>
    <w:rsid w:val="006D4812"/>
    <w:rsid w:val="006E4CE6"/>
    <w:rsid w:val="006F011A"/>
    <w:rsid w:val="006F26C3"/>
    <w:rsid w:val="006F2B81"/>
    <w:rsid w:val="00703000"/>
    <w:rsid w:val="00704D2E"/>
    <w:rsid w:val="00707185"/>
    <w:rsid w:val="00713850"/>
    <w:rsid w:val="007202EE"/>
    <w:rsid w:val="0074718F"/>
    <w:rsid w:val="007505E8"/>
    <w:rsid w:val="00764809"/>
    <w:rsid w:val="00767F53"/>
    <w:rsid w:val="007727DE"/>
    <w:rsid w:val="00773690"/>
    <w:rsid w:val="00780243"/>
    <w:rsid w:val="00782DF8"/>
    <w:rsid w:val="00782EF0"/>
    <w:rsid w:val="007901A0"/>
    <w:rsid w:val="00790CBB"/>
    <w:rsid w:val="00793CE5"/>
    <w:rsid w:val="007A5636"/>
    <w:rsid w:val="007B215E"/>
    <w:rsid w:val="007B781E"/>
    <w:rsid w:val="007D1ADE"/>
    <w:rsid w:val="007D64DF"/>
    <w:rsid w:val="007D71D0"/>
    <w:rsid w:val="007E5CEA"/>
    <w:rsid w:val="007F20F1"/>
    <w:rsid w:val="007F316A"/>
    <w:rsid w:val="007F5D1D"/>
    <w:rsid w:val="00806DB3"/>
    <w:rsid w:val="00817C75"/>
    <w:rsid w:val="00823825"/>
    <w:rsid w:val="00840587"/>
    <w:rsid w:val="00842C30"/>
    <w:rsid w:val="00844441"/>
    <w:rsid w:val="008456EE"/>
    <w:rsid w:val="00850E31"/>
    <w:rsid w:val="00860287"/>
    <w:rsid w:val="00881BD3"/>
    <w:rsid w:val="00883E3A"/>
    <w:rsid w:val="00886CD4"/>
    <w:rsid w:val="00890729"/>
    <w:rsid w:val="0089388A"/>
    <w:rsid w:val="00894760"/>
    <w:rsid w:val="00894B74"/>
    <w:rsid w:val="00895D35"/>
    <w:rsid w:val="008A3936"/>
    <w:rsid w:val="008A4B54"/>
    <w:rsid w:val="008B1A7D"/>
    <w:rsid w:val="008C16B5"/>
    <w:rsid w:val="008C1A3E"/>
    <w:rsid w:val="008C485C"/>
    <w:rsid w:val="008C576A"/>
    <w:rsid w:val="008C7A9D"/>
    <w:rsid w:val="008E4F87"/>
    <w:rsid w:val="008E5F4B"/>
    <w:rsid w:val="008E6060"/>
    <w:rsid w:val="008F1933"/>
    <w:rsid w:val="008F32A6"/>
    <w:rsid w:val="00903249"/>
    <w:rsid w:val="00911122"/>
    <w:rsid w:val="00911580"/>
    <w:rsid w:val="00916765"/>
    <w:rsid w:val="0093261A"/>
    <w:rsid w:val="0093576C"/>
    <w:rsid w:val="00940F3A"/>
    <w:rsid w:val="00946BA2"/>
    <w:rsid w:val="0095404B"/>
    <w:rsid w:val="00956645"/>
    <w:rsid w:val="0097492D"/>
    <w:rsid w:val="00975E93"/>
    <w:rsid w:val="009A07AE"/>
    <w:rsid w:val="009A22AE"/>
    <w:rsid w:val="009A3066"/>
    <w:rsid w:val="009C4626"/>
    <w:rsid w:val="009C5106"/>
    <w:rsid w:val="009D3479"/>
    <w:rsid w:val="009D41E7"/>
    <w:rsid w:val="009E232C"/>
    <w:rsid w:val="009E6F8A"/>
    <w:rsid w:val="009F450D"/>
    <w:rsid w:val="009F51BE"/>
    <w:rsid w:val="009F7B47"/>
    <w:rsid w:val="00A017B4"/>
    <w:rsid w:val="00A0453B"/>
    <w:rsid w:val="00A055E3"/>
    <w:rsid w:val="00A2050F"/>
    <w:rsid w:val="00A22DBE"/>
    <w:rsid w:val="00A235FA"/>
    <w:rsid w:val="00A255F1"/>
    <w:rsid w:val="00A301F2"/>
    <w:rsid w:val="00A3160A"/>
    <w:rsid w:val="00A37D74"/>
    <w:rsid w:val="00A42674"/>
    <w:rsid w:val="00A47197"/>
    <w:rsid w:val="00A51330"/>
    <w:rsid w:val="00A56556"/>
    <w:rsid w:val="00A64BAC"/>
    <w:rsid w:val="00A74D3A"/>
    <w:rsid w:val="00A900A0"/>
    <w:rsid w:val="00A9029D"/>
    <w:rsid w:val="00A9167D"/>
    <w:rsid w:val="00A94E51"/>
    <w:rsid w:val="00AA0825"/>
    <w:rsid w:val="00AA4DA6"/>
    <w:rsid w:val="00AB2B19"/>
    <w:rsid w:val="00AB477B"/>
    <w:rsid w:val="00AB7D62"/>
    <w:rsid w:val="00AC5EA8"/>
    <w:rsid w:val="00AD7B57"/>
    <w:rsid w:val="00AE0DD2"/>
    <w:rsid w:val="00AE68A4"/>
    <w:rsid w:val="00AF590D"/>
    <w:rsid w:val="00B01457"/>
    <w:rsid w:val="00B0253B"/>
    <w:rsid w:val="00B03A23"/>
    <w:rsid w:val="00B0598B"/>
    <w:rsid w:val="00B10063"/>
    <w:rsid w:val="00B207DF"/>
    <w:rsid w:val="00B21155"/>
    <w:rsid w:val="00B24607"/>
    <w:rsid w:val="00B32270"/>
    <w:rsid w:val="00B3414F"/>
    <w:rsid w:val="00B3689C"/>
    <w:rsid w:val="00B43686"/>
    <w:rsid w:val="00B614AA"/>
    <w:rsid w:val="00B617E5"/>
    <w:rsid w:val="00B61BF0"/>
    <w:rsid w:val="00B72F68"/>
    <w:rsid w:val="00B823F1"/>
    <w:rsid w:val="00B87DDA"/>
    <w:rsid w:val="00B95F59"/>
    <w:rsid w:val="00BA3799"/>
    <w:rsid w:val="00BB2153"/>
    <w:rsid w:val="00BB3910"/>
    <w:rsid w:val="00BB7194"/>
    <w:rsid w:val="00BC30E5"/>
    <w:rsid w:val="00BD5986"/>
    <w:rsid w:val="00BE75BB"/>
    <w:rsid w:val="00C0402C"/>
    <w:rsid w:val="00C14E02"/>
    <w:rsid w:val="00C169DB"/>
    <w:rsid w:val="00C3348B"/>
    <w:rsid w:val="00C35E59"/>
    <w:rsid w:val="00C36D6A"/>
    <w:rsid w:val="00C47955"/>
    <w:rsid w:val="00C50842"/>
    <w:rsid w:val="00C555B3"/>
    <w:rsid w:val="00C60547"/>
    <w:rsid w:val="00C71C92"/>
    <w:rsid w:val="00C74B0A"/>
    <w:rsid w:val="00C76543"/>
    <w:rsid w:val="00C76624"/>
    <w:rsid w:val="00C867B6"/>
    <w:rsid w:val="00C92269"/>
    <w:rsid w:val="00CA1FFA"/>
    <w:rsid w:val="00CA5661"/>
    <w:rsid w:val="00CB14D9"/>
    <w:rsid w:val="00CB7980"/>
    <w:rsid w:val="00CC3B02"/>
    <w:rsid w:val="00CC519B"/>
    <w:rsid w:val="00CD3EE5"/>
    <w:rsid w:val="00CE0477"/>
    <w:rsid w:val="00CF5BEA"/>
    <w:rsid w:val="00D01379"/>
    <w:rsid w:val="00D249EE"/>
    <w:rsid w:val="00D26876"/>
    <w:rsid w:val="00D350E0"/>
    <w:rsid w:val="00D4257C"/>
    <w:rsid w:val="00D47421"/>
    <w:rsid w:val="00D502AB"/>
    <w:rsid w:val="00D56F7F"/>
    <w:rsid w:val="00D646C1"/>
    <w:rsid w:val="00D84796"/>
    <w:rsid w:val="00D977FD"/>
    <w:rsid w:val="00DA0A67"/>
    <w:rsid w:val="00DA4C87"/>
    <w:rsid w:val="00DB73AD"/>
    <w:rsid w:val="00DC3802"/>
    <w:rsid w:val="00DC6ABD"/>
    <w:rsid w:val="00DD6B70"/>
    <w:rsid w:val="00DD6E79"/>
    <w:rsid w:val="00DD7A69"/>
    <w:rsid w:val="00DE13E6"/>
    <w:rsid w:val="00E000AA"/>
    <w:rsid w:val="00E003E9"/>
    <w:rsid w:val="00E075E2"/>
    <w:rsid w:val="00E10653"/>
    <w:rsid w:val="00E25189"/>
    <w:rsid w:val="00E36E12"/>
    <w:rsid w:val="00E40057"/>
    <w:rsid w:val="00E46905"/>
    <w:rsid w:val="00E511FA"/>
    <w:rsid w:val="00E6118C"/>
    <w:rsid w:val="00E6273A"/>
    <w:rsid w:val="00E671EB"/>
    <w:rsid w:val="00E67585"/>
    <w:rsid w:val="00E70445"/>
    <w:rsid w:val="00E75711"/>
    <w:rsid w:val="00E76612"/>
    <w:rsid w:val="00E84509"/>
    <w:rsid w:val="00E84FAD"/>
    <w:rsid w:val="00E96382"/>
    <w:rsid w:val="00EA0E69"/>
    <w:rsid w:val="00EA1820"/>
    <w:rsid w:val="00EA421F"/>
    <w:rsid w:val="00EA523B"/>
    <w:rsid w:val="00EA772C"/>
    <w:rsid w:val="00EB583D"/>
    <w:rsid w:val="00EB6538"/>
    <w:rsid w:val="00EC77D9"/>
    <w:rsid w:val="00ED13CA"/>
    <w:rsid w:val="00EE6AAF"/>
    <w:rsid w:val="00F10CB5"/>
    <w:rsid w:val="00F15472"/>
    <w:rsid w:val="00F21EE0"/>
    <w:rsid w:val="00F27576"/>
    <w:rsid w:val="00F30ED4"/>
    <w:rsid w:val="00F41B18"/>
    <w:rsid w:val="00F66D78"/>
    <w:rsid w:val="00F67477"/>
    <w:rsid w:val="00F75F69"/>
    <w:rsid w:val="00F84FF3"/>
    <w:rsid w:val="00F86257"/>
    <w:rsid w:val="00F967B1"/>
    <w:rsid w:val="00FA29C4"/>
    <w:rsid w:val="00FA65FF"/>
    <w:rsid w:val="00FA7798"/>
    <w:rsid w:val="00FB53E5"/>
    <w:rsid w:val="00FB56C6"/>
    <w:rsid w:val="00FB7385"/>
    <w:rsid w:val="00FD11C2"/>
    <w:rsid w:val="00FD569A"/>
    <w:rsid w:val="00FF3CA6"/>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57C"/>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46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77099815">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37831010">
      <w:bodyDiv w:val="1"/>
      <w:marLeft w:val="0"/>
      <w:marRight w:val="0"/>
      <w:marTop w:val="0"/>
      <w:marBottom w:val="0"/>
      <w:divBdr>
        <w:top w:val="none" w:sz="0" w:space="0" w:color="auto"/>
        <w:left w:val="none" w:sz="0" w:space="0" w:color="auto"/>
        <w:bottom w:val="none" w:sz="0" w:space="0" w:color="auto"/>
        <w:right w:val="none" w:sz="0" w:space="0" w:color="auto"/>
      </w:divBdr>
    </w:div>
    <w:div w:id="315575846">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2866565">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494151247">
      <w:bodyDiv w:val="1"/>
      <w:marLeft w:val="0"/>
      <w:marRight w:val="0"/>
      <w:marTop w:val="0"/>
      <w:marBottom w:val="0"/>
      <w:divBdr>
        <w:top w:val="none" w:sz="0" w:space="0" w:color="auto"/>
        <w:left w:val="none" w:sz="0" w:space="0" w:color="auto"/>
        <w:bottom w:val="none" w:sz="0" w:space="0" w:color="auto"/>
        <w:right w:val="none" w:sz="0" w:space="0" w:color="auto"/>
      </w:divBdr>
    </w:div>
    <w:div w:id="52193996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24612257">
      <w:bodyDiv w:val="1"/>
      <w:marLeft w:val="0"/>
      <w:marRight w:val="0"/>
      <w:marTop w:val="0"/>
      <w:marBottom w:val="0"/>
      <w:divBdr>
        <w:top w:val="none" w:sz="0" w:space="0" w:color="auto"/>
        <w:left w:val="none" w:sz="0" w:space="0" w:color="auto"/>
        <w:bottom w:val="none" w:sz="0" w:space="0" w:color="auto"/>
        <w:right w:val="none" w:sz="0" w:space="0" w:color="auto"/>
      </w:divBdr>
    </w:div>
    <w:div w:id="965549259">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4360123">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9886992">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5436364">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30599464">
      <w:bodyDiv w:val="1"/>
      <w:marLeft w:val="0"/>
      <w:marRight w:val="0"/>
      <w:marTop w:val="0"/>
      <w:marBottom w:val="0"/>
      <w:divBdr>
        <w:top w:val="none" w:sz="0" w:space="0" w:color="auto"/>
        <w:left w:val="none" w:sz="0" w:space="0" w:color="auto"/>
        <w:bottom w:val="none" w:sz="0" w:space="0" w:color="auto"/>
        <w:right w:val="none" w:sz="0" w:space="0" w:color="auto"/>
      </w:divBdr>
    </w:div>
    <w:div w:id="1360352299">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98294300">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1052884">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8726157">
      <w:bodyDiv w:val="1"/>
      <w:marLeft w:val="0"/>
      <w:marRight w:val="0"/>
      <w:marTop w:val="0"/>
      <w:marBottom w:val="0"/>
      <w:divBdr>
        <w:top w:val="none" w:sz="0" w:space="0" w:color="auto"/>
        <w:left w:val="none" w:sz="0" w:space="0" w:color="auto"/>
        <w:bottom w:val="none" w:sz="0" w:space="0" w:color="auto"/>
        <w:right w:val="none" w:sz="0" w:space="0" w:color="auto"/>
      </w:divBdr>
    </w:div>
    <w:div w:id="174575980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3404945">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EA36-26FA-448B-B827-33FED982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4856</Words>
  <Characters>26711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roxheart97@gmail.com</cp:lastModifiedBy>
  <cp:revision>3</cp:revision>
  <dcterms:created xsi:type="dcterms:W3CDTF">2024-10-21T16:54:00Z</dcterms:created>
  <dcterms:modified xsi:type="dcterms:W3CDTF">2024-10-25T04:06:00Z</dcterms:modified>
</cp:coreProperties>
</file>