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A0C8" w14:textId="77777777" w:rsidR="00083D6C" w:rsidRDefault="00083D6C">
      <w:pPr>
        <w:widowControl w:val="0"/>
        <w:pBdr>
          <w:top w:val="nil"/>
          <w:left w:val="nil"/>
          <w:bottom w:val="nil"/>
          <w:right w:val="nil"/>
          <w:between w:val="nil"/>
        </w:pBdr>
        <w:spacing w:line="276" w:lineRule="auto"/>
      </w:pPr>
    </w:p>
    <w:p w14:paraId="21D815A4" w14:textId="77777777" w:rsidR="00083D6C" w:rsidRDefault="00083D6C">
      <w:pPr>
        <w:spacing w:line="360" w:lineRule="auto"/>
        <w:jc w:val="both"/>
        <w:rPr>
          <w:b/>
        </w:rPr>
      </w:pPr>
    </w:p>
    <w:p w14:paraId="79C2E727"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dieciséis de octubre de dos mil veinticuatro. </w:t>
      </w:r>
    </w:p>
    <w:p w14:paraId="452AB44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12541F55"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Pr>
          <w:rFonts w:ascii="Palatino Linotype" w:eastAsia="Palatino Linotype" w:hAnsi="Palatino Linotype" w:cs="Palatino Linotype"/>
          <w:b/>
          <w:color w:val="000000"/>
          <w:sz w:val="22"/>
          <w:szCs w:val="22"/>
        </w:rPr>
        <w:t xml:space="preserve">01046/INFOEM/IP/RR/2024 </w:t>
      </w:r>
      <w:r>
        <w:rPr>
          <w:rFonts w:ascii="Palatino Linotype" w:eastAsia="Palatino Linotype" w:hAnsi="Palatino Linotype" w:cs="Palatino Linotype"/>
          <w:color w:val="000000"/>
          <w:sz w:val="22"/>
          <w:szCs w:val="22"/>
        </w:rPr>
        <w:t xml:space="preserve">interpuesto por </w:t>
      </w:r>
      <w:r w:rsidR="00F05210" w:rsidRPr="00F05210">
        <w:rPr>
          <w:rFonts w:ascii="Palatino Linotype" w:eastAsia="Palatino Linotype" w:hAnsi="Palatino Linotype" w:cs="Palatino Linotype"/>
          <w:b/>
          <w:color w:val="000000"/>
          <w:sz w:val="22"/>
          <w:szCs w:val="22"/>
          <w:highlight w:val="black"/>
        </w:rPr>
        <w:t>XXXXXXXXXXXXXXX</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respuesta del Sujeto Obligado, </w:t>
      </w:r>
      <w:r>
        <w:rPr>
          <w:rFonts w:ascii="Palatino Linotype" w:eastAsia="Palatino Linotype" w:hAnsi="Palatino Linotype" w:cs="Palatino Linotype"/>
          <w:b/>
          <w:sz w:val="22"/>
          <w:szCs w:val="22"/>
        </w:rPr>
        <w:t>Ayuntamiento de Toluca</w:t>
      </w:r>
      <w:r>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14:paraId="4042B12F" w14:textId="77777777" w:rsidR="00083D6C" w:rsidRDefault="00083D6C">
      <w:pPr>
        <w:tabs>
          <w:tab w:val="left" w:pos="2835"/>
        </w:tabs>
        <w:spacing w:line="360" w:lineRule="auto"/>
        <w:ind w:right="-93"/>
        <w:jc w:val="both"/>
        <w:rPr>
          <w:rFonts w:ascii="Palatino Linotype" w:eastAsia="Palatino Linotype" w:hAnsi="Palatino Linotype" w:cs="Palatino Linotype"/>
          <w:sz w:val="22"/>
          <w:szCs w:val="22"/>
        </w:rPr>
      </w:pPr>
    </w:p>
    <w:p w14:paraId="59941F7B" w14:textId="77777777" w:rsidR="00083D6C" w:rsidRDefault="00EC07DE">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22888F7F" w14:textId="77777777" w:rsidR="00083D6C" w:rsidRDefault="00083D6C">
      <w:pPr>
        <w:spacing w:line="360" w:lineRule="auto"/>
        <w:ind w:right="-93"/>
        <w:jc w:val="both"/>
        <w:rPr>
          <w:rFonts w:ascii="Palatino Linotype" w:eastAsia="Palatino Linotype" w:hAnsi="Palatino Linotype" w:cs="Palatino Linotype"/>
          <w:sz w:val="22"/>
          <w:szCs w:val="22"/>
        </w:rPr>
      </w:pPr>
    </w:p>
    <w:p w14:paraId="6BF5BE7F" w14:textId="77777777" w:rsidR="00083D6C" w:rsidRDefault="00EC07DE">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14:paraId="4D99F34A" w14:textId="77777777" w:rsidR="00083D6C" w:rsidRDefault="00083D6C">
      <w:pPr>
        <w:tabs>
          <w:tab w:val="left" w:pos="567"/>
        </w:tabs>
        <w:spacing w:line="360" w:lineRule="auto"/>
        <w:jc w:val="both"/>
        <w:rPr>
          <w:rFonts w:ascii="Palatino Linotype" w:eastAsia="Palatino Linotype" w:hAnsi="Palatino Linotype" w:cs="Palatino Linotype"/>
          <w:sz w:val="22"/>
          <w:szCs w:val="22"/>
        </w:rPr>
      </w:pPr>
    </w:p>
    <w:p w14:paraId="2617401E"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veintidós de enero de dos mil veinticuatro, el Particular presentó una solicitud de acceso a la información pública, a través del Sistema de Acceso a la Información Mexiquense, en lo sucesivo el SAIMEX, ante el </w:t>
      </w:r>
      <w:r>
        <w:rPr>
          <w:rFonts w:ascii="Palatino Linotype" w:eastAsia="Palatino Linotype" w:hAnsi="Palatino Linotype" w:cs="Palatino Linotype"/>
          <w:sz w:val="22"/>
          <w:szCs w:val="22"/>
        </w:rPr>
        <w:t>Ayuntamiento de Toluca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en la que requirió:</w:t>
      </w:r>
    </w:p>
    <w:p w14:paraId="65037764" w14:textId="77777777" w:rsidR="00083D6C" w:rsidRDefault="00083D6C">
      <w:pPr>
        <w:spacing w:line="360" w:lineRule="auto"/>
        <w:ind w:right="567"/>
        <w:rPr>
          <w:rFonts w:ascii="Palatino Linotype" w:eastAsia="Palatino Linotype" w:hAnsi="Palatino Linotype" w:cs="Palatino Linotype"/>
          <w:b/>
          <w:sz w:val="22"/>
          <w:szCs w:val="22"/>
        </w:rPr>
      </w:pPr>
    </w:p>
    <w:p w14:paraId="510835E2" w14:textId="77777777" w:rsidR="00083D6C" w:rsidRDefault="00EC07DE">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00110/TOLUCA/IP/2024</w:t>
      </w:r>
    </w:p>
    <w:p w14:paraId="4307F0EC" w14:textId="77777777" w:rsidR="00083D6C" w:rsidRDefault="00EC07DE">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22B27510" w14:textId="77777777" w:rsidR="00083D6C" w:rsidRDefault="00EC07DE">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los oficios firmados por el director de administración del periodo enero-febrero 2020”</w:t>
      </w:r>
    </w:p>
    <w:p w14:paraId="3341ACCC" w14:textId="77777777" w:rsidR="00083D6C" w:rsidRDefault="00083D6C">
      <w:pPr>
        <w:tabs>
          <w:tab w:val="left" w:pos="567"/>
        </w:tabs>
        <w:spacing w:line="360" w:lineRule="auto"/>
        <w:ind w:left="567" w:right="567"/>
        <w:rPr>
          <w:rFonts w:ascii="Palatino Linotype" w:eastAsia="Palatino Linotype" w:hAnsi="Palatino Linotype" w:cs="Palatino Linotype"/>
          <w:i/>
        </w:rPr>
      </w:pPr>
    </w:p>
    <w:p w14:paraId="798EDA9C" w14:textId="77777777" w:rsidR="00083D6C" w:rsidRDefault="00EC07D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MODALIDAD DE ENTREGA</w:t>
      </w:r>
    </w:p>
    <w:p w14:paraId="78657DF7" w14:textId="77777777" w:rsidR="00083D6C" w:rsidRDefault="00EC07D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través del SAIMEX”</w:t>
      </w:r>
    </w:p>
    <w:p w14:paraId="689E7120" w14:textId="77777777" w:rsidR="00083D6C" w:rsidRDefault="00083D6C">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p>
    <w:p w14:paraId="2166D755" w14:textId="77777777" w:rsidR="00083D6C" w:rsidRDefault="00EC07DE">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Prórroga para atender su solicitud de información</w:t>
      </w:r>
    </w:p>
    <w:p w14:paraId="015F9147" w14:textId="77777777" w:rsidR="00083D6C" w:rsidRDefault="00083D6C">
      <w:pPr>
        <w:tabs>
          <w:tab w:val="left" w:pos="4667"/>
        </w:tabs>
        <w:spacing w:line="360" w:lineRule="auto"/>
        <w:jc w:val="both"/>
        <w:rPr>
          <w:rFonts w:ascii="Palatino Linotype" w:eastAsia="Palatino Linotype" w:hAnsi="Palatino Linotype" w:cs="Palatino Linotype"/>
          <w:b/>
          <w:sz w:val="22"/>
          <w:szCs w:val="22"/>
        </w:rPr>
      </w:pPr>
    </w:p>
    <w:p w14:paraId="4A550983" w14:textId="77777777" w:rsidR="00083D6C" w:rsidRDefault="00EC07DE">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doce de febrero de dos mil veinticuatro, el Sujeto Obligado, a través de SAIMEX notificó el Acta de la Sexagésima Segunda Sesión Extraordinaria del Comité de Transparencia del Sujeto Obligado, del veintinueve de enero del mismo año, suscrita por el Comité de Transparencia del Sujeto Obligado, mediante la cual se aprobó la ampliación de término de término para atender la solicitud de información. </w:t>
      </w:r>
    </w:p>
    <w:p w14:paraId="3B5AD3B0" w14:textId="77777777" w:rsidR="00083D6C" w:rsidRDefault="00083D6C">
      <w:pPr>
        <w:spacing w:line="360" w:lineRule="auto"/>
        <w:jc w:val="both"/>
        <w:rPr>
          <w:rFonts w:ascii="Palatino Linotype" w:eastAsia="Palatino Linotype" w:hAnsi="Palatino Linotype" w:cs="Palatino Linotype"/>
          <w:b/>
          <w:color w:val="000000"/>
          <w:sz w:val="22"/>
          <w:szCs w:val="22"/>
        </w:rPr>
      </w:pPr>
    </w:p>
    <w:p w14:paraId="2677D7DD"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Respuesta del Sujeto Obligado</w:t>
      </w:r>
    </w:p>
    <w:p w14:paraId="5EA0F35A" w14:textId="77777777" w:rsidR="00083D6C" w:rsidRDefault="00083D6C">
      <w:pPr>
        <w:spacing w:line="360" w:lineRule="auto"/>
        <w:jc w:val="both"/>
        <w:rPr>
          <w:rFonts w:ascii="Palatino Linotype" w:eastAsia="Palatino Linotype" w:hAnsi="Palatino Linotype" w:cs="Palatino Linotype"/>
          <w:b/>
          <w:color w:val="000000"/>
          <w:sz w:val="22"/>
          <w:szCs w:val="22"/>
        </w:rPr>
      </w:pPr>
    </w:p>
    <w:p w14:paraId="5FA4BB21" w14:textId="77777777" w:rsidR="00083D6C" w:rsidRDefault="00EC07DE">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veintidós de febrero de dos mil veinticuatro, el Sujeto Obligado notificó la respuesta a la solicitud de acceso a la información, a través del SAIMEX, en los siguientes términos: </w:t>
      </w:r>
    </w:p>
    <w:p w14:paraId="4DABCF5B" w14:textId="77777777" w:rsidR="00083D6C" w:rsidRDefault="00083D6C">
      <w:pPr>
        <w:tabs>
          <w:tab w:val="left" w:pos="567"/>
        </w:tabs>
        <w:spacing w:line="360" w:lineRule="auto"/>
        <w:jc w:val="both"/>
        <w:rPr>
          <w:rFonts w:ascii="Palatino Linotype" w:eastAsia="Palatino Linotype" w:hAnsi="Palatino Linotype" w:cs="Palatino Linotype"/>
          <w:sz w:val="22"/>
          <w:szCs w:val="22"/>
        </w:rPr>
      </w:pPr>
    </w:p>
    <w:p w14:paraId="533EC540" w14:textId="77777777" w:rsidR="00083D6C" w:rsidRDefault="00EC07DE">
      <w:pPr>
        <w:numPr>
          <w:ilvl w:val="0"/>
          <w:numId w:val="4"/>
        </w:numPr>
        <w:pBdr>
          <w:top w:val="nil"/>
          <w:left w:val="nil"/>
          <w:bottom w:val="nil"/>
          <w:right w:val="nil"/>
          <w:between w:val="nil"/>
        </w:pBdr>
        <w:tabs>
          <w:tab w:val="left" w:pos="567"/>
        </w:tabs>
        <w:spacing w:line="360" w:lineRule="auto"/>
        <w:ind w:left="3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Acta 142 Sesión Extraordinaria 2024.pdf; </w:t>
      </w:r>
      <w:r>
        <w:rPr>
          <w:rFonts w:ascii="Palatino Linotype" w:eastAsia="Palatino Linotype" w:hAnsi="Palatino Linotype" w:cs="Palatino Linotype"/>
          <w:color w:val="000000"/>
          <w:sz w:val="22"/>
          <w:szCs w:val="22"/>
        </w:rPr>
        <w:t xml:space="preserve">de la que se advierte el Acta de la centésima cuadragésima segunda sesión extraordinaria 2024 del Comité de Transparencia en el que aprobó la clasificación de información confidencial de forma parcial, correspondiente a datos personales y la reserva en su totalidad de los oficios firmados por el Director General de Administración, dirigidos a la Dirección General de Seguridad y Protección Civil y Contraloría municipal de enero a marzo 2019 y de enero a octubre de 2020, diciembre de 2023 y enero de 2024; lo anterior para atender diversas solicitudes entre las que se localiza la que nos ocupa. </w:t>
      </w:r>
    </w:p>
    <w:p w14:paraId="2A22175F" w14:textId="77777777" w:rsidR="00083D6C" w:rsidRDefault="00083D6C">
      <w:pPr>
        <w:pBdr>
          <w:top w:val="nil"/>
          <w:left w:val="nil"/>
          <w:bottom w:val="nil"/>
          <w:right w:val="nil"/>
          <w:between w:val="nil"/>
        </w:pBdr>
        <w:tabs>
          <w:tab w:val="left" w:pos="567"/>
        </w:tabs>
        <w:spacing w:line="360" w:lineRule="auto"/>
        <w:ind w:left="357"/>
        <w:jc w:val="both"/>
        <w:rPr>
          <w:rFonts w:ascii="Palatino Linotype" w:eastAsia="Palatino Linotype" w:hAnsi="Palatino Linotype" w:cs="Palatino Linotype"/>
          <w:b/>
          <w:color w:val="000000"/>
          <w:sz w:val="22"/>
          <w:szCs w:val="22"/>
        </w:rPr>
      </w:pPr>
    </w:p>
    <w:p w14:paraId="78E7594C" w14:textId="77777777" w:rsidR="00083D6C" w:rsidRDefault="00EC07DE">
      <w:pPr>
        <w:numPr>
          <w:ilvl w:val="0"/>
          <w:numId w:val="4"/>
        </w:numPr>
        <w:pBdr>
          <w:top w:val="nil"/>
          <w:left w:val="nil"/>
          <w:bottom w:val="nil"/>
          <w:right w:val="nil"/>
          <w:between w:val="nil"/>
        </w:pBdr>
        <w:tabs>
          <w:tab w:val="left" w:pos="567"/>
        </w:tabs>
        <w:spacing w:line="360" w:lineRule="auto"/>
        <w:ind w:left="3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oficios </w:t>
      </w:r>
      <w:proofErr w:type="spellStart"/>
      <w:r>
        <w:rPr>
          <w:rFonts w:ascii="Palatino Linotype" w:eastAsia="Palatino Linotype" w:hAnsi="Palatino Linotype" w:cs="Palatino Linotype"/>
          <w:b/>
          <w:color w:val="000000"/>
          <w:sz w:val="22"/>
          <w:szCs w:val="22"/>
        </w:rPr>
        <w:t>dga</w:t>
      </w:r>
      <w:proofErr w:type="spellEnd"/>
      <w:r>
        <w:rPr>
          <w:rFonts w:ascii="Palatino Linotype" w:eastAsia="Palatino Linotype" w:hAnsi="Palatino Linotype" w:cs="Palatino Linotype"/>
          <w:b/>
          <w:color w:val="000000"/>
          <w:sz w:val="22"/>
          <w:szCs w:val="22"/>
        </w:rPr>
        <w:t xml:space="preserve"> enero y febrero 2020 vp_redacted.pdf; </w:t>
      </w:r>
      <w:r>
        <w:rPr>
          <w:rFonts w:ascii="Palatino Linotype" w:eastAsia="Palatino Linotype" w:hAnsi="Palatino Linotype" w:cs="Palatino Linotype"/>
          <w:color w:val="000000"/>
          <w:sz w:val="22"/>
          <w:szCs w:val="22"/>
        </w:rPr>
        <w:t>en el que se observan 668 páginas de diversos oficios suscritos por el Director General de Administración que van del periodo de enero a febrero del año 2020; y del que se aprecia que no aparecen todos los números de oficio consecutivos, y del que se aprecia que no se testaron datos personales.</w:t>
      </w:r>
    </w:p>
    <w:p w14:paraId="5E59A4E1" w14:textId="77777777" w:rsidR="00083D6C" w:rsidRDefault="00EC07DE">
      <w:pPr>
        <w:numPr>
          <w:ilvl w:val="0"/>
          <w:numId w:val="4"/>
        </w:numPr>
        <w:pBdr>
          <w:top w:val="nil"/>
          <w:left w:val="nil"/>
          <w:bottom w:val="nil"/>
          <w:right w:val="nil"/>
          <w:between w:val="nil"/>
        </w:pBdr>
        <w:tabs>
          <w:tab w:val="left" w:pos="567"/>
        </w:tabs>
        <w:spacing w:line="360" w:lineRule="auto"/>
        <w:ind w:left="3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Respuesta 110.pdf; </w:t>
      </w:r>
      <w:r>
        <w:rPr>
          <w:rFonts w:ascii="Palatino Linotype" w:eastAsia="Palatino Linotype" w:hAnsi="Palatino Linotype" w:cs="Palatino Linotype"/>
          <w:color w:val="000000"/>
          <w:sz w:val="22"/>
          <w:szCs w:val="22"/>
        </w:rPr>
        <w:t>oficio suscrito por la Titular de la Unidad de Transparencia, en el que señaló que la Dirección General de Administración informó que remitió todos los oficios que obran en sus archivos del mes de enero y febrero de 2020 y que se remiten en versión pública.</w:t>
      </w:r>
    </w:p>
    <w:p w14:paraId="301737B6" w14:textId="77777777" w:rsidR="00083D6C" w:rsidRDefault="00083D6C">
      <w:pPr>
        <w:tabs>
          <w:tab w:val="left" w:pos="567"/>
        </w:tabs>
        <w:spacing w:line="360" w:lineRule="auto"/>
        <w:jc w:val="both"/>
        <w:rPr>
          <w:rFonts w:ascii="Palatino Linotype" w:eastAsia="Palatino Linotype" w:hAnsi="Palatino Linotype" w:cs="Palatino Linotype"/>
          <w:sz w:val="22"/>
          <w:szCs w:val="22"/>
        </w:rPr>
      </w:pPr>
    </w:p>
    <w:p w14:paraId="05C11125"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Interposición del Recurso de Revisión</w:t>
      </w:r>
    </w:p>
    <w:p w14:paraId="5ABB6B9E" w14:textId="77777777" w:rsidR="00083D6C" w:rsidRDefault="00083D6C">
      <w:pPr>
        <w:spacing w:line="360" w:lineRule="auto"/>
        <w:jc w:val="both"/>
        <w:rPr>
          <w:rFonts w:ascii="Palatino Linotype" w:eastAsia="Palatino Linotype" w:hAnsi="Palatino Linotype" w:cs="Palatino Linotype"/>
          <w:b/>
          <w:color w:val="000000"/>
          <w:sz w:val="22"/>
          <w:szCs w:val="22"/>
        </w:rPr>
      </w:pPr>
    </w:p>
    <w:p w14:paraId="631C688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veintiséis de febrero de dos mil veinticuatro, se recibió en este Instituto, a través del SAIMEX, el Recurso de Revisión interpuesto por el Particular, en los siguientes términos:</w:t>
      </w:r>
    </w:p>
    <w:p w14:paraId="53E41FD2" w14:textId="77777777" w:rsidR="00083D6C" w:rsidRDefault="00083D6C">
      <w:pPr>
        <w:spacing w:line="360" w:lineRule="auto"/>
        <w:jc w:val="both"/>
        <w:rPr>
          <w:rFonts w:ascii="Palatino Linotype" w:eastAsia="Palatino Linotype" w:hAnsi="Palatino Linotype" w:cs="Palatino Linotype"/>
          <w:sz w:val="22"/>
          <w:szCs w:val="22"/>
        </w:rPr>
      </w:pPr>
    </w:p>
    <w:p w14:paraId="71A5AE60" w14:textId="77777777" w:rsidR="00083D6C" w:rsidRDefault="00EC07DE">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7C1F9913" w14:textId="77777777" w:rsidR="00083D6C" w:rsidRDefault="00EC07DE">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“la respuesta”</w:t>
      </w:r>
    </w:p>
    <w:p w14:paraId="63406603" w14:textId="77777777" w:rsidR="00083D6C" w:rsidRDefault="00083D6C">
      <w:pPr>
        <w:spacing w:line="360" w:lineRule="auto"/>
        <w:ind w:left="567" w:right="537"/>
        <w:jc w:val="both"/>
        <w:rPr>
          <w:rFonts w:ascii="Palatino Linotype" w:eastAsia="Palatino Linotype" w:hAnsi="Palatino Linotype" w:cs="Palatino Linotype"/>
        </w:rPr>
      </w:pPr>
    </w:p>
    <w:p w14:paraId="38966186" w14:textId="77777777" w:rsidR="00083D6C" w:rsidRDefault="00EC07DE">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7C2822C0" w14:textId="77777777" w:rsidR="00083D6C" w:rsidRDefault="00EC07DE">
      <w:pPr>
        <w:tabs>
          <w:tab w:val="left" w:pos="4667"/>
        </w:tabs>
        <w:spacing w:line="360" w:lineRule="auto"/>
        <w:ind w:left="567" w:right="537"/>
        <w:jc w:val="both"/>
        <w:rPr>
          <w:rFonts w:ascii="Palatino Linotype" w:eastAsia="Palatino Linotype" w:hAnsi="Palatino Linotype" w:cs="Palatino Linotype"/>
        </w:rPr>
      </w:pPr>
      <w:r>
        <w:rPr>
          <w:rFonts w:ascii="Palatino Linotype" w:eastAsia="Palatino Linotype" w:hAnsi="Palatino Linotype" w:cs="Palatino Linotype"/>
          <w:i/>
        </w:rPr>
        <w:t xml:space="preserve">“no entregan todo lo solicitado, la respuesta no </w:t>
      </w:r>
      <w:proofErr w:type="spellStart"/>
      <w:r>
        <w:rPr>
          <w:rFonts w:ascii="Palatino Linotype" w:eastAsia="Palatino Linotype" w:hAnsi="Palatino Linotype" w:cs="Palatino Linotype"/>
          <w:i/>
        </w:rPr>
        <w:t>esta</w:t>
      </w:r>
      <w:proofErr w:type="spellEnd"/>
      <w:r>
        <w:rPr>
          <w:rFonts w:ascii="Palatino Linotype" w:eastAsia="Palatino Linotype" w:hAnsi="Palatino Linotype" w:cs="Palatino Linotype"/>
          <w:i/>
        </w:rPr>
        <w:t xml:space="preserve"> fundada, motivada, ni orientada a los oficios que omiten, ni los datos personales que trataron en su caso” (Sic.)</w:t>
      </w:r>
    </w:p>
    <w:p w14:paraId="2ACA0E1F" w14:textId="77777777" w:rsidR="00083D6C" w:rsidRDefault="00083D6C">
      <w:pPr>
        <w:tabs>
          <w:tab w:val="left" w:pos="4667"/>
        </w:tabs>
        <w:spacing w:line="360" w:lineRule="auto"/>
        <w:ind w:left="567" w:right="537"/>
        <w:jc w:val="both"/>
        <w:rPr>
          <w:rFonts w:ascii="Palatino Linotype" w:eastAsia="Palatino Linotype" w:hAnsi="Palatino Linotype" w:cs="Palatino Linotype"/>
          <w:i/>
          <w:sz w:val="22"/>
          <w:szCs w:val="22"/>
        </w:rPr>
      </w:pPr>
    </w:p>
    <w:p w14:paraId="248C842B"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V. Trámite del Recurso de Revisión ante el Instituto</w:t>
      </w:r>
    </w:p>
    <w:p w14:paraId="3DB73558"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8865500"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Medio de Impugnación. </w:t>
      </w:r>
      <w:r>
        <w:rPr>
          <w:rFonts w:ascii="Palatino Linotype" w:eastAsia="Palatino Linotype" w:hAnsi="Palatino Linotype" w:cs="Palatino Linotype"/>
          <w:color w:val="000000"/>
          <w:sz w:val="22"/>
          <w:szCs w:val="22"/>
        </w:rPr>
        <w:t xml:space="preserve">El veintiséis de febrero de dos mil veinticuatro, el SAIMEX, asignó el número de expediente </w:t>
      </w:r>
      <w:r>
        <w:rPr>
          <w:rFonts w:ascii="Palatino Linotype" w:eastAsia="Palatino Linotype" w:hAnsi="Palatino Linotype" w:cs="Palatino Linotype"/>
          <w:b/>
          <w:color w:val="000000"/>
          <w:sz w:val="22"/>
          <w:szCs w:val="22"/>
        </w:rPr>
        <w:t xml:space="preserve">01046/INFOEM/IP/RR/2024, </w:t>
      </w:r>
      <w:r>
        <w:rPr>
          <w:rFonts w:ascii="Palatino Linotype" w:eastAsia="Palatino Linotype" w:hAnsi="Palatino Linotype" w:cs="Palatino Linotype"/>
          <w:color w:val="000000"/>
          <w:sz w:val="22"/>
          <w:szCs w:val="22"/>
        </w:rPr>
        <w:t>al medio de impugnación que nos ocupan, con base en el sistema aprobado por el Pleno de este Organismo Garante y se turnó al Comisionado Ponente Luis Gustavo Parra Noriega, para los efectos del artículo 185, fracción I de la Ley de Transparencia y Acceso a la Información Pública del Estado de México y Municipios.</w:t>
      </w:r>
    </w:p>
    <w:p w14:paraId="1477A749"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4D595D88"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b) Admisión del Recurso de Revisión. </w:t>
      </w:r>
      <w:r>
        <w:rPr>
          <w:rFonts w:ascii="Palatino Linotype" w:eastAsia="Palatino Linotype" w:hAnsi="Palatino Linotype" w:cs="Palatino Linotype"/>
          <w:color w:val="000000"/>
          <w:sz w:val="22"/>
          <w:szCs w:val="22"/>
        </w:rPr>
        <w:t>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veintinueve de febrero de dos mil veinticuatro, se acordó la admisión del Recurso de Revisión interpuestos por el Recurrente en contra del Sujeto Obligado, en términos del artículo 185, fracciones I y II de la Ley de Transparencia y Acceso a la Información Pública del Estado de México y Municipios, el cual </w:t>
      </w:r>
      <w:r>
        <w:rPr>
          <w:rFonts w:ascii="Palatino Linotype" w:eastAsia="Palatino Linotype" w:hAnsi="Palatino Linotype" w:cs="Palatino Linotype"/>
          <w:b/>
          <w:color w:val="000000"/>
          <w:sz w:val="22"/>
          <w:szCs w:val="22"/>
        </w:rPr>
        <w:t>fue notificada a las partes en el cuatro de marzo del mismo año</w:t>
      </w:r>
      <w:r>
        <w:rPr>
          <w:rFonts w:ascii="Palatino Linotype" w:eastAsia="Palatino Linotype" w:hAnsi="Palatino Linotype" w:cs="Palatino Linotype"/>
          <w:color w:val="000000"/>
          <w:sz w:val="22"/>
          <w:szCs w:val="22"/>
        </w:rPr>
        <w:t>, a través del SAIMEX, en el que se les otorgó un plazo de siete días hábiles posteriores a la misma, para que manifestaran lo que a su derecho conviniera y formularan alegatos.</w:t>
      </w:r>
    </w:p>
    <w:p w14:paraId="78660537"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CE314E0"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En fecha trece de marzo del año en curso el Sujeto Obligado rindió informe justificado, a través de un oficio suscrito por la Titular de la Unidad de Transparencia, en el que ratificó la respuesta inicial.</w:t>
      </w:r>
      <w:r>
        <w:rPr>
          <w:rFonts w:ascii="Palatino Linotype" w:eastAsia="Palatino Linotype" w:hAnsi="Palatino Linotype" w:cs="Palatino Linotype"/>
          <w:b/>
          <w:sz w:val="22"/>
          <w:szCs w:val="22"/>
        </w:rPr>
        <w:t xml:space="preserve"> </w:t>
      </w:r>
    </w:p>
    <w:p w14:paraId="2EA4C5FE" w14:textId="77777777" w:rsidR="00083D6C" w:rsidRDefault="00083D6C">
      <w:pPr>
        <w:spacing w:line="360" w:lineRule="auto"/>
        <w:jc w:val="both"/>
        <w:rPr>
          <w:rFonts w:ascii="Palatino Linotype" w:eastAsia="Palatino Linotype" w:hAnsi="Palatino Linotype" w:cs="Palatino Linotype"/>
          <w:b/>
          <w:sz w:val="22"/>
          <w:szCs w:val="22"/>
        </w:rPr>
      </w:pPr>
    </w:p>
    <w:p w14:paraId="024C7B6B"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veinte de marzo de dos mil veinticuatro, se dictó un acuerdo mediante el cual se puso a la vista del Particular el documento que conforma el informe justificado, que fue notificado a las partes el veintiuno de marzo del mismo año, a través del SAIMEX.</w:t>
      </w:r>
    </w:p>
    <w:p w14:paraId="4B2758B0" w14:textId="77777777" w:rsidR="00083D6C" w:rsidRDefault="00083D6C">
      <w:pPr>
        <w:spacing w:line="360" w:lineRule="auto"/>
        <w:jc w:val="both"/>
        <w:rPr>
          <w:rFonts w:ascii="Palatino Linotype" w:eastAsia="Palatino Linotype" w:hAnsi="Palatino Linotype" w:cs="Palatino Linotype"/>
          <w:b/>
          <w:sz w:val="22"/>
          <w:szCs w:val="22"/>
        </w:rPr>
      </w:pPr>
    </w:p>
    <w:p w14:paraId="3F82473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Manifestaciones de la parte Recurrente.</w:t>
      </w:r>
      <w:r>
        <w:rPr>
          <w:rFonts w:ascii="Palatino Linotype" w:eastAsia="Palatino Linotype" w:hAnsi="Palatino Linotype" w:cs="Palatino Linotype"/>
          <w:sz w:val="22"/>
          <w:szCs w:val="22"/>
        </w:rPr>
        <w:t xml:space="preserve"> La persona Recurrente omitió realizar manifestaciones que a su derecho asistiera.</w:t>
      </w:r>
    </w:p>
    <w:p w14:paraId="03F2A2FC" w14:textId="77777777" w:rsidR="00083D6C" w:rsidRDefault="00083D6C">
      <w:pPr>
        <w:spacing w:line="360" w:lineRule="auto"/>
        <w:jc w:val="both"/>
        <w:rPr>
          <w:rFonts w:ascii="Palatino Linotype" w:eastAsia="Palatino Linotype" w:hAnsi="Palatino Linotype" w:cs="Palatino Linotype"/>
          <w:b/>
          <w:color w:val="000000"/>
          <w:sz w:val="22"/>
          <w:szCs w:val="22"/>
        </w:rPr>
      </w:pPr>
    </w:p>
    <w:p w14:paraId="0E635226"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treinta de abril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en la misma fecha, mediante el SAIMEX.</w:t>
      </w:r>
    </w:p>
    <w:p w14:paraId="135342EA"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C3ACCF1"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6D533C1"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C2F7D34"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4E32B19"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49F95DFC"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9768C8"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119BB180"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F54442"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084859C4"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AA87A1C"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0C617012" w14:textId="77777777" w:rsidR="00083D6C" w:rsidRDefault="00EC07DE">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11152B99"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43643E0" w14:textId="77777777" w:rsidR="00083D6C" w:rsidRDefault="00EC07DE">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60D6EA8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2FF00427" w14:textId="77777777" w:rsidR="00083D6C" w:rsidRDefault="00EC07DE">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25DC0E1B"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0615F5A8" w14:textId="77777777" w:rsidR="00083D6C" w:rsidRDefault="00EC07DE">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137DEB53"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0B998F4"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B2DC59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6033DB4"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3562ED2C"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2F316F1A"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w:t>
      </w:r>
      <w:r>
        <w:rPr>
          <w:rFonts w:ascii="Palatino Linotype" w:eastAsia="Palatino Linotype" w:hAnsi="Palatino Linotype" w:cs="Palatino Linotype"/>
          <w:color w:val="000000"/>
          <w:sz w:val="22"/>
          <w:szCs w:val="22"/>
        </w:rPr>
        <w:lastRenderedPageBreak/>
        <w:t>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80022D"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47E047FF"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0236DEB4"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0E0A436F"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3AC9BAF7"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81664B4"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3E223877"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41DCF65C"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54E40C0D" w14:textId="77777777" w:rsidR="00083D6C" w:rsidRDefault="00083D6C">
      <w:pPr>
        <w:spacing w:line="360" w:lineRule="auto"/>
        <w:jc w:val="both"/>
        <w:rPr>
          <w:rFonts w:ascii="Palatino Linotype" w:eastAsia="Palatino Linotype" w:hAnsi="Palatino Linotype" w:cs="Palatino Linotype"/>
          <w:b/>
          <w:sz w:val="22"/>
          <w:szCs w:val="22"/>
        </w:rPr>
      </w:pPr>
    </w:p>
    <w:p w14:paraId="4BAF2663"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e) Cierre de instrucción. </w:t>
      </w:r>
      <w:r>
        <w:rPr>
          <w:rFonts w:ascii="Palatino Linotype" w:eastAsia="Palatino Linotype" w:hAnsi="Palatino Linotype" w:cs="Palatino Linotype"/>
          <w:sz w:val="22"/>
          <w:szCs w:val="22"/>
        </w:rPr>
        <w:t xml:space="preserve">El dos de octubre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14:paraId="196091BD" w14:textId="77777777" w:rsidR="00083D6C" w:rsidRDefault="00083D6C">
      <w:pPr>
        <w:spacing w:line="360" w:lineRule="auto"/>
        <w:jc w:val="both"/>
        <w:rPr>
          <w:rFonts w:ascii="Palatino Linotype" w:eastAsia="Palatino Linotype" w:hAnsi="Palatino Linotype" w:cs="Palatino Linotype"/>
          <w:b/>
          <w:sz w:val="22"/>
          <w:szCs w:val="22"/>
        </w:rPr>
      </w:pPr>
    </w:p>
    <w:p w14:paraId="28C3B71C"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7547088"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D6DF68E" w14:textId="77777777" w:rsidR="00083D6C" w:rsidRDefault="00EC07DE">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7E98AE2D" w14:textId="77777777" w:rsidR="00083D6C" w:rsidRDefault="00083D6C">
      <w:pPr>
        <w:spacing w:line="360" w:lineRule="auto"/>
        <w:rPr>
          <w:rFonts w:ascii="Palatino Linotype" w:eastAsia="Palatino Linotype" w:hAnsi="Palatino Linotype" w:cs="Palatino Linotype"/>
          <w:b/>
          <w:sz w:val="22"/>
          <w:szCs w:val="22"/>
        </w:rPr>
      </w:pPr>
    </w:p>
    <w:p w14:paraId="425EF9A5"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509C0E2D" w14:textId="77777777" w:rsidR="00083D6C" w:rsidRDefault="00083D6C">
      <w:pPr>
        <w:spacing w:line="360" w:lineRule="auto"/>
        <w:jc w:val="both"/>
        <w:rPr>
          <w:rFonts w:ascii="Palatino Linotype" w:eastAsia="Palatino Linotype" w:hAnsi="Palatino Linotype" w:cs="Palatino Linotype"/>
          <w:b/>
          <w:sz w:val="22"/>
          <w:szCs w:val="22"/>
        </w:rPr>
      </w:pPr>
    </w:p>
    <w:p w14:paraId="0DD8A905"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Pr>
          <w:rFonts w:ascii="Palatino Linotype" w:eastAsia="Palatino Linotype" w:hAnsi="Palatino Linotype" w:cs="Palatino Linotype"/>
          <w:color w:val="000000"/>
          <w:sz w:val="22"/>
          <w:szCs w:val="22"/>
        </w:rPr>
        <w:lastRenderedPageBreak/>
        <w:t>Transparencia, Acceso a la Información Pública y Protección de Datos Personales del Estado de México y Municipios.</w:t>
      </w:r>
    </w:p>
    <w:p w14:paraId="4BD8E208" w14:textId="77777777" w:rsidR="00083D6C" w:rsidRDefault="00083D6C">
      <w:pPr>
        <w:spacing w:line="360" w:lineRule="auto"/>
        <w:jc w:val="both"/>
        <w:rPr>
          <w:rFonts w:ascii="Palatino Linotype" w:eastAsia="Palatino Linotype" w:hAnsi="Palatino Linotype" w:cs="Palatino Linotype"/>
          <w:sz w:val="22"/>
          <w:szCs w:val="22"/>
        </w:rPr>
      </w:pPr>
    </w:p>
    <w:p w14:paraId="5A64361B"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14:paraId="517C848C"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0F5C76D"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las constancias que </w:t>
      </w:r>
      <w:r>
        <w:rPr>
          <w:rFonts w:ascii="Palatino Linotype" w:eastAsia="Palatino Linotype" w:hAnsi="Palatino Linotype" w:cs="Palatino Linotype"/>
          <w:sz w:val="22"/>
          <w:szCs w:val="22"/>
        </w:rPr>
        <w:t>forman</w:t>
      </w:r>
      <w:r>
        <w:rPr>
          <w:rFonts w:ascii="Palatino Linotype" w:eastAsia="Palatino Linotype" w:hAnsi="Palatino Linotype" w:cs="Palatino Linotype"/>
          <w:color w:val="000000"/>
          <w:sz w:val="22"/>
          <w:szCs w:val="22"/>
        </w:rPr>
        <w:t xml:space="preserve"> parte del Recurso de Revisión que se analiza, se advierte que previo al estudio del fondo de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es necesario estudiar las causales de improcedencia y sobreseimiento que se adviertan, para determinar lo que en Derecho proceda.</w:t>
      </w:r>
    </w:p>
    <w:p w14:paraId="5FF06EE5" w14:textId="77777777" w:rsidR="00083D6C" w:rsidRDefault="00083D6C">
      <w:pPr>
        <w:spacing w:line="360" w:lineRule="auto"/>
        <w:jc w:val="both"/>
        <w:rPr>
          <w:rFonts w:ascii="Palatino Linotype" w:eastAsia="Palatino Linotype" w:hAnsi="Palatino Linotype" w:cs="Palatino Linotype"/>
          <w:b/>
          <w:sz w:val="22"/>
          <w:szCs w:val="22"/>
        </w:rPr>
      </w:pPr>
    </w:p>
    <w:p w14:paraId="25DB4047"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14:paraId="673DABA6" w14:textId="77777777" w:rsidR="00083D6C" w:rsidRDefault="00083D6C">
      <w:pPr>
        <w:spacing w:line="360" w:lineRule="auto"/>
        <w:jc w:val="both"/>
        <w:rPr>
          <w:rFonts w:ascii="Palatino Linotype" w:eastAsia="Palatino Linotype" w:hAnsi="Palatino Linotype" w:cs="Palatino Linotype"/>
          <w:b/>
          <w:sz w:val="22"/>
          <w:szCs w:val="22"/>
        </w:rPr>
      </w:pPr>
    </w:p>
    <w:p w14:paraId="43EEE090"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E29C54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3834F19"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w:t>
      </w:r>
      <w:r>
        <w:rPr>
          <w:rFonts w:ascii="Palatino Linotype" w:eastAsia="Palatino Linotype" w:hAnsi="Palatino Linotype" w:cs="Palatino Linotype"/>
          <w:b/>
          <w:color w:val="000000"/>
          <w:sz w:val="22"/>
          <w:szCs w:val="22"/>
        </w:rPr>
        <w:t>no se actualiza ninguna de las causales de improcedencia</w:t>
      </w:r>
      <w:r>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F7E656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F04C26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se actualizan las causales de procedencia del Recurso de Revisión señaladas en el artículo 179, fracción VI, de la Ley en cita, pues la parte Recurrente se inconforma de la entrega de información que no corresponde con lo solicitado.</w:t>
      </w:r>
    </w:p>
    <w:p w14:paraId="24A40800" w14:textId="77777777" w:rsidR="00083D6C" w:rsidRDefault="00083D6C">
      <w:pPr>
        <w:spacing w:line="360" w:lineRule="auto"/>
        <w:jc w:val="both"/>
        <w:rPr>
          <w:rFonts w:ascii="Palatino Linotype" w:eastAsia="Palatino Linotype" w:hAnsi="Palatino Linotype" w:cs="Palatino Linotype"/>
          <w:sz w:val="22"/>
          <w:szCs w:val="22"/>
        </w:rPr>
      </w:pPr>
    </w:p>
    <w:p w14:paraId="43D39C3A"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281D27B3"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0188D493"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14:paraId="794FB702"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022CBCF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095B25A2" w14:textId="77777777" w:rsidR="00083D6C" w:rsidRDefault="00083D6C">
      <w:pPr>
        <w:spacing w:line="360" w:lineRule="auto"/>
        <w:jc w:val="both"/>
        <w:rPr>
          <w:rFonts w:ascii="Palatino Linotype" w:eastAsia="Palatino Linotype" w:hAnsi="Palatino Linotype" w:cs="Palatino Linotype"/>
          <w:sz w:val="22"/>
          <w:szCs w:val="22"/>
        </w:rPr>
      </w:pPr>
    </w:p>
    <w:p w14:paraId="08BF64AA"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14:paraId="318589B1"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B0021DE"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TERCERO. Determinación de la Controversia</w:t>
      </w:r>
    </w:p>
    <w:p w14:paraId="7F20416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1379DAB9"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persona Particular solicitó la entrega de los oficios firmados por el Director de Administración del periodo de enero a febrero del año 2020; en respuesta el Sujeto Obligado remitió diversos oficios suscritos por el Director General de Administración por el periodo solicitado, acompañado del acta del Comité de Transparencia que respalda la versión pública </w:t>
      </w:r>
      <w:r>
        <w:rPr>
          <w:rFonts w:ascii="Palatino Linotype" w:eastAsia="Palatino Linotype" w:hAnsi="Palatino Linotype" w:cs="Palatino Linotype"/>
          <w:color w:val="000000"/>
          <w:sz w:val="22"/>
          <w:szCs w:val="22"/>
        </w:rPr>
        <w:lastRenderedPageBreak/>
        <w:t>de documentos que atienden diversas solicitudes de información, entre ellas la que nos ocupa, en el que se clasificó información confidencial de forma parcial, específicamente respecto a datos personales confidenciales y se reservó por completo oficios remitidos a la Dirección General de Seguridad y Protección Civil y a la Contraloría Municipal.</w:t>
      </w:r>
    </w:p>
    <w:p w14:paraId="44C897A4" w14:textId="77777777" w:rsidR="00083D6C" w:rsidRDefault="00083D6C">
      <w:pPr>
        <w:spacing w:line="360" w:lineRule="auto"/>
        <w:jc w:val="both"/>
        <w:rPr>
          <w:rFonts w:ascii="Palatino Linotype" w:eastAsia="Palatino Linotype" w:hAnsi="Palatino Linotype" w:cs="Palatino Linotype"/>
          <w:sz w:val="22"/>
          <w:szCs w:val="22"/>
        </w:rPr>
      </w:pPr>
    </w:p>
    <w:p w14:paraId="5E6E3D67"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 respuesta, la persona Recurrente se inconformó y señaló como motivos de agravio que no le entregaron todo lo solicitado y que la respuesta no estaba debidamente fundada y motivada, ni orientada a los oficios que se omitieron, ni a los datos personales que trataron en el caso específico; así, durante la substanciación del Recurso de Revisión, el Sujeto Obligado rindió informe justificado en el que ratificó la respuesta inicial; por su parte, el Recurrente no añadió manifestaciones adicionales. </w:t>
      </w:r>
    </w:p>
    <w:p w14:paraId="4636758E" w14:textId="77777777" w:rsidR="00083D6C" w:rsidRDefault="00083D6C">
      <w:pPr>
        <w:spacing w:line="360" w:lineRule="auto"/>
        <w:jc w:val="both"/>
        <w:rPr>
          <w:rFonts w:ascii="Palatino Linotype" w:eastAsia="Palatino Linotype" w:hAnsi="Palatino Linotype" w:cs="Palatino Linotype"/>
          <w:sz w:val="22"/>
          <w:szCs w:val="22"/>
        </w:rPr>
      </w:pPr>
    </w:p>
    <w:p w14:paraId="324899F6" w14:textId="77777777" w:rsidR="00083D6C" w:rsidRDefault="00EC07D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las causales de procedencia señaladas en el </w:t>
      </w:r>
      <w:r>
        <w:rPr>
          <w:rFonts w:ascii="Palatino Linotype" w:eastAsia="Palatino Linotype" w:hAnsi="Palatino Linotype" w:cs="Palatino Linotype"/>
          <w:sz w:val="22"/>
          <w:szCs w:val="22"/>
        </w:rPr>
        <w:t xml:space="preserve">artículo 179, fracciones II y V, de la Ley de la materia; es decir por la clasificación de la información y la entrega de la información incompleta. </w:t>
      </w:r>
    </w:p>
    <w:p w14:paraId="26472FE3"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1404CFD0" w14:textId="77777777" w:rsidR="00083D6C" w:rsidRDefault="00EC07D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7A528D2"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361BB3FE"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5FD4D77C" w14:textId="77777777" w:rsidR="00083D6C" w:rsidRDefault="00083D6C">
      <w:pPr>
        <w:spacing w:line="360" w:lineRule="auto"/>
        <w:jc w:val="both"/>
        <w:rPr>
          <w:rFonts w:ascii="Palatino Linotype" w:eastAsia="Palatino Linotype" w:hAnsi="Palatino Linotype" w:cs="Palatino Linotype"/>
          <w:sz w:val="22"/>
          <w:szCs w:val="22"/>
        </w:rPr>
      </w:pPr>
    </w:p>
    <w:p w14:paraId="035BA371" w14:textId="77777777" w:rsidR="00083D6C" w:rsidRDefault="00EC07DE">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w:t>
      </w:r>
      <w:r>
        <w:rPr>
          <w:rFonts w:ascii="Palatino Linotype" w:eastAsia="Palatino Linotype" w:hAnsi="Palatino Linotype" w:cs="Palatino Linotype"/>
          <w:sz w:val="22"/>
          <w:szCs w:val="22"/>
        </w:rPr>
        <w:lastRenderedPageBreak/>
        <w:t>Mexicanos, establece que toda la información en posesión de cualquier autoridad es pública y sólo podrá ser reservada temporalmente por razones de interés público.</w:t>
      </w:r>
    </w:p>
    <w:p w14:paraId="6D99CF09" w14:textId="77777777" w:rsidR="00083D6C" w:rsidRDefault="00083D6C">
      <w:pPr>
        <w:spacing w:line="360" w:lineRule="auto"/>
        <w:jc w:val="both"/>
        <w:rPr>
          <w:rFonts w:ascii="Palatino Linotype" w:eastAsia="Palatino Linotype" w:hAnsi="Palatino Linotype" w:cs="Palatino Linotype"/>
          <w:sz w:val="22"/>
          <w:szCs w:val="22"/>
        </w:rPr>
      </w:pPr>
    </w:p>
    <w:p w14:paraId="40A873D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9701A54" w14:textId="77777777" w:rsidR="00083D6C" w:rsidRDefault="00083D6C">
      <w:pPr>
        <w:spacing w:line="360" w:lineRule="auto"/>
        <w:jc w:val="both"/>
        <w:rPr>
          <w:rFonts w:ascii="Palatino Linotype" w:eastAsia="Palatino Linotype" w:hAnsi="Palatino Linotype" w:cs="Palatino Linotype"/>
          <w:sz w:val="22"/>
          <w:szCs w:val="22"/>
        </w:rPr>
      </w:pPr>
    </w:p>
    <w:p w14:paraId="7CAED696"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A6B4309" w14:textId="77777777" w:rsidR="00083D6C" w:rsidRDefault="00083D6C">
      <w:pPr>
        <w:spacing w:line="360" w:lineRule="auto"/>
        <w:jc w:val="both"/>
        <w:rPr>
          <w:rFonts w:ascii="Palatino Linotype" w:eastAsia="Palatino Linotype" w:hAnsi="Palatino Linotype" w:cs="Palatino Linotype"/>
          <w:sz w:val="22"/>
          <w:szCs w:val="22"/>
        </w:rPr>
      </w:pPr>
    </w:p>
    <w:p w14:paraId="5FF7849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5A56F6A" w14:textId="77777777" w:rsidR="00083D6C" w:rsidRDefault="00083D6C">
      <w:pPr>
        <w:spacing w:line="360" w:lineRule="auto"/>
        <w:jc w:val="both"/>
        <w:rPr>
          <w:rFonts w:ascii="Palatino Linotype" w:eastAsia="Palatino Linotype" w:hAnsi="Palatino Linotype" w:cs="Palatino Linotype"/>
          <w:sz w:val="22"/>
          <w:szCs w:val="22"/>
        </w:rPr>
      </w:pPr>
    </w:p>
    <w:p w14:paraId="26B00CF3"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4AED9F24" w14:textId="77777777" w:rsidR="00083D6C" w:rsidRDefault="00083D6C">
      <w:pPr>
        <w:spacing w:line="360" w:lineRule="auto"/>
        <w:jc w:val="both"/>
        <w:rPr>
          <w:rFonts w:ascii="Palatino Linotype" w:eastAsia="Palatino Linotype" w:hAnsi="Palatino Linotype" w:cs="Palatino Linotype"/>
          <w:sz w:val="22"/>
          <w:szCs w:val="22"/>
        </w:rPr>
      </w:pPr>
    </w:p>
    <w:p w14:paraId="18FF1241"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0C6C09DA" w14:textId="77777777" w:rsidR="00083D6C" w:rsidRDefault="00083D6C">
      <w:pPr>
        <w:spacing w:line="360" w:lineRule="auto"/>
        <w:jc w:val="both"/>
        <w:rPr>
          <w:rFonts w:ascii="Palatino Linotype" w:eastAsia="Palatino Linotype" w:hAnsi="Palatino Linotype" w:cs="Palatino Linotype"/>
          <w:sz w:val="22"/>
          <w:szCs w:val="22"/>
        </w:rPr>
      </w:pPr>
    </w:p>
    <w:p w14:paraId="27C2B98D"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4552964" w14:textId="77777777" w:rsidR="00083D6C" w:rsidRDefault="00083D6C">
      <w:pPr>
        <w:spacing w:line="360" w:lineRule="auto"/>
        <w:jc w:val="both"/>
        <w:rPr>
          <w:rFonts w:ascii="Palatino Linotype" w:eastAsia="Palatino Linotype" w:hAnsi="Palatino Linotype" w:cs="Palatino Linotype"/>
          <w:sz w:val="22"/>
          <w:szCs w:val="22"/>
        </w:rPr>
      </w:pPr>
    </w:p>
    <w:p w14:paraId="0221D30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6A8493D" w14:textId="77777777" w:rsidR="00083D6C" w:rsidRDefault="00083D6C">
      <w:pPr>
        <w:spacing w:line="360" w:lineRule="auto"/>
        <w:jc w:val="both"/>
        <w:rPr>
          <w:rFonts w:ascii="Palatino Linotype" w:eastAsia="Palatino Linotype" w:hAnsi="Palatino Linotype" w:cs="Palatino Linotype"/>
          <w:b/>
          <w:sz w:val="22"/>
          <w:szCs w:val="22"/>
        </w:rPr>
      </w:pPr>
    </w:p>
    <w:p w14:paraId="610EA9BD"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0A929CD1" w14:textId="77777777" w:rsidR="00083D6C" w:rsidRDefault="00083D6C">
      <w:pPr>
        <w:spacing w:line="360" w:lineRule="auto"/>
        <w:jc w:val="both"/>
        <w:rPr>
          <w:rFonts w:ascii="Palatino Linotype" w:eastAsia="Palatino Linotype" w:hAnsi="Palatino Linotype" w:cs="Palatino Linotype"/>
          <w:color w:val="000000"/>
          <w:sz w:val="22"/>
          <w:szCs w:val="22"/>
          <w:highlight w:val="yellow"/>
        </w:rPr>
      </w:pPr>
    </w:p>
    <w:p w14:paraId="3596B9A5"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Una vez expuesto lo anterior, es preciso reiterar que el Particular solicitó la entrega de los oficios firmados por el Director de Administración de enero a febrero del año 2020; al respecto es preciso señalar que el Bando Municipal del Sujeto Obligado, vigente al año 2020, previa en su artículo 23, fracción I, numeral 5; que para la consulta, estudio, planeación y despacho de los asuntos en los diversos ramos de la administración pública municipal, el Presidente Municipal se auxiliará de diversas dependencias, entre ellas la Dirección General de Administración.</w:t>
      </w:r>
    </w:p>
    <w:p w14:paraId="725CBFDC"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B3961B7"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conformidad con el Código Reglamentario Municipal de Toluca, correspondiente a la administración 2019-2021; se advierte en el artículo 3.43, que la Dirección General de Administración, contaba con diversas atribuciones, entre ellas: coordinar y dirigir los sistemas reclutamiento, contratación y desarrollo del personal, autorizar altas, bajas, permisos, licencias, comisiones de personal, entre otros, elaborar y distribuir la nómina del personal, establecer las políticas de capacitación, cumplir los convenios sindicales, dar seguimiento y </w:t>
      </w:r>
      <w:r>
        <w:rPr>
          <w:rFonts w:ascii="Palatino Linotype" w:eastAsia="Palatino Linotype" w:hAnsi="Palatino Linotype" w:cs="Palatino Linotype"/>
          <w:color w:val="000000"/>
          <w:sz w:val="22"/>
          <w:szCs w:val="22"/>
        </w:rPr>
        <w:lastRenderedPageBreak/>
        <w:t xml:space="preserve">vigilar los procesos de adquisición, integrar el catálogo de proveedores, revisar y suscribir contratos relativos a adquisiciones, llevar a cabo las actividades de mantenimiento, adecuación y limpieza del Ayuntamiento, conocer de los procesos de reparación de parque vehicular, conocer de las actividades de logísticas para eventos públicos, establecer y operar los mecanismos de coordinación con las delegaciones administrativas, conforme al presupuesto asignado, movimientos de personal y solicitud de bienes, entre otras. </w:t>
      </w:r>
    </w:p>
    <w:p w14:paraId="1366A0F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33AFF52"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el artículo 18 de la Ley de Transparencia y Acceso a la Información Pública del Estado de México y Municipios, prevé que los Sujetos Obligados deben documentar todo acto que derive del ejercicio de sus facultades, por tanto, se aprecia que el Sujeto Obligado a través de su entonces Director General de Administración debió documentar el ejercicio de sus funciones y uno de los resultados de ello, es la realización de oficios, por tanto, el Sujeto Obligado resulta competente para conocer de la información solicitada.</w:t>
      </w:r>
    </w:p>
    <w:p w14:paraId="6961DED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En este orden de ideas, el Sujeto Obligado a través de respuesta, remitió </w:t>
      </w:r>
      <w:r>
        <w:rPr>
          <w:rFonts w:ascii="Palatino Linotype" w:eastAsia="Palatino Linotype" w:hAnsi="Palatino Linotype" w:cs="Palatino Linotype"/>
          <w:sz w:val="22"/>
          <w:szCs w:val="22"/>
        </w:rPr>
        <w:t xml:space="preserve">observan 668 páginas de diversos oficios suscritos por el Director General de Administración que van del periodo de enero a febrero del año 2020; acompañado de un </w:t>
      </w:r>
      <w:r>
        <w:rPr>
          <w:rFonts w:ascii="Palatino Linotype" w:eastAsia="Palatino Linotype" w:hAnsi="Palatino Linotype" w:cs="Palatino Linotype"/>
          <w:color w:val="000000"/>
          <w:sz w:val="22"/>
          <w:szCs w:val="22"/>
        </w:rPr>
        <w:t>del acta del Comité de Transparencia</w:t>
      </w:r>
      <w:r>
        <w:rPr>
          <w:rFonts w:ascii="Palatino Linotype" w:eastAsia="Palatino Linotype" w:hAnsi="Palatino Linotype" w:cs="Palatino Linotype"/>
          <w:sz w:val="22"/>
          <w:szCs w:val="22"/>
        </w:rPr>
        <w:t xml:space="preserve"> del Sujeto Obligado, en el que refiere que clasificó información confidencial correspondiente a datos personales confidenciales y reservó en su totalidad los oficios dirigidos a la Dirección General de Seguridad y Protección Civil y Contraloría municipal de enero a marzo 2019 y de enero a octubre de 2020, diciembre de 2023 y enero de 2024.</w:t>
      </w:r>
    </w:p>
    <w:p w14:paraId="6AAE5663" w14:textId="77777777" w:rsidR="00083D6C" w:rsidRDefault="00083D6C">
      <w:pPr>
        <w:spacing w:line="360" w:lineRule="auto"/>
        <w:jc w:val="both"/>
        <w:rPr>
          <w:rFonts w:ascii="Palatino Linotype" w:eastAsia="Palatino Linotype" w:hAnsi="Palatino Linotype" w:cs="Palatino Linotype"/>
          <w:sz w:val="22"/>
          <w:szCs w:val="22"/>
        </w:rPr>
      </w:pPr>
    </w:p>
    <w:p w14:paraId="3D34F8F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Dicha respuesta generó la inconformidad de la persona Recurrente, quién manifestó su motivo de agravio porque no le entregaron todo lo solicitado y que la respuesta no se encuentra fundada ni motivada y no se encuentra relacionada con los oficios que se omiten ni con los datos que se trataron; por tanto, se analizará la entrega de información incompleta y la clasificación que acompañó a la documentación remitida.</w:t>
      </w:r>
    </w:p>
    <w:p w14:paraId="3440163D" w14:textId="77777777" w:rsidR="00083D6C" w:rsidRDefault="00083D6C">
      <w:pPr>
        <w:spacing w:line="360" w:lineRule="auto"/>
        <w:jc w:val="both"/>
        <w:rPr>
          <w:rFonts w:ascii="Palatino Linotype" w:eastAsia="Palatino Linotype" w:hAnsi="Palatino Linotype" w:cs="Palatino Linotype"/>
          <w:sz w:val="22"/>
          <w:szCs w:val="22"/>
        </w:rPr>
      </w:pPr>
    </w:p>
    <w:p w14:paraId="19A1FB5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es preciso señalar que de la revisión que hizo este Organismo Garante a los oficios entregados en respuesta, se aprecia que la secuencia en el número de folio se encuentra incompleta, asimismo, se observa que no se señaló información de algunos días, a manera de ejemplo se aprecia que se omitieron los oficios de folios: </w:t>
      </w:r>
      <w:r>
        <w:rPr>
          <w:rFonts w:ascii="Palatino Linotype" w:eastAsia="Palatino Linotype" w:hAnsi="Palatino Linotype" w:cs="Palatino Linotype"/>
          <w:b/>
          <w:sz w:val="22"/>
          <w:szCs w:val="22"/>
        </w:rPr>
        <w:t>206010000/001/2020, 206010000/002/2020, 206010000/005/2020, 206010000/010/2020, 206010000/011/2020, 206010000/027/2020, 206010000/047/2020, 206010000/050/2020, 206010000/061/2020 al 206010000/065/2020, 206010000/073/2020, 206010000/085/2020, 206010000/0115/2020, 206010000/127/2020, 206010000/136/2020, 206010000/171/2020, 206010000/185/2020, 206010000/187/2020, 206010000/192/2020, 206010000/193/2020, 206010000/194/2020, 206010000/219/2020, 206010000/223/2020, 206010000/224/2020, 206010000/227/2020, 206010000/228/2020, 206010000/240/2020, 206010000/253/2020, 206010000/254/2020, 206010000/255/2020, 206010000/259/2020, 206010000/266/2020, 206010000/274/2020, 206010000/282/2020 al 206010000/303/2020, 206010000/323/2020, 206010000/339/2020, 206010000/344/2020, 206010000/345/2020, 206010000/360/2020, 206010000/370/2020, 206010000/371/2020, 206010000/376/2020, 206010000/379/2020, 206010000/404/2020, 206010000/408/2020, 206010000/412/2020, 206010000/422/2020, 206010000/431/2020, 206010000/435/2020 al 206010000/437/2020, 206010000/441/2020, 206010000/442/2020, 206010000/449/2020, 206010000/459/2020 al 206010000/461/2020, 206010000/487/2020, 206010000/494/2020, 206010000/495/2020, 206010000/497/2020, 206010000/498/2020, 206010000/503/2020, 206010000/508/2020, 206010000/511/2020, 206010000/512/2020, 206010000/513/2020, 206010000/517/2020, 206010000/549/2020, 206010000/566/2020, 206010000/575/2020 al 206010000/579/2020, 206010000/582/2020, 206010000/584/2020, 206010000/586/2020, 206010000/587/2020, 206010000/597/2020, 206010000/600/2020, 206010000/608/2020, 206010000/619/2020, 206010000/621/2020, 206010000/638/2020 y 206010000/639/2020.</w:t>
      </w:r>
    </w:p>
    <w:p w14:paraId="76337ED5" w14:textId="77777777" w:rsidR="00083D6C" w:rsidRDefault="00083D6C">
      <w:pPr>
        <w:spacing w:line="360" w:lineRule="auto"/>
        <w:jc w:val="both"/>
        <w:rPr>
          <w:rFonts w:ascii="Palatino Linotype" w:eastAsia="Palatino Linotype" w:hAnsi="Palatino Linotype" w:cs="Palatino Linotype"/>
          <w:sz w:val="22"/>
          <w:szCs w:val="22"/>
        </w:rPr>
      </w:pPr>
    </w:p>
    <w:p w14:paraId="3095AFDC"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De igual forma, </w:t>
      </w:r>
      <w:r>
        <w:rPr>
          <w:rFonts w:ascii="Palatino Linotype" w:eastAsia="Palatino Linotype" w:hAnsi="Palatino Linotype" w:cs="Palatino Linotype"/>
          <w:b/>
          <w:sz w:val="22"/>
          <w:szCs w:val="22"/>
        </w:rPr>
        <w:t>no se entregó información de los días 1°, 2, 3 y 6 de enero, así como del 3 de febrero del año 2020</w:t>
      </w:r>
      <w:r>
        <w:rPr>
          <w:rFonts w:ascii="Palatino Linotype" w:eastAsia="Palatino Linotype" w:hAnsi="Palatino Linotype" w:cs="Palatino Linotype"/>
          <w:sz w:val="22"/>
          <w:szCs w:val="22"/>
        </w:rPr>
        <w:t xml:space="preserve">; ello, sin considerar que tampoco se entregó información de los días 4, 5, 11, 12,  18, 19, 25, 26  de enero, así como 1, 2, 8, 9, 15, 16, 22, 23, y 29 de febrero, ambos del año 2020, sin embargo, los últimos no son considerados como faltantes por tratarse de días sábados y domingos, </w:t>
      </w:r>
      <w:r>
        <w:rPr>
          <w:rFonts w:ascii="Palatino Linotype" w:eastAsia="Palatino Linotype" w:hAnsi="Palatino Linotype" w:cs="Palatino Linotype"/>
          <w:color w:val="000000"/>
          <w:sz w:val="22"/>
          <w:szCs w:val="22"/>
        </w:rPr>
        <w:t>en atención a lo anterior, resulta evidente que la información entregada se encuentra incompleta, puesto que faltan oficios que correspondan a los folios faltantes, aunado a ello, cabe señalar que el Sujeto Obligado no manifestó que fueran cancelados, puesto que, en su caso debió precisar el folio y señalar que fueron cancelados, ello con la intención de lograr una debida transparencia de la información; asimismo para el caso de la fechas en las que no entregó información, el Sujeto Obligado no especificó que no haya firmado oficios o bien que fueran cancelados.</w:t>
      </w:r>
    </w:p>
    <w:p w14:paraId="798855C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E4F7860"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cabe señalar que, de los oficios entregados en respuesta, se desprende que el Sujeto Obligado </w:t>
      </w:r>
      <w:r>
        <w:rPr>
          <w:rFonts w:ascii="Palatino Linotype" w:eastAsia="Palatino Linotype" w:hAnsi="Palatino Linotype" w:cs="Palatino Linotype"/>
          <w:b/>
          <w:color w:val="000000"/>
          <w:sz w:val="22"/>
          <w:szCs w:val="22"/>
          <w:u w:val="single"/>
        </w:rPr>
        <w:t>testó información de más</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puesto que suprimió el nombre de servidores públicos, el nombre del representante legal de los proveedores, y en algunos casos suprimió el número de empleado, la cuenta bancaria de la CFE y la firma del Director General de Administración; lo cual, corresponde a información pública ya que permite la debida transparencia y acceso a la información pública; conforme a los siguientes:</w:t>
      </w:r>
    </w:p>
    <w:p w14:paraId="49C9E6F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1AFA2AC" w14:textId="77777777" w:rsidR="00083D6C" w:rsidRDefault="00EC07DE">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 de servidores públicos</w:t>
      </w:r>
    </w:p>
    <w:p w14:paraId="2A0078C0" w14:textId="77777777" w:rsidR="00083D6C" w:rsidRDefault="00083D6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6F25368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nombre de las personas constituye un dato personal confidencial, sin embargo, en el caso de los servidores públicos, al asumir las actividades de servicio público, el cargo o las funciones correspondientes, se cede parte de dicha privacidad, ya que por regla general, son de naturaleza pública, de conformidad con el artículo 70, fracción VII de la Ley General de </w:t>
      </w:r>
      <w:r>
        <w:rPr>
          <w:rFonts w:ascii="Palatino Linotype" w:eastAsia="Palatino Linotype" w:hAnsi="Palatino Linotype" w:cs="Palatino Linotype"/>
          <w:sz w:val="22"/>
          <w:szCs w:val="22"/>
        </w:rPr>
        <w:lastRenderedPageBreak/>
        <w:t>Transparencia y Acceso a la Información Pública del Estado de México, y 92, fracción VII, de la Ley de Transparencia y Acceso a la Información Pública del Estado de México y Municipios.</w:t>
      </w:r>
    </w:p>
    <w:p w14:paraId="01AA2F58"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8E6E2F6" w14:textId="77777777" w:rsidR="00083D6C" w:rsidRDefault="00EC07D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empleado</w:t>
      </w:r>
    </w:p>
    <w:p w14:paraId="4C9DE6B6" w14:textId="77777777" w:rsidR="00083D6C" w:rsidRDefault="00083D6C">
      <w:pPr>
        <w:spacing w:line="360" w:lineRule="auto"/>
        <w:jc w:val="both"/>
        <w:rPr>
          <w:rFonts w:ascii="Palatino Linotype" w:eastAsia="Palatino Linotype" w:hAnsi="Palatino Linotype" w:cs="Palatino Linotype"/>
          <w:b/>
          <w:sz w:val="22"/>
          <w:szCs w:val="22"/>
        </w:rPr>
      </w:pPr>
    </w:p>
    <w:p w14:paraId="60A8B659"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43685331" w14:textId="77777777" w:rsidR="00083D6C" w:rsidRDefault="00083D6C">
      <w:pPr>
        <w:spacing w:line="360" w:lineRule="auto"/>
        <w:jc w:val="both"/>
        <w:rPr>
          <w:rFonts w:ascii="Palatino Linotype" w:eastAsia="Palatino Linotype" w:hAnsi="Palatino Linotype" w:cs="Palatino Linotype"/>
          <w:sz w:val="22"/>
          <w:szCs w:val="22"/>
        </w:rPr>
      </w:pPr>
    </w:p>
    <w:p w14:paraId="144C56F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FB22018" w14:textId="77777777" w:rsidR="00083D6C" w:rsidRDefault="00083D6C">
      <w:pPr>
        <w:spacing w:line="360" w:lineRule="auto"/>
        <w:rPr>
          <w:rFonts w:ascii="Palatino Linotype" w:eastAsia="Palatino Linotype" w:hAnsi="Palatino Linotype" w:cs="Palatino Linotype"/>
          <w:sz w:val="22"/>
          <w:szCs w:val="22"/>
        </w:rPr>
      </w:pPr>
    </w:p>
    <w:p w14:paraId="7F86200B"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Criterio 03/14, emitido por el Pleno del entonces Instituto Federal de Acceso a la Información y Protección de Datos, que establece lo siguiente:</w:t>
      </w:r>
    </w:p>
    <w:p w14:paraId="57883257" w14:textId="77777777" w:rsidR="00083D6C" w:rsidRDefault="00083D6C">
      <w:pPr>
        <w:spacing w:line="360" w:lineRule="auto"/>
        <w:jc w:val="both"/>
        <w:rPr>
          <w:rFonts w:ascii="Palatino Linotype" w:eastAsia="Palatino Linotype" w:hAnsi="Palatino Linotype" w:cs="Palatino Linotype"/>
          <w:sz w:val="22"/>
          <w:szCs w:val="22"/>
        </w:rPr>
      </w:pPr>
    </w:p>
    <w:p w14:paraId="1F00269F" w14:textId="77777777" w:rsidR="00083D6C" w:rsidRDefault="00EC07DE">
      <w:pPr>
        <w:spacing w:line="360" w:lineRule="auto"/>
        <w:ind w:left="567"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“Número de empleado, o su equivalente, si se integra con datos personales del trabajador o permite acceder a éstos sin necesidad de una contraseña, constituye información confidencial.</w:t>
      </w:r>
      <w:r>
        <w:rPr>
          <w:rFonts w:ascii="Palatino Linotype" w:eastAsia="Palatino Linotype" w:hAnsi="Palatino Linotype" w:cs="Palatino Linotype"/>
          <w:i/>
          <w:sz w:val="22"/>
          <w:szCs w:val="22"/>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w:t>
      </w:r>
      <w:r>
        <w:rPr>
          <w:rFonts w:ascii="Palatino Linotype" w:eastAsia="Palatino Linotype" w:hAnsi="Palatino Linotype" w:cs="Palatino Linotype"/>
          <w:i/>
          <w:sz w:val="22"/>
          <w:szCs w:val="22"/>
        </w:rPr>
        <w:lastRenderedPageBreak/>
        <w:t>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63D674A1" w14:textId="77777777" w:rsidR="00083D6C" w:rsidRDefault="00083D6C">
      <w:pPr>
        <w:spacing w:line="360" w:lineRule="auto"/>
        <w:jc w:val="both"/>
        <w:rPr>
          <w:rFonts w:ascii="Palatino Linotype" w:eastAsia="Palatino Linotype" w:hAnsi="Palatino Linotype" w:cs="Palatino Linotype"/>
          <w:sz w:val="22"/>
          <w:szCs w:val="22"/>
        </w:rPr>
      </w:pPr>
    </w:p>
    <w:p w14:paraId="354540A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w:t>
      </w:r>
    </w:p>
    <w:p w14:paraId="3CCDD2F5" w14:textId="77777777" w:rsidR="00083D6C" w:rsidRDefault="00083D6C">
      <w:pPr>
        <w:spacing w:line="360" w:lineRule="auto"/>
        <w:jc w:val="both"/>
        <w:rPr>
          <w:rFonts w:ascii="Palatino Linotype" w:eastAsia="Palatino Linotype" w:hAnsi="Palatino Linotype" w:cs="Palatino Linotype"/>
          <w:b/>
          <w:sz w:val="22"/>
          <w:szCs w:val="22"/>
        </w:rPr>
      </w:pPr>
    </w:p>
    <w:p w14:paraId="3F22D2C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y toda vez que el Sujeto Obligado no precisó como se conformaba el número de empleado o a que sistema de información da acceso, por lo que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 en el que precise las razones por las que se actualiza el supuesto. </w:t>
      </w:r>
    </w:p>
    <w:p w14:paraId="35FBF01C" w14:textId="77777777" w:rsidR="00083D6C" w:rsidRDefault="00083D6C">
      <w:pPr>
        <w:spacing w:line="360" w:lineRule="auto"/>
        <w:jc w:val="both"/>
        <w:rPr>
          <w:rFonts w:ascii="Palatino Linotype" w:eastAsia="Palatino Linotype" w:hAnsi="Palatino Linotype" w:cs="Palatino Linotype"/>
          <w:sz w:val="22"/>
          <w:szCs w:val="22"/>
        </w:rPr>
      </w:pPr>
    </w:p>
    <w:p w14:paraId="1D372C47" w14:textId="77777777" w:rsidR="00083D6C" w:rsidRDefault="00EC07DE">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 de representante legal de proveedor</w:t>
      </w:r>
    </w:p>
    <w:p w14:paraId="68AA6BEB" w14:textId="77777777" w:rsidR="00083D6C" w:rsidRDefault="00083D6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6CFB053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nombre de las personas constituye un dato personal confidencial, sin embargo, en atención a que el representante legal actúa en nombre y representación de una tercera, quién contrajo </w:t>
      </w:r>
      <w:r>
        <w:rPr>
          <w:rFonts w:ascii="Palatino Linotype" w:eastAsia="Palatino Linotype" w:hAnsi="Palatino Linotype" w:cs="Palatino Linotype"/>
          <w:sz w:val="22"/>
          <w:szCs w:val="22"/>
        </w:rPr>
        <w:lastRenderedPageBreak/>
        <w:t>derechos y obligaciones con el Sujeto Obligado a cambio de una retribución económica, bajo la figura de proveedor; al actuar en su nombre, hace las veces del proveedor, por ello, su nombre debe ser público puesto ya que están facultados para modificar los derechos y obligaciones adquiridos, robustece lo anterior, el criterio de interpretación emitido por el INAI, bajo el rubro 0001_2019, que a la letra señala:</w:t>
      </w:r>
    </w:p>
    <w:p w14:paraId="7502F513" w14:textId="77777777" w:rsidR="00083D6C" w:rsidRDefault="00083D6C">
      <w:pPr>
        <w:spacing w:line="360" w:lineRule="auto"/>
        <w:jc w:val="both"/>
        <w:rPr>
          <w:rFonts w:ascii="Palatino Linotype" w:eastAsia="Palatino Linotype" w:hAnsi="Palatino Linotype" w:cs="Palatino Linotype"/>
          <w:sz w:val="22"/>
          <w:szCs w:val="22"/>
        </w:rPr>
      </w:pPr>
    </w:p>
    <w:p w14:paraId="0D80D6D0" w14:textId="77777777" w:rsidR="00083D6C" w:rsidRDefault="00EC07DE">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“Datos de identificación del representante o apoderado legal</w:t>
      </w:r>
      <w:r>
        <w:rPr>
          <w:rFonts w:ascii="Palatino Linotype" w:eastAsia="Palatino Linotype" w:hAnsi="Palatino Linotype" w:cs="Palatino Linotype"/>
          <w:i/>
        </w:rPr>
        <w:t>. Naturaleza jurídica. 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22BD953F" w14:textId="77777777" w:rsidR="00083D6C" w:rsidRDefault="00083D6C">
      <w:pPr>
        <w:spacing w:line="360" w:lineRule="auto"/>
        <w:jc w:val="both"/>
        <w:rPr>
          <w:rFonts w:ascii="Palatino Linotype" w:eastAsia="Palatino Linotype" w:hAnsi="Palatino Linotype" w:cs="Palatino Linotype"/>
          <w:sz w:val="22"/>
          <w:szCs w:val="22"/>
        </w:rPr>
      </w:pPr>
    </w:p>
    <w:p w14:paraId="5E1367C1"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Por tanto, no procede su clasificación en términos del artículo 143, fracción I de la Ley de Transparencia y Acceso a la Información Pública del Estado de México y Municipal.</w:t>
      </w:r>
    </w:p>
    <w:p w14:paraId="29803719" w14:textId="77777777" w:rsidR="00083D6C" w:rsidRDefault="00083D6C">
      <w:pPr>
        <w:spacing w:line="360" w:lineRule="auto"/>
        <w:jc w:val="both"/>
        <w:rPr>
          <w:rFonts w:ascii="Palatino Linotype" w:eastAsia="Palatino Linotype" w:hAnsi="Palatino Linotype" w:cs="Palatino Linotype"/>
          <w:sz w:val="22"/>
          <w:szCs w:val="22"/>
        </w:rPr>
      </w:pPr>
    </w:p>
    <w:p w14:paraId="36CE87B5" w14:textId="77777777" w:rsidR="00083D6C" w:rsidRDefault="00EC07DE">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Cuenta bancaria o CLABE interbancaria de Instituciones Públicas</w:t>
      </w:r>
    </w:p>
    <w:p w14:paraId="2C390B7D"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237A80FF"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debe tenerse en cuenta que si bien, el número de cuenta o CLABE interbancaria, corresponde a un número que identifica a una persona física o jurídico colectiva ante una institución bancaria, sin embargo, la naturaleza de la información atiende a la persona que tiene dicha cuenta, así para el caso de instituciones públicas, esta información debe ser pública, puesto que favorece la transparencia y la rendición de cuentas, sirve de apoyo el criterio 11/17, emitido por el INAI, el cual señala:</w:t>
      </w:r>
    </w:p>
    <w:p w14:paraId="2DB36E29" w14:textId="77777777" w:rsidR="00083D6C" w:rsidRDefault="00083D6C">
      <w:pPr>
        <w:spacing w:line="360" w:lineRule="auto"/>
        <w:ind w:left="567" w:right="537"/>
        <w:jc w:val="both"/>
        <w:rPr>
          <w:rFonts w:ascii="Palatino Linotype" w:eastAsia="Palatino Linotype" w:hAnsi="Palatino Linotype" w:cs="Palatino Linotype"/>
          <w:i/>
          <w:color w:val="000000"/>
          <w:sz w:val="22"/>
          <w:szCs w:val="22"/>
        </w:rPr>
      </w:pPr>
    </w:p>
    <w:p w14:paraId="5795E539" w14:textId="77777777" w:rsidR="00083D6C" w:rsidRDefault="00EC07DE">
      <w:pPr>
        <w:spacing w:line="360" w:lineRule="auto"/>
        <w:ind w:left="567" w:right="53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Cuentas bancarias y/o CLABE interbancaria de sujetos obligados que reciben y/o transfieren recursos públicos, son información pública.</w:t>
      </w:r>
      <w:r>
        <w:rPr>
          <w:rFonts w:ascii="Palatino Linotype" w:eastAsia="Palatino Linotype" w:hAnsi="Palatino Linotype" w:cs="Palatino Linotype"/>
          <w:i/>
          <w:color w:val="000000"/>
        </w:rPr>
        <w:t xml:space="preserve"> La difusión de las cuentas bancarias y </w:t>
      </w:r>
      <w:r>
        <w:rPr>
          <w:rFonts w:ascii="Palatino Linotype" w:eastAsia="Palatino Linotype" w:hAnsi="Palatino Linotype" w:cs="Palatino Linotype"/>
          <w:i/>
          <w:color w:val="000000"/>
        </w:rPr>
        <w:lastRenderedPageBreak/>
        <w:t>claves interbancarias pertenecientes a un sujeto obligado favorece la rendición de cuentas al transparentar la forma en que se administran los recursos públicos, razón por la cual no pueden considerarse como información clasificada.”</w:t>
      </w:r>
    </w:p>
    <w:p w14:paraId="2C879CBE"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994E11D"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Para el caso concreto, se trata de números de cuenta de la  Comisión Federal de Electricidad, al respecto, la Ley de dicha Comisión, prevé en su artículo 2°, que corresponde a una empresa productiva del Estado de propiedad exclusiva del Gobierno Federal, con personalidad jurídica y patrimonio propio, por tanto, no procede la clasificación de su número de cuenta en términos del artículo 143, fracción I de la Ley de Transparencia y Acceso a la Información Pública del Estado de México y Municipal.</w:t>
      </w:r>
    </w:p>
    <w:p w14:paraId="0F8D094D"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0AA9ACD" w14:textId="77777777" w:rsidR="00083D6C" w:rsidRDefault="00EC07D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Firma de servidores públicos</w:t>
      </w:r>
    </w:p>
    <w:p w14:paraId="1C017D6C"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00354EA3"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la firma es considerada un dato personal, al tratarse de información gráfica a través de la cual su titular exterioriza su voluntad en actos públicos y privados; sin embargo, en el presente caso, se trata de aquellas que se plasmaron en actos correspondientes al ejercicio de facultades y atribuciones, por lo que resulta necesario traer a colación el Criterio 10/10, emitido por el entonces Instituto Federal de Acceso a la Información y Protección de Datos, mismo que a la letra señala:</w:t>
      </w:r>
    </w:p>
    <w:p w14:paraId="181671C0"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0167E83" w14:textId="77777777" w:rsidR="00083D6C" w:rsidRDefault="00EC07DE">
      <w:pPr>
        <w:spacing w:line="360" w:lineRule="auto"/>
        <w:ind w:left="567" w:right="53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“La firma de los servidores públicos es información de carácter público cuando ésta es utilizada en el ejercicio de las facultades conferidas para el desempeño del servicio público.</w:t>
      </w:r>
      <w:r>
        <w:rPr>
          <w:rFonts w:ascii="Palatino Linotype" w:eastAsia="Palatino Linotype" w:hAnsi="Palatino Linotype" w:cs="Palatino Linotype"/>
          <w:i/>
          <w:color w:val="000000"/>
        </w:rPr>
        <w:t xml:space="preserve">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w:t>
      </w:r>
      <w:r>
        <w:rPr>
          <w:rFonts w:ascii="Palatino Linotype" w:eastAsia="Palatino Linotype" w:hAnsi="Palatino Linotype" w:cs="Palatino Linotype"/>
          <w:i/>
          <w:color w:val="000000"/>
        </w:rPr>
        <w:lastRenderedPageBreak/>
        <w:t>pública, es información de naturaleza pública, dado que documenta y rinde cuentas sobre el debido ejercicio de sus atribuciones con motivo del empleo, cargo o comisión que le han sido encomendados.”</w:t>
      </w:r>
    </w:p>
    <w:p w14:paraId="6A002C6E"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23B556E6"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Conforme a lo anterior, se advierte que la firma si bien es un dato persona confidencial, en</w:t>
      </w:r>
    </w:p>
    <w:p w14:paraId="7ED36E59"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tanto que identifica o hace identificable a su titular, cuando un servidor público emite un acto como autoridad, en ejercicio de las funciones que tiene conferidas, la firma mediante la cual valida dicho acto es pública; por lo que, en el caso concreto, no actualizan la causal de clasificación establecida en el artículo 143, fracción I de la Ley de Transparencia y Acceso a la Información Pública del Estado de México y Municipios.</w:t>
      </w:r>
    </w:p>
    <w:p w14:paraId="103D406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18DC4A78"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Aunado a lo anterior, en la revisión a los oficios entregados, se advierte que </w:t>
      </w:r>
      <w:r>
        <w:rPr>
          <w:rFonts w:ascii="Palatino Linotype" w:eastAsia="Palatino Linotype" w:hAnsi="Palatino Linotype" w:cs="Palatino Linotype"/>
          <w:b/>
          <w:color w:val="000000"/>
          <w:sz w:val="22"/>
          <w:szCs w:val="22"/>
          <w:u w:val="single"/>
        </w:rPr>
        <w:t>se dejó visible</w:t>
      </w:r>
      <w:r>
        <w:rPr>
          <w:rFonts w:ascii="Palatino Linotype" w:eastAsia="Palatino Linotype" w:hAnsi="Palatino Linotype" w:cs="Palatino Linotype"/>
          <w:b/>
          <w:color w:val="000000"/>
          <w:sz w:val="22"/>
          <w:szCs w:val="22"/>
        </w:rPr>
        <w:t xml:space="preserve"> el</w:t>
      </w:r>
      <w:r>
        <w:rPr>
          <w:rFonts w:ascii="Palatino Linotype" w:eastAsia="Palatino Linotype" w:hAnsi="Palatino Linotype" w:cs="Palatino Linotype"/>
          <w:color w:val="000000"/>
          <w:sz w:val="22"/>
          <w:szCs w:val="22"/>
        </w:rPr>
        <w:t xml:space="preserve"> nombre y firma de un particular ajeno al servicio público, en el que firmó de recibido, así como un domicilio señalado en un oficio, a través del cual se refiere que no corresponde al Ayuntamiento de Toluca, los cuales corresponden a datos personales confidenciales, conforme a lo siguiente:</w:t>
      </w:r>
    </w:p>
    <w:p w14:paraId="5621A706"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4116B51" w14:textId="77777777" w:rsidR="00083D6C" w:rsidRDefault="00EC07DE">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Nombres de personas que no son servidores públicos</w:t>
      </w:r>
    </w:p>
    <w:p w14:paraId="0B4EEFF9" w14:textId="77777777" w:rsidR="00083D6C" w:rsidRDefault="00083D6C">
      <w:pPr>
        <w:spacing w:line="360" w:lineRule="auto"/>
        <w:ind w:right="-93"/>
        <w:jc w:val="both"/>
        <w:rPr>
          <w:rFonts w:ascii="Palatino Linotype" w:eastAsia="Palatino Linotype" w:hAnsi="Palatino Linotype" w:cs="Palatino Linotype"/>
          <w:sz w:val="22"/>
          <w:szCs w:val="22"/>
        </w:rPr>
      </w:pPr>
    </w:p>
    <w:p w14:paraId="6E58EC5C" w14:textId="77777777" w:rsidR="00083D6C" w:rsidRDefault="00EC07DE">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 por lo que, </w:t>
      </w:r>
      <w:r>
        <w:rPr>
          <w:rFonts w:ascii="Palatino Linotype" w:eastAsia="Palatino Linotype" w:hAnsi="Palatino Linotype" w:cs="Palatino Linotype"/>
          <w:b/>
          <w:sz w:val="22"/>
          <w:szCs w:val="22"/>
        </w:rPr>
        <w:t>se considera un dato personal.</w:t>
      </w:r>
    </w:p>
    <w:p w14:paraId="64707B82" w14:textId="77777777" w:rsidR="00083D6C" w:rsidRDefault="00083D6C">
      <w:pPr>
        <w:spacing w:line="360" w:lineRule="auto"/>
        <w:jc w:val="both"/>
        <w:rPr>
          <w:rFonts w:ascii="Palatino Linotype" w:eastAsia="Palatino Linotype" w:hAnsi="Palatino Linotype" w:cs="Palatino Linotype"/>
          <w:sz w:val="22"/>
          <w:szCs w:val="22"/>
        </w:rPr>
      </w:pPr>
    </w:p>
    <w:p w14:paraId="4A3F0E41"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7012C042" w14:textId="77777777" w:rsidR="00083D6C" w:rsidRDefault="00083D6C">
      <w:pPr>
        <w:spacing w:line="360" w:lineRule="auto"/>
        <w:jc w:val="both"/>
        <w:rPr>
          <w:rFonts w:ascii="Palatino Linotype" w:eastAsia="Palatino Linotype" w:hAnsi="Palatino Linotype" w:cs="Palatino Linotype"/>
          <w:sz w:val="22"/>
          <w:szCs w:val="22"/>
        </w:rPr>
      </w:pPr>
    </w:p>
    <w:p w14:paraId="1A668C5B" w14:textId="77777777" w:rsidR="00083D6C" w:rsidRDefault="00EC07DE">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6B233395" w14:textId="77777777" w:rsidR="00083D6C" w:rsidRDefault="00083D6C">
      <w:pPr>
        <w:spacing w:line="360" w:lineRule="auto"/>
        <w:ind w:right="-93"/>
        <w:jc w:val="both"/>
        <w:rPr>
          <w:rFonts w:ascii="Palatino Linotype" w:eastAsia="Palatino Linotype" w:hAnsi="Palatino Linotype" w:cs="Palatino Linotype"/>
          <w:sz w:val="22"/>
          <w:szCs w:val="22"/>
        </w:rPr>
      </w:pPr>
    </w:p>
    <w:p w14:paraId="407EC1A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base en lo anterior, procede su eliminación de las versiones públicas, pues actualiza el supuesto previsto en el artículo 143 fracción I de la Ley de Transparencia y Acceso a la Información Pública del Estado de México y Municipios.</w:t>
      </w:r>
    </w:p>
    <w:p w14:paraId="59D729E9"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2E6FA31E" w14:textId="77777777" w:rsidR="00083D6C" w:rsidRDefault="00EC07DE">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Firma de particulares</w:t>
      </w:r>
    </w:p>
    <w:p w14:paraId="0BD176B7" w14:textId="77777777" w:rsidR="00083D6C" w:rsidRDefault="00083D6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7DC40286"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Como se señaló en líneas anteriores, la firma de particulares ajenos al servicio público, que no son proveedores o no recibieron algún beneficio es considerada un dato personal, al tratarse de información gráfica a través de la cual su titular exterioriza su voluntad en actos públicos y privados. Por lo que se trata de un dato personal confidencial, en términos del artículo 143, fracción I de la Ley de Transparencia y Acceso a la Información Pública del Estado de México y Municipios.</w:t>
      </w:r>
    </w:p>
    <w:p w14:paraId="63A1C9C9"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50C70EA4" w14:textId="77777777" w:rsidR="00083D6C" w:rsidRDefault="00EC07D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Domicilio de particulares</w:t>
      </w:r>
    </w:p>
    <w:p w14:paraId="7F89959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5C3DF21E"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sin que esta información sea de relevancia para el interés público, así como tampoco tiene relevancia en el ejercicio de atribuciones de los servidores públicos. Por lo que se trata de un dato personal confidencial, en términos del artículo 143, fracción I de la Ley de Transparencia y Acceso a la Información Pública del Estado de México y Municipios. Por lo antes expuesto, se determina que el Sujeto Obligado dejó visibles datos personales confidenciales, por tanto, es procedente dar </w:t>
      </w:r>
      <w:r>
        <w:rPr>
          <w:rFonts w:ascii="Palatino Linotype" w:eastAsia="Palatino Linotype" w:hAnsi="Palatino Linotype" w:cs="Palatino Linotype"/>
          <w:sz w:val="22"/>
          <w:szCs w:val="22"/>
        </w:rPr>
        <w:t>vista a la Dirección General de Protección de Datos Personales, como se analizará en considerandos subsecuentes.</w:t>
      </w:r>
    </w:p>
    <w:p w14:paraId="4F7E3E64"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392C65D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los razonamientos antes vertidos, resulta dable considerar que </w:t>
      </w:r>
      <w:r>
        <w:rPr>
          <w:rFonts w:ascii="Palatino Linotype" w:eastAsia="Palatino Linotype" w:hAnsi="Palatino Linotype" w:cs="Palatino Linotype"/>
          <w:b/>
          <w:sz w:val="22"/>
          <w:szCs w:val="22"/>
        </w:rPr>
        <w:t>la versión pública fue incorrecta</w:t>
      </w:r>
      <w:r>
        <w:rPr>
          <w:rFonts w:ascii="Palatino Linotype" w:eastAsia="Palatino Linotype" w:hAnsi="Palatino Linotype" w:cs="Palatino Linotype"/>
          <w:sz w:val="22"/>
          <w:szCs w:val="22"/>
        </w:rPr>
        <w:t>; sin embargo, es preciso señalar que el Sujeto Obligado acompañó la entrega de los oficios con el Acta de la Centésima Cuadragésima Segunda Sesión Extraordinaria del 2024, de su Comité de Transparencia; en el que atendió diversas solicitudes de información y realizó dos clasificaciones; la primera atiende a una clasificación de información confidencial de forma parcial y la segunda a una clasificación como información reservada en su totalidad de algunos oficios dirigidos a la Dirección General de Seguridad y Protección y Contraloría Municipal.</w:t>
      </w:r>
    </w:p>
    <w:p w14:paraId="774B7E9B" w14:textId="77777777" w:rsidR="00083D6C" w:rsidRDefault="00083D6C">
      <w:pPr>
        <w:spacing w:line="360" w:lineRule="auto"/>
        <w:jc w:val="both"/>
        <w:rPr>
          <w:rFonts w:ascii="Palatino Linotype" w:eastAsia="Palatino Linotype" w:hAnsi="Palatino Linotype" w:cs="Palatino Linotype"/>
          <w:b/>
          <w:sz w:val="22"/>
          <w:szCs w:val="22"/>
        </w:rPr>
      </w:pPr>
    </w:p>
    <w:p w14:paraId="2645058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pues,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0F20ABF" w14:textId="77777777" w:rsidR="00083D6C" w:rsidRDefault="00083D6C">
      <w:pPr>
        <w:spacing w:line="360" w:lineRule="auto"/>
        <w:jc w:val="both"/>
        <w:rPr>
          <w:rFonts w:ascii="Palatino Linotype" w:eastAsia="Palatino Linotype" w:hAnsi="Palatino Linotype" w:cs="Palatino Linotype"/>
          <w:sz w:val="22"/>
          <w:szCs w:val="22"/>
        </w:rPr>
      </w:pPr>
    </w:p>
    <w:p w14:paraId="20932126"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476B6786" w14:textId="77777777" w:rsidR="00083D6C" w:rsidRDefault="00083D6C">
      <w:pPr>
        <w:spacing w:line="360" w:lineRule="auto"/>
        <w:jc w:val="both"/>
        <w:rPr>
          <w:rFonts w:ascii="Palatino Linotype" w:eastAsia="Palatino Linotype" w:hAnsi="Palatino Linotype" w:cs="Palatino Linotype"/>
          <w:sz w:val="22"/>
          <w:szCs w:val="22"/>
        </w:rPr>
      </w:pPr>
    </w:p>
    <w:p w14:paraId="7E6F6CC6" w14:textId="77777777" w:rsidR="00083D6C" w:rsidRDefault="00EC07D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Confidencial</w:t>
      </w:r>
      <w:r>
        <w:rPr>
          <w:rFonts w:ascii="Palatino Linotype" w:eastAsia="Palatino Linotype" w:hAnsi="Palatino Linotype" w:cs="Palatino Linotype"/>
          <w:color w:val="000000"/>
          <w:sz w:val="22"/>
          <w:szCs w:val="22"/>
        </w:rPr>
        <w:t>: Se trata de datos personales o de la vida privada de una persona física o jurídico-colectiva y encuentran su sustento legal en el artículo 143 de la Ley de Transparencia y Acceso a la Información Pública del Estado de México y Municipios</w:t>
      </w:r>
    </w:p>
    <w:p w14:paraId="13ACD3C1" w14:textId="77777777" w:rsidR="00083D6C" w:rsidRDefault="00083D6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8445546" w14:textId="77777777" w:rsidR="00083D6C" w:rsidRDefault="00EC07D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Reservada:</w:t>
      </w:r>
      <w:r>
        <w:rPr>
          <w:rFonts w:ascii="Palatino Linotype" w:eastAsia="Palatino Linotype" w:hAnsi="Palatino Linotype" w:cs="Palatino Linotype"/>
          <w:color w:val="000000"/>
          <w:sz w:val="22"/>
          <w:szCs w:val="22"/>
        </w:rPr>
        <w:t xml:space="preserve"> Es información de carácter público, que no puede ser proporcionada al actualizar alguna de las causales establecidas en el artículo 140 de la Ley de </w:t>
      </w:r>
      <w:r>
        <w:rPr>
          <w:rFonts w:ascii="Palatino Linotype" w:eastAsia="Palatino Linotype" w:hAnsi="Palatino Linotype" w:cs="Palatino Linotype"/>
          <w:color w:val="000000"/>
          <w:sz w:val="22"/>
          <w:szCs w:val="22"/>
        </w:rPr>
        <w:lastRenderedPageBreak/>
        <w:t xml:space="preserve">Transparencia y Acceso a la Información Pública del Estado de México y Municipios y demás aplicables. </w:t>
      </w:r>
    </w:p>
    <w:p w14:paraId="2088472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271F8701"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pues, existen dos supuestos para la restricción del acceso a la información; que implica que la información solicitada se trate de datos personales confidenciales o que se actualice algún supuesto de reserva.</w:t>
      </w:r>
    </w:p>
    <w:p w14:paraId="7F8AFC4A" w14:textId="77777777" w:rsidR="00083D6C" w:rsidRDefault="00083D6C">
      <w:pPr>
        <w:spacing w:line="360" w:lineRule="auto"/>
        <w:jc w:val="both"/>
        <w:rPr>
          <w:rFonts w:ascii="Palatino Linotype" w:eastAsia="Palatino Linotype" w:hAnsi="Palatino Linotype" w:cs="Palatino Linotype"/>
          <w:b/>
          <w:sz w:val="22"/>
          <w:szCs w:val="22"/>
        </w:rPr>
      </w:pPr>
    </w:p>
    <w:p w14:paraId="11FD954D"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de la </w:t>
      </w:r>
      <w:r>
        <w:rPr>
          <w:rFonts w:ascii="Palatino Linotype" w:eastAsia="Palatino Linotype" w:hAnsi="Palatino Linotype" w:cs="Palatino Linotype"/>
          <w:sz w:val="22"/>
          <w:szCs w:val="22"/>
          <w:u w:val="single"/>
        </w:rPr>
        <w:t>clasificación de información confidencial de forma parcial</w:t>
      </w:r>
      <w:r>
        <w:rPr>
          <w:rFonts w:ascii="Palatino Linotype" w:eastAsia="Palatino Linotype" w:hAnsi="Palatino Linotype" w:cs="Palatino Linotype"/>
          <w:sz w:val="22"/>
          <w:szCs w:val="22"/>
        </w:rPr>
        <w:t>, correspondiente a los datos personales, cabe señalar que la clasificación se hizo de forma general, sin precisar de forma coincidente los datos personales aplicables para el caso concreto de los oficios entregados en la respuesta que nos ocupa; tan es así que se advierte el análisis de datos que no coinciden con los testados en el caso que nos ocupan, como la condición de salud, parentesco, teléfono o clave de ISSEMYM; además, como se señaló en líneas anteriores en los oficios se testó información de más, por lo cual, la versión pública que sustenta el acta del Comité de Transparencia entregado en respuesta no se encuentra debidamente motivado ni apegado al caso concreto.</w:t>
      </w:r>
    </w:p>
    <w:p w14:paraId="48556C89" w14:textId="77777777" w:rsidR="00083D6C" w:rsidRDefault="00083D6C">
      <w:pPr>
        <w:spacing w:line="360" w:lineRule="auto"/>
        <w:jc w:val="both"/>
        <w:rPr>
          <w:rFonts w:ascii="Palatino Linotype" w:eastAsia="Palatino Linotype" w:hAnsi="Palatino Linotype" w:cs="Palatino Linotype"/>
          <w:sz w:val="22"/>
          <w:szCs w:val="22"/>
        </w:rPr>
      </w:pPr>
    </w:p>
    <w:p w14:paraId="10319B2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w:t>
      </w:r>
      <w:r>
        <w:rPr>
          <w:rFonts w:ascii="Palatino Linotype" w:eastAsia="Palatino Linotype" w:hAnsi="Palatino Linotype" w:cs="Palatino Linotype"/>
          <w:sz w:val="22"/>
          <w:szCs w:val="22"/>
          <w:u w:val="single"/>
        </w:rPr>
        <w:t>respecto a la reserva en su totalidad de oficios</w:t>
      </w:r>
      <w:r>
        <w:rPr>
          <w:rFonts w:ascii="Palatino Linotype" w:eastAsia="Palatino Linotype" w:hAnsi="Palatino Linotype" w:cs="Palatino Linotype"/>
          <w:sz w:val="22"/>
          <w:szCs w:val="22"/>
        </w:rPr>
        <w:t xml:space="preserve"> dirigidos a la Dirección General de Seguridad y Protección y Contraloría Municipal; </w:t>
      </w:r>
      <w:r>
        <w:rPr>
          <w:rFonts w:ascii="Palatino Linotype" w:eastAsia="Palatino Linotype" w:hAnsi="Palatino Linotype" w:cs="Palatino Linotype"/>
          <w:color w:val="0D0D0D"/>
          <w:sz w:val="22"/>
          <w:szCs w:val="22"/>
        </w:rPr>
        <w:t xml:space="preserve">en ese sentido, conforme al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Pr>
          <w:rFonts w:ascii="Palatino Linotype" w:eastAsia="Palatino Linotype" w:hAnsi="Palatino Linotype" w:cs="Palatino Linotype"/>
          <w:b/>
          <w:color w:val="0D0D0D"/>
          <w:sz w:val="22"/>
          <w:szCs w:val="22"/>
        </w:rPr>
        <w:t>análisis caso por caso.</w:t>
      </w:r>
    </w:p>
    <w:p w14:paraId="5A195F9C" w14:textId="77777777" w:rsidR="00083D6C" w:rsidRDefault="00083D6C">
      <w:pPr>
        <w:spacing w:line="360" w:lineRule="auto"/>
        <w:jc w:val="both"/>
        <w:rPr>
          <w:rFonts w:ascii="Palatino Linotype" w:eastAsia="Palatino Linotype" w:hAnsi="Palatino Linotype" w:cs="Palatino Linotype"/>
          <w:b/>
          <w:color w:val="0D0D0D"/>
          <w:sz w:val="22"/>
          <w:szCs w:val="22"/>
        </w:rPr>
      </w:pPr>
    </w:p>
    <w:p w14:paraId="1A75D1F8"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Pr>
          <w:rFonts w:ascii="Palatino Linotype" w:eastAsia="Palatino Linotype" w:hAnsi="Palatino Linotype" w:cs="Palatino Linotype"/>
          <w:b/>
          <w:color w:val="0D0D0D"/>
          <w:sz w:val="22"/>
          <w:szCs w:val="22"/>
        </w:rPr>
        <w:t>deberán fundar y motivar</w:t>
      </w:r>
      <w:r>
        <w:rPr>
          <w:rFonts w:ascii="Palatino Linotype" w:eastAsia="Palatino Linotype" w:hAnsi="Palatino Linotype" w:cs="Palatino Linotype"/>
          <w:color w:val="0D0D0D"/>
          <w:sz w:val="22"/>
          <w:szCs w:val="22"/>
        </w:rPr>
        <w:t xml:space="preserve"> debidamente la clasificación de la información.</w:t>
      </w:r>
    </w:p>
    <w:p w14:paraId="3504D8F5" w14:textId="77777777" w:rsidR="00083D6C" w:rsidRDefault="00083D6C">
      <w:pPr>
        <w:spacing w:line="360" w:lineRule="auto"/>
        <w:jc w:val="both"/>
        <w:rPr>
          <w:rFonts w:ascii="Palatino Linotype" w:eastAsia="Palatino Linotype" w:hAnsi="Palatino Linotype" w:cs="Palatino Linotype"/>
          <w:b/>
          <w:color w:val="0D0D0D"/>
          <w:sz w:val="22"/>
          <w:szCs w:val="22"/>
        </w:rPr>
      </w:pPr>
    </w:p>
    <w:p w14:paraId="1603FBE2"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el Octavo de los Lineamientos Generales, precisa lo siguiente:</w:t>
      </w:r>
    </w:p>
    <w:p w14:paraId="31E2CE84"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5196762" w14:textId="77777777" w:rsidR="00083D6C" w:rsidRDefault="00EC07DE">
      <w:pPr>
        <w:numPr>
          <w:ilvl w:val="0"/>
          <w:numId w:val="5"/>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fundar la clasificación</w:t>
      </w:r>
      <w:r>
        <w:rPr>
          <w:rFonts w:ascii="Palatino Linotype" w:eastAsia="Palatino Linotype" w:hAnsi="Palatino Linotype" w:cs="Palatino Linotype"/>
          <w:color w:val="0D0D0D"/>
          <w:sz w:val="22"/>
          <w:szCs w:val="22"/>
        </w:rPr>
        <w:t xml:space="preserve"> de la información se deberán señalar el artículo, fracción, inciso, párrafo o numeral de la Ley aplicable;</w:t>
      </w:r>
    </w:p>
    <w:p w14:paraId="1A9FF4BE" w14:textId="77777777" w:rsidR="00083D6C" w:rsidRDefault="00083D6C">
      <w:pPr>
        <w:spacing w:line="360" w:lineRule="auto"/>
        <w:ind w:left="720"/>
        <w:jc w:val="both"/>
        <w:rPr>
          <w:rFonts w:ascii="Palatino Linotype" w:eastAsia="Palatino Linotype" w:hAnsi="Palatino Linotype" w:cs="Palatino Linotype"/>
          <w:color w:val="0D0D0D"/>
          <w:sz w:val="22"/>
          <w:szCs w:val="22"/>
        </w:rPr>
      </w:pPr>
    </w:p>
    <w:p w14:paraId="057CE436" w14:textId="77777777" w:rsidR="00083D6C" w:rsidRDefault="00EC07DE">
      <w:pPr>
        <w:numPr>
          <w:ilvl w:val="0"/>
          <w:numId w:val="5"/>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motivar la clasificación</w:t>
      </w:r>
      <w:r>
        <w:rPr>
          <w:rFonts w:ascii="Palatino Linotype" w:eastAsia="Palatino Linotype" w:hAnsi="Palatino Linotype" w:cs="Palatino Linotype"/>
          <w:color w:val="0D0D0D"/>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234B8E29" w14:textId="77777777" w:rsidR="00083D6C" w:rsidRDefault="00083D6C">
      <w:pPr>
        <w:spacing w:line="360" w:lineRule="auto"/>
        <w:ind w:left="720"/>
        <w:rPr>
          <w:rFonts w:ascii="Palatino Linotype" w:eastAsia="Palatino Linotype" w:hAnsi="Palatino Linotype" w:cs="Palatino Linotype"/>
          <w:color w:val="0D0D0D"/>
          <w:sz w:val="22"/>
          <w:szCs w:val="22"/>
        </w:rPr>
      </w:pPr>
    </w:p>
    <w:p w14:paraId="24998A9F"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3167B36E"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725B493E"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“FUNDAMENTACION Y MOTIVACION, CONCEPTO DE. </w:t>
      </w:r>
      <w:r>
        <w:rPr>
          <w:rFonts w:ascii="Palatino Linotype" w:eastAsia="Palatino Linotype" w:hAnsi="Palatino Linotype" w:cs="Palatino Linotype"/>
          <w:i/>
          <w:color w:val="0D0D0D"/>
        </w:rPr>
        <w:t xml:space="preserve">La garantía de legalidad consagrada en el artículo 16 de nuestra Carta Magna, establece que todo acto de autoridad precisa </w:t>
      </w:r>
      <w:r>
        <w:rPr>
          <w:rFonts w:ascii="Palatino Linotype" w:eastAsia="Palatino Linotype" w:hAnsi="Palatino Linotype" w:cs="Palatino Linotype"/>
          <w:i/>
          <w:color w:val="0D0D0D"/>
        </w:rPr>
        <w:lastRenderedPageBreak/>
        <w:t>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315B7E6"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33CCD71"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se advierte lo siguiente:</w:t>
      </w:r>
    </w:p>
    <w:p w14:paraId="2EA24E8E" w14:textId="77777777" w:rsidR="00083D6C" w:rsidRDefault="00EC07DE">
      <w:pPr>
        <w:numPr>
          <w:ilvl w:val="0"/>
          <w:numId w:val="6"/>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Fundamentación: </w:t>
      </w:r>
      <w:r>
        <w:rPr>
          <w:rFonts w:ascii="Palatino Linotype" w:eastAsia="Palatino Linotype" w:hAnsi="Palatino Linotype" w:cs="Palatino Linotype"/>
          <w:color w:val="0D0D0D"/>
          <w:sz w:val="22"/>
          <w:szCs w:val="22"/>
        </w:rPr>
        <w:t>Obligación de la autoridad que emite un acto, para citar los preceptos legales, sustantivos y adjetivos, en que se apoye para la determinación tomada.</w:t>
      </w:r>
    </w:p>
    <w:p w14:paraId="23AC63A5" w14:textId="77777777" w:rsidR="00083D6C" w:rsidRDefault="00083D6C">
      <w:pPr>
        <w:spacing w:line="360" w:lineRule="auto"/>
        <w:ind w:left="720"/>
        <w:jc w:val="both"/>
        <w:rPr>
          <w:rFonts w:ascii="Palatino Linotype" w:eastAsia="Palatino Linotype" w:hAnsi="Palatino Linotype" w:cs="Palatino Linotype"/>
          <w:b/>
          <w:color w:val="0D0D0D"/>
          <w:sz w:val="22"/>
          <w:szCs w:val="22"/>
        </w:rPr>
      </w:pPr>
    </w:p>
    <w:p w14:paraId="2777846A" w14:textId="77777777" w:rsidR="00083D6C" w:rsidRDefault="00EC07DE">
      <w:pPr>
        <w:numPr>
          <w:ilvl w:val="0"/>
          <w:numId w:val="6"/>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Motivación: </w:t>
      </w:r>
      <w:r>
        <w:rPr>
          <w:rFonts w:ascii="Palatino Linotype" w:eastAsia="Palatino Linotype" w:hAnsi="Palatino Linotype" w:cs="Palatino Linotype"/>
          <w:color w:val="0D0D0D"/>
          <w:sz w:val="22"/>
          <w:szCs w:val="22"/>
        </w:rPr>
        <w:t>Razonamientos lógico-jurídicos sobre porque se consideró en el caso en concreto, que se ajusta a la hipótesis normativa.</w:t>
      </w:r>
    </w:p>
    <w:p w14:paraId="2F1F9752"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9FD0332"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ese orden de ideas, el Trigésimo tercero de los Lineamientos Generales, establece la forma en que se debe fundamentar y motivar la reserva de la información, es decir, a través de los siguientes pasos:</w:t>
      </w:r>
    </w:p>
    <w:p w14:paraId="2A709046"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3B5B919D"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2EE191D" w14:textId="77777777" w:rsidR="00083D6C" w:rsidRDefault="00083D6C">
      <w:pPr>
        <w:spacing w:line="360" w:lineRule="auto"/>
        <w:ind w:left="720"/>
        <w:jc w:val="both"/>
        <w:rPr>
          <w:rFonts w:ascii="Palatino Linotype" w:eastAsia="Palatino Linotype" w:hAnsi="Palatino Linotype" w:cs="Palatino Linotype"/>
          <w:color w:val="0D0D0D"/>
          <w:sz w:val="22"/>
          <w:szCs w:val="22"/>
        </w:rPr>
      </w:pPr>
    </w:p>
    <w:p w14:paraId="434648A6"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motivar la clasificación, al señalar las circunstancias de modo, tiempo y lugar del daño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que acrediten el vínculo entre la difusión de la información y la afectación al interés público.</w:t>
      </w:r>
    </w:p>
    <w:p w14:paraId="7A5DDD58" w14:textId="77777777" w:rsidR="00083D6C" w:rsidRDefault="00083D6C">
      <w:pPr>
        <w:spacing w:line="360" w:lineRule="auto"/>
        <w:ind w:left="720"/>
        <w:rPr>
          <w:rFonts w:ascii="Palatino Linotype" w:eastAsia="Palatino Linotype" w:hAnsi="Palatino Linotype" w:cs="Palatino Linotype"/>
          <w:color w:val="0D0D0D"/>
          <w:sz w:val="22"/>
          <w:szCs w:val="22"/>
        </w:rPr>
      </w:pPr>
    </w:p>
    <w:p w14:paraId="7E017F63"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Se tendrán que indicar las razones objetivas por las que la apertura de la información generaría una afectación, por medio del riesgo real, demostrable e identificable;</w:t>
      </w:r>
    </w:p>
    <w:p w14:paraId="1A80F413" w14:textId="77777777" w:rsidR="00083D6C" w:rsidRDefault="00083D6C">
      <w:pPr>
        <w:spacing w:line="360" w:lineRule="auto"/>
        <w:ind w:left="720"/>
        <w:rPr>
          <w:rFonts w:ascii="Palatino Linotype" w:eastAsia="Palatino Linotype" w:hAnsi="Palatino Linotype" w:cs="Palatino Linotype"/>
          <w:color w:val="0D0D0D"/>
          <w:sz w:val="22"/>
          <w:szCs w:val="22"/>
        </w:rPr>
      </w:pPr>
    </w:p>
    <w:p w14:paraId="60204129"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Mediante un ejercicio de ponderación, se tendrá que acreditar que la publicidad de la información, generaría un riesgo de perjuicio que supera el interés público;</w:t>
      </w:r>
    </w:p>
    <w:p w14:paraId="5070ADF1" w14:textId="77777777" w:rsidR="00083D6C" w:rsidRDefault="00083D6C">
      <w:pPr>
        <w:spacing w:line="360" w:lineRule="auto"/>
        <w:ind w:left="720"/>
        <w:rPr>
          <w:rFonts w:ascii="Palatino Linotype" w:eastAsia="Palatino Linotype" w:hAnsi="Palatino Linotype" w:cs="Palatino Linotype"/>
          <w:color w:val="0D0D0D"/>
          <w:sz w:val="22"/>
          <w:szCs w:val="22"/>
        </w:rPr>
      </w:pPr>
    </w:p>
    <w:p w14:paraId="0DCDCD8C"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elegirá la opción de excepción al acceso a la información que menos restrinja, la cual será adecuada y proporcional para la protección del interés público, y</w:t>
      </w:r>
    </w:p>
    <w:p w14:paraId="2B5322EA" w14:textId="77777777" w:rsidR="00083D6C" w:rsidRDefault="00083D6C">
      <w:pPr>
        <w:spacing w:line="360" w:lineRule="auto"/>
        <w:ind w:left="720"/>
        <w:rPr>
          <w:rFonts w:ascii="Palatino Linotype" w:eastAsia="Palatino Linotype" w:hAnsi="Palatino Linotype" w:cs="Palatino Linotype"/>
          <w:color w:val="0D0D0D"/>
          <w:sz w:val="22"/>
          <w:szCs w:val="22"/>
        </w:rPr>
      </w:pPr>
    </w:p>
    <w:p w14:paraId="2F6F478C" w14:textId="77777777" w:rsidR="00083D6C" w:rsidRDefault="00EC07DE">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desarrollar la prueba de daño con la mayor claridad y precisión posible.</w:t>
      </w:r>
    </w:p>
    <w:p w14:paraId="5B1885D9"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56D3B451"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del análisis del Acuerdo proporcionado, se logra vislumbrar que el Comité de Transparencia, no fundamentó, ni motivó la clasificación de la información de manera correcta, toda vez que resulta confusa la fundamentación y motivación utilizada por el Sujeto Obligado, pues la prueba de daño, es genérica y no establece parámetros específicos para acreditar la reserva, además, se considera lo siguiente:</w:t>
      </w:r>
    </w:p>
    <w:p w14:paraId="12B96324"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D1D1C24" w14:textId="77777777" w:rsidR="00083D6C" w:rsidRDefault="00EC07DE">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Sujeto Obligado clasificó la información con un acuerdo que atiende a varias solicitudes, cuyo objeto son varios oficios de diversas temporalidades sin atender específicamente al que nos ocupa; por tanto, no se tiene la certeza de que los oficios clasificados correspondan a la temporalidad que fue solicitada en el caso que nos ocupa. </w:t>
      </w:r>
    </w:p>
    <w:p w14:paraId="10CD7689" w14:textId="77777777" w:rsidR="00083D6C" w:rsidRDefault="00EC07DE">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No se señaló de forma específica los folios de los oficios que se clasifican, el destinatario, ni las razones o motivos concretos de cada uno de ellos, ya que únicamente precisó que corresponden a información de </w:t>
      </w:r>
      <w:r>
        <w:rPr>
          <w:rFonts w:ascii="Palatino Linotype" w:eastAsia="Palatino Linotype" w:hAnsi="Palatino Linotype" w:cs="Palatino Linotype"/>
          <w:b/>
          <w:i/>
          <w:sz w:val="22"/>
          <w:szCs w:val="22"/>
        </w:rPr>
        <w:t>exámenes de control y confianza del nuevo director y mandos de seguridad de la policía municipal y tránsito</w:t>
      </w:r>
      <w:r>
        <w:rPr>
          <w:rFonts w:ascii="Palatino Linotype" w:eastAsia="Palatino Linotype" w:hAnsi="Palatino Linotype" w:cs="Palatino Linotype"/>
          <w:i/>
          <w:sz w:val="22"/>
          <w:szCs w:val="22"/>
        </w:rPr>
        <w:t>.</w:t>
      </w:r>
    </w:p>
    <w:p w14:paraId="35491726" w14:textId="77777777" w:rsidR="00083D6C" w:rsidRDefault="00EC07DE">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No señaló de manera clara y precisa los artículos de los ordenamientos jurídicos aplicables, puesto que señaló e</w:t>
      </w:r>
      <w:r>
        <w:rPr>
          <w:rFonts w:ascii="Palatino Linotype" w:eastAsia="Palatino Linotype" w:hAnsi="Palatino Linotype" w:cs="Palatino Linotype"/>
          <w:sz w:val="22"/>
          <w:szCs w:val="22"/>
        </w:rPr>
        <w:t>l artículo 140 fracciones I, III, IV, VI, VIII, IX y X de la Ley de Transparencia del Estado.</w:t>
      </w:r>
    </w:p>
    <w:p w14:paraId="5009DB2E" w14:textId="77777777" w:rsidR="00083D6C" w:rsidRDefault="00EC07DE">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No precisó las razones objetivas, concretas y específicas por las cuales la apertura de la información generaría una afectación que rebase el interés público, pues, el Sujeto Obligado confundió la argumentación, entre diversos supuestos de clasificación distintos.</w:t>
      </w:r>
    </w:p>
    <w:p w14:paraId="252A4D67" w14:textId="77777777" w:rsidR="00083D6C" w:rsidRDefault="00EC07DE">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No acreditó el vínculo entre la información peticionada y la afectación que podría causar, pues únicamente precisó diversos supuestos establecidos en la Ley de la materia y Lineamientos Generales, así como argumentos que atienden a diversos supuestos.</w:t>
      </w:r>
    </w:p>
    <w:p w14:paraId="62E82C27" w14:textId="77777777" w:rsidR="00083D6C" w:rsidRDefault="00EC07DE">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Argumentó como riesgo real el desconocimiento de los fines y de la persona que solicitó la información, sin embargo, dicha información no es un requisito indispensable para la entrega de la información y, por tanto, el argumento resulta improcedente.</w:t>
      </w:r>
    </w:p>
    <w:p w14:paraId="7FF2B5CC"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1D3546F3"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Así, se advierte que el Comité de Transparencia,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w:t>
      </w:r>
    </w:p>
    <w:p w14:paraId="1FEFAB3A"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48888678"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Aunado a ello es preciso señalar que, respecto a los exámenes de confianza, el Pleno de este Organismo Garante, emitió el criterio reiterado 06/24, que a la letra determina:</w:t>
      </w:r>
    </w:p>
    <w:p w14:paraId="389B7E7D"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40505388" w14:textId="77777777" w:rsidR="00083D6C" w:rsidRDefault="00EC07DE">
      <w:pPr>
        <w:spacing w:line="360" w:lineRule="auto"/>
        <w:ind w:left="567" w:right="53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“RESULTADO GLOBAL DE EVALUACIONES DE EXAMEN DE CONTROL DE CONFIANZA. DOCUMENTO DE CARÁCTER PÚBLICO</w:t>
      </w:r>
      <w:r>
        <w:rPr>
          <w:rFonts w:ascii="Palatino Linotype" w:eastAsia="Palatino Linotype" w:hAnsi="Palatino Linotype" w:cs="Palatino Linotype"/>
          <w:i/>
          <w:color w:val="0D0D0D"/>
        </w:rPr>
        <w:t>. El resultado de los procesos de cada etapa y los expedientes respecto a las evaluaciones de control de confianza, son confidenciales; sin embargo, será público el resultado global correspondiente a que el servidor público haya “Aprobado” o “No Aprobado” la evaluación, pues es de interés público conocer si los servidores públicos contratados cumplen con los requisitos legales para el ingreso y permanencia en el servicio público, de conformidad con lo dispuesto por el artículo 109, de la Ley de Seguridad del Estado de México.”</w:t>
      </w:r>
    </w:p>
    <w:p w14:paraId="64A1653E"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1EB5D763"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al anterior, los resultados globales de las evaluaciones de control de confianza tienen el carácter de público, por lo que para el caso de que se trate de un resultado global, deberá atender a lo dispuesto en el criterio reiterado y considerarlo como información pública.</w:t>
      </w:r>
    </w:p>
    <w:p w14:paraId="4114BEF7"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53EEE6F1"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Sin menoscabo de lo anterior y para el caso concreto de información relacionada con procedimientos administrativos de responsabilidades administrativas que se encuentre en trámite, tal como el nombre de un servidor público que fue testado en uno de los oficios entregados en respuesta y que se vincula con el supuesto, se deberá determinar la posible reserva de la información atendiendo a lo siguiente:</w:t>
      </w:r>
    </w:p>
    <w:p w14:paraId="0F1E83E5" w14:textId="77777777" w:rsidR="00083D6C" w:rsidRDefault="00083D6C">
      <w:pPr>
        <w:spacing w:line="360" w:lineRule="auto"/>
        <w:jc w:val="both"/>
        <w:rPr>
          <w:rFonts w:ascii="Palatino Linotype" w:eastAsia="Palatino Linotype" w:hAnsi="Palatino Linotype" w:cs="Palatino Linotype"/>
          <w:sz w:val="22"/>
          <w:szCs w:val="22"/>
        </w:rPr>
      </w:pPr>
    </w:p>
    <w:p w14:paraId="20B6A197"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por lo que hace a la causal de clasificación establecida en el artículo 140, fracciones VI, VIII y X, de la Ley de Transparencia y Acceso a la Información Pública del Estado de México y Municipios (homólogo al 113, fracción XI, de la Ley General de Transparencia y Acceso a la Información Pública), misma que establece que será información reservada, aquella que vulnere la conducción de los procedimientos administrativos seguidos en forma de juicio, en tanto no hayan causado estado.</w:t>
      </w:r>
    </w:p>
    <w:p w14:paraId="1961D694"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5971B27F"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En ese sentido, los Lineamientos Generales prevén lo siguiente:</w:t>
      </w:r>
    </w:p>
    <w:p w14:paraId="79D99DF5"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2C8DA875"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“Trigésimo.</w:t>
      </w:r>
      <w:r>
        <w:rPr>
          <w:rFonts w:ascii="Palatino Linotype" w:eastAsia="Palatino Linotype" w:hAnsi="Palatino Linotype" w:cs="Palatino Linotype"/>
          <w:i/>
          <w:color w:val="0D0D0D"/>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51844C12" w14:textId="77777777" w:rsidR="00083D6C" w:rsidRDefault="00083D6C">
      <w:pPr>
        <w:spacing w:line="360" w:lineRule="auto"/>
        <w:ind w:left="567" w:right="567"/>
        <w:jc w:val="both"/>
        <w:rPr>
          <w:rFonts w:ascii="Palatino Linotype" w:eastAsia="Palatino Linotype" w:hAnsi="Palatino Linotype" w:cs="Palatino Linotype"/>
          <w:i/>
          <w:color w:val="0D0D0D"/>
        </w:rPr>
      </w:pPr>
    </w:p>
    <w:p w14:paraId="5B6737E3" w14:textId="77777777" w:rsidR="00083D6C" w:rsidRDefault="00EC07D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La existencia de un juicio o procedimiento administrativo materialmente jurisdiccional, que se encuentre en trámite; </w:t>
      </w:r>
    </w:p>
    <w:p w14:paraId="21D7E824" w14:textId="77777777" w:rsidR="00083D6C" w:rsidRDefault="00083D6C">
      <w:pPr>
        <w:spacing w:line="360" w:lineRule="auto"/>
        <w:ind w:left="567" w:right="567"/>
        <w:jc w:val="both"/>
        <w:rPr>
          <w:rFonts w:ascii="Palatino Linotype" w:eastAsia="Palatino Linotype" w:hAnsi="Palatino Linotype" w:cs="Palatino Linotype"/>
          <w:i/>
        </w:rPr>
      </w:pPr>
    </w:p>
    <w:p w14:paraId="72F17D66" w14:textId="77777777" w:rsidR="00083D6C" w:rsidRDefault="00EC07D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Que la información solicitada se refiera a actuaciones, diligencias o constancias propias del procedimiento; y</w:t>
      </w:r>
    </w:p>
    <w:p w14:paraId="3564A778" w14:textId="77777777" w:rsidR="00083D6C" w:rsidRDefault="00083D6C">
      <w:pPr>
        <w:spacing w:line="360" w:lineRule="auto"/>
        <w:ind w:left="567" w:right="567"/>
        <w:jc w:val="both"/>
        <w:rPr>
          <w:rFonts w:ascii="Palatino Linotype" w:eastAsia="Palatino Linotype" w:hAnsi="Palatino Linotype" w:cs="Palatino Linotype"/>
          <w:i/>
        </w:rPr>
      </w:pPr>
    </w:p>
    <w:p w14:paraId="71797258" w14:textId="77777777" w:rsidR="00083D6C" w:rsidRDefault="00EC07D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Que su difusión afecte o interrumpa la libertad de decisión de las autoridades dentro del juicio o procedimiento administrativo seguido en forma de juicio.</w:t>
      </w:r>
    </w:p>
    <w:p w14:paraId="5B248C4F" w14:textId="77777777" w:rsidR="00083D6C" w:rsidRDefault="00083D6C">
      <w:pPr>
        <w:spacing w:line="360" w:lineRule="auto"/>
        <w:ind w:left="567" w:right="567"/>
        <w:jc w:val="both"/>
        <w:rPr>
          <w:rFonts w:ascii="Palatino Linotype" w:eastAsia="Palatino Linotype" w:hAnsi="Palatino Linotype" w:cs="Palatino Linotype"/>
          <w:i/>
          <w:color w:val="0D0D0D"/>
        </w:rPr>
      </w:pPr>
    </w:p>
    <w:p w14:paraId="242793BC"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t xml:space="preserve">Para los efectos del primer párrafo de este numeral, se considera procedimiento seguido en forma de juicio a aquel formalmente administrativo, pero materialmente jurisdiccional; esto es, en el que concurran los siguientes elementos: </w:t>
      </w:r>
    </w:p>
    <w:p w14:paraId="1D5B4F64" w14:textId="77777777" w:rsidR="00083D6C" w:rsidRDefault="00083D6C">
      <w:pPr>
        <w:spacing w:line="360" w:lineRule="auto"/>
        <w:ind w:left="567" w:right="567"/>
        <w:jc w:val="both"/>
        <w:rPr>
          <w:rFonts w:ascii="Palatino Linotype" w:eastAsia="Palatino Linotype" w:hAnsi="Palatino Linotype" w:cs="Palatino Linotype"/>
          <w:i/>
          <w:color w:val="0D0D0D"/>
        </w:rPr>
      </w:pPr>
    </w:p>
    <w:p w14:paraId="53017CBA"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1.</w:t>
      </w:r>
      <w:r>
        <w:rPr>
          <w:rFonts w:ascii="Palatino Linotype" w:eastAsia="Palatino Linotype" w:hAnsi="Palatino Linotype" w:cs="Palatino Linotype"/>
          <w:i/>
          <w:color w:val="0D0D0D"/>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7B1ADDC2" w14:textId="77777777" w:rsidR="00083D6C" w:rsidRDefault="00083D6C">
      <w:pPr>
        <w:spacing w:line="360" w:lineRule="auto"/>
        <w:ind w:left="567" w:right="567"/>
        <w:jc w:val="both"/>
        <w:rPr>
          <w:rFonts w:ascii="Palatino Linotype" w:eastAsia="Palatino Linotype" w:hAnsi="Palatino Linotype" w:cs="Palatino Linotype"/>
          <w:i/>
          <w:color w:val="0D0D0D"/>
        </w:rPr>
      </w:pPr>
    </w:p>
    <w:p w14:paraId="50BA54C9"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2.</w:t>
      </w:r>
      <w:r>
        <w:rPr>
          <w:rFonts w:ascii="Palatino Linotype" w:eastAsia="Palatino Linotype" w:hAnsi="Palatino Linotype" w:cs="Palatino Linotype"/>
          <w:i/>
          <w:color w:val="0D0D0D"/>
        </w:rPr>
        <w:t xml:space="preserve"> Que se cumplan las formalidades esenciales del procedimiento. </w:t>
      </w:r>
    </w:p>
    <w:p w14:paraId="17537FDC" w14:textId="77777777" w:rsidR="00083D6C" w:rsidRDefault="00083D6C">
      <w:pPr>
        <w:spacing w:line="360" w:lineRule="auto"/>
        <w:ind w:left="567" w:right="567"/>
        <w:jc w:val="both"/>
        <w:rPr>
          <w:rFonts w:ascii="Palatino Linotype" w:eastAsia="Palatino Linotype" w:hAnsi="Palatino Linotype" w:cs="Palatino Linotype"/>
          <w:i/>
          <w:color w:val="0D0D0D"/>
        </w:rPr>
      </w:pPr>
    </w:p>
    <w:p w14:paraId="795CD06B"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lastRenderedPageBreak/>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78B48D3B"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419B1415"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755E4902" w14:textId="77777777" w:rsidR="00083D6C" w:rsidRDefault="00083D6C">
      <w:pPr>
        <w:spacing w:line="360" w:lineRule="auto"/>
        <w:jc w:val="both"/>
        <w:rPr>
          <w:rFonts w:ascii="Palatino Linotype" w:eastAsia="Palatino Linotype" w:hAnsi="Palatino Linotype" w:cs="Palatino Linotype"/>
          <w:sz w:val="22"/>
          <w:szCs w:val="22"/>
        </w:rPr>
      </w:pPr>
    </w:p>
    <w:p w14:paraId="3D23DAB2" w14:textId="77777777" w:rsidR="00083D6C" w:rsidRDefault="00EC07DE">
      <w:pPr>
        <w:numPr>
          <w:ilvl w:val="0"/>
          <w:numId w:val="1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existencia de un juicio o procedimiento administrativo materialmente jurisdiccional, que se encuentre en trámite;</w:t>
      </w:r>
    </w:p>
    <w:p w14:paraId="2389BA01" w14:textId="77777777" w:rsidR="00083D6C" w:rsidRDefault="00083D6C">
      <w:pPr>
        <w:spacing w:line="360" w:lineRule="auto"/>
        <w:jc w:val="both"/>
        <w:rPr>
          <w:rFonts w:ascii="Palatino Linotype" w:eastAsia="Palatino Linotype" w:hAnsi="Palatino Linotype" w:cs="Palatino Linotype"/>
          <w:sz w:val="22"/>
          <w:szCs w:val="22"/>
        </w:rPr>
      </w:pPr>
    </w:p>
    <w:p w14:paraId="75B17BF2" w14:textId="77777777" w:rsidR="00083D6C" w:rsidRDefault="00EC07DE">
      <w:pPr>
        <w:numPr>
          <w:ilvl w:val="0"/>
          <w:numId w:val="1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la información solicitada se refiera a actuaciones, diligencias o constancias propias del procedimiento, y</w:t>
      </w:r>
    </w:p>
    <w:p w14:paraId="34ECECF9" w14:textId="77777777" w:rsidR="00083D6C" w:rsidRDefault="00083D6C">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004BE241" w14:textId="77777777" w:rsidR="00083D6C" w:rsidRDefault="00EC07DE">
      <w:pPr>
        <w:numPr>
          <w:ilvl w:val="0"/>
          <w:numId w:val="1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su difusión afecte o interrumpa la libertad de decisión de las autoridades dentro del juicio o procedimiento administrativo seguido en forma de juicio.</w:t>
      </w:r>
    </w:p>
    <w:p w14:paraId="7A338A43" w14:textId="77777777" w:rsidR="00083D6C" w:rsidRDefault="00083D6C">
      <w:pPr>
        <w:spacing w:line="360" w:lineRule="auto"/>
        <w:jc w:val="both"/>
        <w:rPr>
          <w:rFonts w:ascii="Palatino Linotype" w:eastAsia="Palatino Linotype" w:hAnsi="Palatino Linotype" w:cs="Palatino Linotype"/>
          <w:sz w:val="22"/>
          <w:szCs w:val="22"/>
        </w:rPr>
      </w:pPr>
    </w:p>
    <w:p w14:paraId="264C2474"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521F3E98" w14:textId="77777777" w:rsidR="00083D6C" w:rsidRDefault="00083D6C">
      <w:pPr>
        <w:spacing w:line="360" w:lineRule="auto"/>
        <w:ind w:right="-28"/>
        <w:jc w:val="both"/>
        <w:rPr>
          <w:rFonts w:ascii="Palatino Linotype" w:eastAsia="Palatino Linotype" w:hAnsi="Palatino Linotype" w:cs="Palatino Linotype"/>
          <w:b/>
          <w:sz w:val="22"/>
          <w:szCs w:val="22"/>
          <w:highlight w:val="red"/>
        </w:rPr>
      </w:pPr>
    </w:p>
    <w:p w14:paraId="13B13FDD"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es menester precisar que para que se trate de un</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 xml:space="preserve">juicio o procedimiento administrativo materialmente jurisdiccional, debe cumplirse con lo dispuesto en los </w:t>
      </w:r>
      <w:r>
        <w:rPr>
          <w:rFonts w:ascii="Palatino Linotype" w:eastAsia="Palatino Linotype" w:hAnsi="Palatino Linotype" w:cs="Palatino Linotype"/>
          <w:color w:val="0D0D0D"/>
          <w:sz w:val="22"/>
          <w:szCs w:val="22"/>
        </w:rPr>
        <w:lastRenderedPageBreak/>
        <w:t xml:space="preserve">Lineamientos Generales, así como lo sostenido por la Segunda Sala de la Suprema Corte de Justicia de la Nación, en la Tesis 2a./J. 22/2003, consistente en que un “procedimiento en forma de juicio”, debe entenderse </w:t>
      </w:r>
      <w:r>
        <w:rPr>
          <w:rFonts w:ascii="Palatino Linotype" w:eastAsia="Palatino Linotype" w:hAnsi="Palatino Linotype" w:cs="Palatino Linotype"/>
          <w:i/>
          <w:color w:val="0D0D0D"/>
          <w:sz w:val="22"/>
          <w:szCs w:val="22"/>
        </w:rPr>
        <w:t>lato sensu</w:t>
      </w:r>
      <w:r>
        <w:rPr>
          <w:rFonts w:ascii="Palatino Linotype" w:eastAsia="Palatino Linotype" w:hAnsi="Palatino Linotype" w:cs="Palatino Linotype"/>
          <w:color w:val="0D0D0D"/>
          <w:sz w:val="22"/>
          <w:szCs w:val="22"/>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tal como se muestra a continuación:</w:t>
      </w:r>
    </w:p>
    <w:p w14:paraId="11EBB151"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19FE3477"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color w:val="0D0D0D"/>
        </w:rPr>
        <w:t>“</w:t>
      </w:r>
      <w:r>
        <w:rPr>
          <w:rFonts w:ascii="Palatino Linotype" w:eastAsia="Palatino Linotype" w:hAnsi="Palatino Linotype" w:cs="Palatino Linotype"/>
          <w:b/>
          <w:i/>
          <w:color w:val="0D0D0D"/>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Pr>
          <w:rFonts w:ascii="Palatino Linotype" w:eastAsia="Palatino Linotype" w:hAnsi="Palatino Linotype" w:cs="Palatino Linotype"/>
          <w:i/>
          <w:color w:val="0D0D0D"/>
        </w:rPr>
        <w:t xml:space="preserve">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Pr>
          <w:rFonts w:ascii="Palatino Linotype" w:eastAsia="Palatino Linotype" w:hAnsi="Palatino Linotype" w:cs="Palatino Linotype"/>
          <w:i/>
          <w:color w:val="0D0D0D"/>
        </w:rPr>
        <w:t>expeditez</w:t>
      </w:r>
      <w:proofErr w:type="spellEnd"/>
      <w:r>
        <w:rPr>
          <w:rFonts w:ascii="Palatino Linotype" w:eastAsia="Palatino Linotype" w:hAnsi="Palatino Linotype" w:cs="Palatino Linotype"/>
          <w:i/>
          <w:color w:val="0D0D0D"/>
        </w:rPr>
        <w:t xml:space="preserve"> de las diligencias procedimentales. Tal es la estructura que dicha Ley adopta en el amparo directo, así como en los procedimientos de ejecución y en los procedimientos de remate, como lo establece en sus artículos </w:t>
      </w:r>
      <w:hyperlink r:id="rId8">
        <w:r>
          <w:rPr>
            <w:rFonts w:ascii="Palatino Linotype" w:eastAsia="Palatino Linotype" w:hAnsi="Palatino Linotype" w:cs="Palatino Linotype"/>
            <w:i/>
            <w:color w:val="0D0D0D"/>
          </w:rPr>
          <w:t>158</w:t>
        </w:r>
      </w:hyperlink>
      <w:r>
        <w:rPr>
          <w:rFonts w:ascii="Palatino Linotype" w:eastAsia="Palatino Linotype" w:hAnsi="Palatino Linotype" w:cs="Palatino Linotype"/>
          <w:i/>
          <w:color w:val="0D0D0D"/>
        </w:rPr>
        <w:t xml:space="preserve"> y </w:t>
      </w:r>
      <w:hyperlink r:id="rId9">
        <w:r>
          <w:rPr>
            <w:rFonts w:ascii="Palatino Linotype" w:eastAsia="Palatino Linotype" w:hAnsi="Palatino Linotype" w:cs="Palatino Linotype"/>
            <w:i/>
            <w:color w:val="0D0D0D"/>
          </w:rPr>
          <w:t>114, fracción III</w:t>
        </w:r>
      </w:hyperlink>
      <w:r>
        <w:rPr>
          <w:rFonts w:ascii="Palatino Linotype" w:eastAsia="Palatino Linotype" w:hAnsi="Palatino Linotype" w:cs="Palatino Linotype"/>
          <w:i/>
          <w:color w:val="0D0D0D"/>
        </w:rPr>
        <w:t xml:space="preserve">,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w:t>
      </w:r>
      <w:r>
        <w:rPr>
          <w:rFonts w:ascii="Palatino Linotype" w:eastAsia="Palatino Linotype" w:hAnsi="Palatino Linotype" w:cs="Palatino Linotype"/>
          <w:i/>
          <w:color w:val="0D0D0D"/>
        </w:rPr>
        <w:lastRenderedPageBreak/>
        <w:t>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482F6A02" w14:textId="77777777" w:rsidR="00083D6C" w:rsidRDefault="00083D6C">
      <w:pPr>
        <w:spacing w:line="360" w:lineRule="auto"/>
        <w:jc w:val="both"/>
        <w:rPr>
          <w:rFonts w:ascii="Palatino Linotype" w:eastAsia="Palatino Linotype" w:hAnsi="Palatino Linotype" w:cs="Palatino Linotype"/>
          <w:b/>
          <w:color w:val="0D0D0D"/>
        </w:rPr>
      </w:pPr>
    </w:p>
    <w:p w14:paraId="5E02B214"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2876A3ED"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6A7B7BD5" w14:textId="77777777" w:rsidR="00083D6C" w:rsidRDefault="00EC07DE">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“FORMALIDADES ESENCIALES DEL PROCEDIMIENTO. SON LAS QUE GARANTIZAN UNA ADECUADA Y OPORTUNA DEFENSA PREVIA AL ACTO PRIVATIVO. </w:t>
      </w:r>
      <w:r>
        <w:rPr>
          <w:rFonts w:ascii="Palatino Linotype" w:eastAsia="Palatino Linotype" w:hAnsi="Palatino Linotype" w:cs="Palatino Linotype"/>
          <w:i/>
          <w:color w:val="0D0D0D"/>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1E4A9830"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2EBD1BF1"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Del criterio jurisprudencial citado, se desprende que las formalidades esenciales del procedimiento que exige el párrafo segundo del artículo 14 de la Constitución Política de los Estados Unidos Mexicanos para que se respete la garantía de audiencia, son las que resultan </w:t>
      </w:r>
      <w:r>
        <w:rPr>
          <w:rFonts w:ascii="Palatino Linotype" w:eastAsia="Palatino Linotype" w:hAnsi="Palatino Linotype" w:cs="Palatino Linotype"/>
          <w:color w:val="0D0D0D"/>
          <w:sz w:val="22"/>
          <w:szCs w:val="22"/>
        </w:rPr>
        <w:lastRenderedPageBreak/>
        <w:t>necesarias para garantizar la defensa adecuada antes del acto de privación y que, de manera genérica, se traducen en los siguientes requisitos:</w:t>
      </w:r>
    </w:p>
    <w:p w14:paraId="27E5B05D"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31ABA206" w14:textId="77777777" w:rsidR="00083D6C" w:rsidRDefault="00EC07DE">
      <w:pPr>
        <w:numPr>
          <w:ilvl w:val="0"/>
          <w:numId w:val="14"/>
        </w:numPr>
        <w:spacing w:line="360" w:lineRule="auto"/>
        <w:ind w:left="851"/>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notificación del inicio del procedimiento y sus consecuencias;</w:t>
      </w:r>
    </w:p>
    <w:p w14:paraId="20738989" w14:textId="77777777" w:rsidR="00083D6C" w:rsidRDefault="00EC07DE">
      <w:pPr>
        <w:numPr>
          <w:ilvl w:val="0"/>
          <w:numId w:val="14"/>
        </w:numPr>
        <w:spacing w:line="360" w:lineRule="auto"/>
        <w:ind w:left="851"/>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La oportunidad de ofrecer y desahogar pruebas; </w:t>
      </w:r>
    </w:p>
    <w:p w14:paraId="0B701FF2" w14:textId="77777777" w:rsidR="00083D6C" w:rsidRDefault="00EC07DE">
      <w:pPr>
        <w:numPr>
          <w:ilvl w:val="0"/>
          <w:numId w:val="14"/>
        </w:numPr>
        <w:spacing w:line="360" w:lineRule="auto"/>
        <w:ind w:left="851"/>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oportunidad de alegar; y</w:t>
      </w:r>
    </w:p>
    <w:p w14:paraId="67862BDA" w14:textId="77777777" w:rsidR="00083D6C" w:rsidRDefault="00EC07DE">
      <w:pPr>
        <w:numPr>
          <w:ilvl w:val="0"/>
          <w:numId w:val="14"/>
        </w:numPr>
        <w:spacing w:line="360" w:lineRule="auto"/>
        <w:ind w:left="851"/>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dictado de una resolución que dirima las cuestiones debatidas.</w:t>
      </w:r>
    </w:p>
    <w:p w14:paraId="214D3917"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2A93FA9A" w14:textId="77777777" w:rsidR="00083D6C" w:rsidRDefault="00EC07DE">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lo que hace a la notificación del inicio del procedimiento y sus consecuencias, es la etapa en la que se hace del concomimiento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0A01B838" w14:textId="77777777" w:rsidR="00083D6C" w:rsidRDefault="00083D6C">
      <w:pPr>
        <w:spacing w:line="360" w:lineRule="auto"/>
        <w:jc w:val="both"/>
        <w:rPr>
          <w:rFonts w:ascii="Palatino Linotype" w:eastAsia="Palatino Linotype" w:hAnsi="Palatino Linotype" w:cs="Palatino Linotype"/>
          <w:color w:val="0D0D0D"/>
          <w:sz w:val="22"/>
          <w:szCs w:val="22"/>
        </w:rPr>
      </w:pPr>
    </w:p>
    <w:p w14:paraId="7F0500C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 circunstancia, se considera que el Sujeto Obligado para actualizar la causal de reserva establecida en el artículo 140, fracciones VI, VIII y X, de la Ley de Transparencia y Acceso a la Información Pública del Estado de México y Municipios, en determinados oficios, deberá desarrollar su prueba de daño específica, en donde además deberá acreditar la existencia de un juicio o procedimiento administrativo materialmente jurisdiccional en trámite; así como, que los oficios forman parte de las actuaciones, diligencias o constancias propias del procedimiento, cuya difusión afecte o interrumpa la libertad de decisión de las autoridades; por lo que, en caso de no materializar lo anterior, no será procedente la reserva; es preciso </w:t>
      </w:r>
      <w:r>
        <w:rPr>
          <w:rFonts w:ascii="Palatino Linotype" w:eastAsia="Palatino Linotype" w:hAnsi="Palatino Linotype" w:cs="Palatino Linotype"/>
          <w:sz w:val="22"/>
          <w:szCs w:val="22"/>
        </w:rPr>
        <w:lastRenderedPageBreak/>
        <w:t xml:space="preserve">señalar que los oficios atienden a la temporalidad de 2020, por tanto, se tomará en cuenta un proceso en trámite solo si a la fecha de la solicitud no han quedado firmes. </w:t>
      </w:r>
    </w:p>
    <w:p w14:paraId="7DFABFBB" w14:textId="77777777" w:rsidR="00083D6C" w:rsidRDefault="00083D6C">
      <w:pPr>
        <w:spacing w:line="360" w:lineRule="auto"/>
        <w:jc w:val="both"/>
        <w:rPr>
          <w:rFonts w:ascii="Palatino Linotype" w:eastAsia="Palatino Linotype" w:hAnsi="Palatino Linotype" w:cs="Palatino Linotype"/>
          <w:sz w:val="22"/>
          <w:szCs w:val="22"/>
        </w:rPr>
      </w:pPr>
    </w:p>
    <w:p w14:paraId="179A5E0D" w14:textId="77777777" w:rsidR="00083D6C" w:rsidRDefault="00EC07DE">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No pasa desapercibido que para el caso de que la información de los oficios se relacione con los nombres de servidores públicos que formen parte de operativos en materia de seguridad, se deberá tener en cuenta que el Código Reglamentario Municipal de Toluca de la administración </w:t>
      </w:r>
      <w:r>
        <w:rPr>
          <w:rFonts w:ascii="Palatino Linotype" w:eastAsia="Palatino Linotype" w:hAnsi="Palatino Linotype" w:cs="Palatino Linotype"/>
          <w:color w:val="000000"/>
          <w:sz w:val="22"/>
          <w:szCs w:val="22"/>
        </w:rPr>
        <w:t xml:space="preserve">2019-2021; previa en su artículo 3.32, que la Dirección General de Seguridad Pública tiene entre sus atribuciones la de salvaguardar la integridad de las personas, preservar las libertades, el orden y la paz públicos, así como en el artículo 12.11 se establece que los miembros del cuerpo de seguridad pública tienen entre otras obligaciones la de apoyar a las autoridades en la investigación y persecución de delitos. </w:t>
      </w:r>
    </w:p>
    <w:p w14:paraId="1816C89B" w14:textId="77777777" w:rsidR="00083D6C" w:rsidRDefault="00083D6C">
      <w:pPr>
        <w:spacing w:line="360" w:lineRule="auto"/>
        <w:jc w:val="both"/>
        <w:rPr>
          <w:rFonts w:ascii="Palatino Linotype" w:eastAsia="Palatino Linotype" w:hAnsi="Palatino Linotype" w:cs="Palatino Linotype"/>
          <w:sz w:val="22"/>
          <w:szCs w:val="22"/>
        </w:rPr>
      </w:pPr>
    </w:p>
    <w:p w14:paraId="3D1A986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4055AD2A" w14:textId="77777777" w:rsidR="00083D6C" w:rsidRDefault="00083D6C">
      <w:pPr>
        <w:spacing w:line="360" w:lineRule="auto"/>
        <w:jc w:val="both"/>
        <w:rPr>
          <w:rFonts w:ascii="Palatino Linotype" w:eastAsia="Palatino Linotype" w:hAnsi="Palatino Linotype" w:cs="Palatino Linotype"/>
        </w:rPr>
      </w:pPr>
    </w:p>
    <w:p w14:paraId="31E106DD"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 “Artículo 140. El acceso a la información pública será restringido excepcionalmente, cuando por razones de interés público, ésta sea clasificada como reservada, conforme a los criterios siguientes: </w:t>
      </w:r>
    </w:p>
    <w:p w14:paraId="20D127A0"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2E9E8B7"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IV. Ponga en riesgo la vida, la seguridad o la salud de una persona física;</w:t>
      </w:r>
    </w:p>
    <w:p w14:paraId="329161D0"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0E623E49" w14:textId="77777777" w:rsidR="00083D6C" w:rsidRDefault="00083D6C">
      <w:pPr>
        <w:spacing w:line="360" w:lineRule="auto"/>
        <w:jc w:val="both"/>
        <w:rPr>
          <w:rFonts w:ascii="Palatino Linotype" w:eastAsia="Palatino Linotype" w:hAnsi="Palatino Linotype" w:cs="Palatino Linotype"/>
          <w:sz w:val="22"/>
          <w:szCs w:val="22"/>
        </w:rPr>
      </w:pPr>
    </w:p>
    <w:p w14:paraId="69FC2233"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08B8FAC3" w14:textId="77777777" w:rsidR="00083D6C" w:rsidRDefault="00083D6C">
      <w:pPr>
        <w:spacing w:line="360" w:lineRule="auto"/>
        <w:jc w:val="both"/>
        <w:rPr>
          <w:rFonts w:ascii="Palatino Linotype" w:eastAsia="Palatino Linotype" w:hAnsi="Palatino Linotype" w:cs="Palatino Linotype"/>
          <w:sz w:val="22"/>
          <w:szCs w:val="22"/>
        </w:rPr>
      </w:pPr>
    </w:p>
    <w:p w14:paraId="3B78C476"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“Vigésimo tercero. 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2315B07F" w14:textId="77777777" w:rsidR="00083D6C" w:rsidRDefault="00083D6C">
      <w:pPr>
        <w:spacing w:line="360" w:lineRule="auto"/>
        <w:jc w:val="both"/>
        <w:rPr>
          <w:rFonts w:ascii="Palatino Linotype" w:eastAsia="Palatino Linotype" w:hAnsi="Palatino Linotype" w:cs="Palatino Linotype"/>
          <w:sz w:val="22"/>
          <w:szCs w:val="22"/>
        </w:rPr>
      </w:pPr>
    </w:p>
    <w:p w14:paraId="1220B28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0B6CEBD0" w14:textId="77777777" w:rsidR="00083D6C" w:rsidRDefault="00083D6C">
      <w:pPr>
        <w:spacing w:line="360" w:lineRule="auto"/>
        <w:jc w:val="both"/>
        <w:rPr>
          <w:rFonts w:ascii="Palatino Linotype" w:eastAsia="Palatino Linotype" w:hAnsi="Palatino Linotype" w:cs="Palatino Linotype"/>
          <w:sz w:val="22"/>
          <w:szCs w:val="22"/>
        </w:rPr>
      </w:pPr>
    </w:p>
    <w:p w14:paraId="6C9F421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81, fracción III, de la Ley de Seguridad del Estado de México, establece lo siguiente:</w:t>
      </w:r>
    </w:p>
    <w:p w14:paraId="34B71052" w14:textId="77777777" w:rsidR="00083D6C" w:rsidRDefault="00083D6C">
      <w:pPr>
        <w:spacing w:line="360" w:lineRule="auto"/>
        <w:jc w:val="both"/>
        <w:rPr>
          <w:rFonts w:ascii="Palatino Linotype" w:eastAsia="Palatino Linotype" w:hAnsi="Palatino Linotype" w:cs="Palatino Linotype"/>
          <w:sz w:val="22"/>
          <w:szCs w:val="22"/>
        </w:rPr>
      </w:pPr>
    </w:p>
    <w:p w14:paraId="6DF9FAD2"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A182CBF"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C7968EF"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La relativa a los servidores públicos integrantes de las instituciones de seguridad pública, cuya revelación pueda poner en riesgo su vida e integridad física con motivo de sus funciones;</w:t>
      </w:r>
    </w:p>
    <w:p w14:paraId="58BB98F3" w14:textId="77777777" w:rsidR="00083D6C" w:rsidRDefault="00EC07D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FE7937F" w14:textId="77777777" w:rsidR="00083D6C" w:rsidRDefault="00083D6C">
      <w:pPr>
        <w:spacing w:line="360" w:lineRule="auto"/>
        <w:jc w:val="both"/>
        <w:rPr>
          <w:rFonts w:ascii="Palatino Linotype" w:eastAsia="Palatino Linotype" w:hAnsi="Palatino Linotype" w:cs="Palatino Linotype"/>
          <w:sz w:val="22"/>
          <w:szCs w:val="22"/>
        </w:rPr>
      </w:pPr>
    </w:p>
    <w:p w14:paraId="6212343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6F6A3450" w14:textId="77777777" w:rsidR="00083D6C" w:rsidRDefault="00083D6C">
      <w:pPr>
        <w:spacing w:line="360" w:lineRule="auto"/>
        <w:jc w:val="both"/>
        <w:rPr>
          <w:rFonts w:ascii="Palatino Linotype" w:eastAsia="Palatino Linotype" w:hAnsi="Palatino Linotype" w:cs="Palatino Linotype"/>
          <w:sz w:val="22"/>
          <w:szCs w:val="22"/>
        </w:rPr>
      </w:pPr>
    </w:p>
    <w:p w14:paraId="5865D773"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6073051" w14:textId="77777777" w:rsidR="00083D6C" w:rsidRDefault="00083D6C">
      <w:pPr>
        <w:spacing w:line="360" w:lineRule="auto"/>
        <w:jc w:val="both"/>
        <w:rPr>
          <w:rFonts w:ascii="Palatino Linotype" w:eastAsia="Palatino Linotype" w:hAnsi="Palatino Linotype" w:cs="Palatino Linotype"/>
          <w:sz w:val="22"/>
          <w:szCs w:val="22"/>
        </w:rPr>
      </w:pPr>
    </w:p>
    <w:p w14:paraId="6CD56F96"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resulta necesario traer a colación por analogía, el Criterio de interpretación, con número de registro SO/006/2009, de la Primera Época, emitido por el entonces Instituto Federal de Acceso a la Información y Protección de Datos ahora Instituto Nacional de Transparencia, Acceso a la Información y Protección de Datos Personales, que establece lo siguiente:</w:t>
      </w:r>
    </w:p>
    <w:p w14:paraId="5326B75D" w14:textId="77777777" w:rsidR="00083D6C" w:rsidRDefault="00083D6C">
      <w:pPr>
        <w:spacing w:line="360" w:lineRule="auto"/>
        <w:jc w:val="both"/>
        <w:rPr>
          <w:rFonts w:ascii="Palatino Linotype" w:eastAsia="Palatino Linotype" w:hAnsi="Palatino Linotype" w:cs="Palatino Linotype"/>
          <w:sz w:val="22"/>
          <w:szCs w:val="22"/>
        </w:rPr>
      </w:pPr>
    </w:p>
    <w:p w14:paraId="0F555DF4" w14:textId="77777777" w:rsidR="00083D6C" w:rsidRDefault="00EC07DE">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w:t>
      </w:r>
      <w:r>
        <w:rPr>
          <w:rFonts w:ascii="Palatino Linotype" w:eastAsia="Palatino Linotype" w:hAnsi="Palatino Linotype" w:cs="Palatino Linotype"/>
          <w:i/>
        </w:rPr>
        <w:lastRenderedPageBreak/>
        <w:t>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9021415" w14:textId="77777777" w:rsidR="00083D6C" w:rsidRDefault="00083D6C">
      <w:pPr>
        <w:spacing w:line="360" w:lineRule="auto"/>
        <w:jc w:val="both"/>
        <w:rPr>
          <w:rFonts w:ascii="Palatino Linotype" w:eastAsia="Palatino Linotype" w:hAnsi="Palatino Linotype" w:cs="Palatino Linotype"/>
          <w:sz w:val="22"/>
          <w:szCs w:val="22"/>
        </w:rPr>
      </w:pPr>
    </w:p>
    <w:p w14:paraId="3FC95D8B"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B167743" w14:textId="77777777" w:rsidR="00083D6C" w:rsidRDefault="00083D6C">
      <w:pPr>
        <w:spacing w:line="360" w:lineRule="auto"/>
        <w:jc w:val="both"/>
        <w:rPr>
          <w:rFonts w:ascii="Palatino Linotype" w:eastAsia="Palatino Linotype" w:hAnsi="Palatino Linotype" w:cs="Palatino Linotype"/>
          <w:sz w:val="22"/>
          <w:szCs w:val="22"/>
        </w:rPr>
      </w:pPr>
    </w:p>
    <w:p w14:paraId="17EA100C"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si bien por regla general los nombres de los trabajadores gubernamentales son información pública de oficio, existe una excepción relativa a aquellos que realicen actividades operativas en materia de seguridad, como es el caso de los elementos operativos y la policía municipal.</w:t>
      </w:r>
    </w:p>
    <w:p w14:paraId="09765383" w14:textId="77777777" w:rsidR="00083D6C" w:rsidRDefault="00083D6C">
      <w:pPr>
        <w:spacing w:line="360" w:lineRule="auto"/>
        <w:jc w:val="both"/>
        <w:rPr>
          <w:rFonts w:ascii="Palatino Linotype" w:eastAsia="Palatino Linotype" w:hAnsi="Palatino Linotype" w:cs="Palatino Linotype"/>
          <w:sz w:val="22"/>
          <w:szCs w:val="22"/>
        </w:rPr>
      </w:pPr>
    </w:p>
    <w:p w14:paraId="1B6E701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w:t>
      </w:r>
      <w:r>
        <w:rPr>
          <w:rFonts w:ascii="Palatino Linotype" w:eastAsia="Palatino Linotype" w:hAnsi="Palatino Linotype" w:cs="Palatino Linotype"/>
          <w:sz w:val="22"/>
          <w:szCs w:val="22"/>
        </w:rPr>
        <w:lastRenderedPageBreak/>
        <w:t>para adolescentes, de las instancias encargadas de aplicar las infracción administrativas, y de las demás autoridades de las instancias encargadas de aplicar las infracciones administrativas.</w:t>
      </w:r>
    </w:p>
    <w:p w14:paraId="76CE7E89" w14:textId="77777777" w:rsidR="00083D6C" w:rsidRDefault="00083D6C">
      <w:pPr>
        <w:spacing w:line="360" w:lineRule="auto"/>
        <w:jc w:val="both"/>
        <w:rPr>
          <w:rFonts w:ascii="Palatino Linotype" w:eastAsia="Palatino Linotype" w:hAnsi="Palatino Linotype" w:cs="Palatino Linotype"/>
          <w:sz w:val="22"/>
          <w:szCs w:val="22"/>
        </w:rPr>
      </w:pPr>
    </w:p>
    <w:p w14:paraId="6AD954B7"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6°, fracciones XI y XII de dicho ordenamiento jurídico, establece los siguientes conceptos:</w:t>
      </w:r>
    </w:p>
    <w:p w14:paraId="2E93CF91" w14:textId="77777777" w:rsidR="00083D6C" w:rsidRDefault="00083D6C">
      <w:pPr>
        <w:spacing w:line="360" w:lineRule="auto"/>
        <w:jc w:val="both"/>
        <w:rPr>
          <w:rFonts w:ascii="Palatino Linotype" w:eastAsia="Palatino Linotype" w:hAnsi="Palatino Linotype" w:cs="Palatino Linotype"/>
          <w:sz w:val="22"/>
          <w:szCs w:val="22"/>
        </w:rPr>
      </w:pPr>
    </w:p>
    <w:p w14:paraId="778EB47B" w14:textId="77777777" w:rsidR="00083D6C" w:rsidRDefault="00EC07DE">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Instituciones Policiales: Son los cuerpos de policía, de vigilancia y custodia de los establecimientos penitenciarios, detención preventiva, centros de arraigo y en general, todas las dependencias encargadas de la seguridad pública a nivel estatal y municipal.</w:t>
      </w:r>
    </w:p>
    <w:p w14:paraId="38AEC579" w14:textId="77777777" w:rsidR="00083D6C" w:rsidRDefault="00083D6C">
      <w:pPr>
        <w:spacing w:line="360" w:lineRule="auto"/>
        <w:jc w:val="both"/>
        <w:rPr>
          <w:rFonts w:ascii="Palatino Linotype" w:eastAsia="Palatino Linotype" w:hAnsi="Palatino Linotype" w:cs="Palatino Linotype"/>
          <w:sz w:val="22"/>
          <w:szCs w:val="22"/>
        </w:rPr>
      </w:pPr>
    </w:p>
    <w:p w14:paraId="23DA974A" w14:textId="77777777" w:rsidR="00083D6C" w:rsidRDefault="00EC07DE">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Instituciones de Seguridad Pública: Instituciones Policiales, Procuración de Justicia, Sistema Penitenciario y dependencias encargadas de la seguridad pública a nivel estatal y municipal.</w:t>
      </w:r>
    </w:p>
    <w:p w14:paraId="13EAADAE" w14:textId="77777777" w:rsidR="00083D6C" w:rsidRDefault="00083D6C">
      <w:pPr>
        <w:spacing w:line="360" w:lineRule="auto"/>
        <w:jc w:val="both"/>
        <w:rPr>
          <w:rFonts w:ascii="Palatino Linotype" w:eastAsia="Palatino Linotype" w:hAnsi="Palatino Linotype" w:cs="Palatino Linotype"/>
          <w:sz w:val="22"/>
          <w:szCs w:val="22"/>
        </w:rPr>
      </w:pPr>
    </w:p>
    <w:p w14:paraId="2D159DBD"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puede deducir que la Comisaría Municipal, es una institución de seguridad pública, pues tiene como atribución principal, la prevención de delitos y proteger a las personas, sus propiedades, posesiones y derechos.</w:t>
      </w:r>
    </w:p>
    <w:p w14:paraId="315137F9" w14:textId="77777777" w:rsidR="00083D6C" w:rsidRDefault="00083D6C">
      <w:pPr>
        <w:spacing w:line="360" w:lineRule="auto"/>
        <w:jc w:val="both"/>
        <w:rPr>
          <w:rFonts w:ascii="Palatino Linotype" w:eastAsia="Palatino Linotype" w:hAnsi="Palatino Linotype" w:cs="Palatino Linotype"/>
          <w:sz w:val="22"/>
          <w:szCs w:val="22"/>
        </w:rPr>
      </w:pPr>
    </w:p>
    <w:p w14:paraId="13DD1CE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el Instructivo de llenado del Formato “Personal de Seguridad Pública”, del Secretariado Ejecutivo del Sistema Nacional de Seguridad Pública (consultado el quince de junio de dos mil veintitrés, en la liga electrónica </w:t>
      </w:r>
      <w:hyperlink r:id="rId10">
        <w:r>
          <w:rPr>
            <w:rFonts w:ascii="Palatino Linotype" w:eastAsia="Palatino Linotype" w:hAnsi="Palatino Linotype" w:cs="Palatino Linotype"/>
            <w:color w:val="0563C1"/>
            <w:sz w:val="22"/>
            <w:szCs w:val="22"/>
            <w:u w:val="single"/>
          </w:rPr>
          <w:t>http://secretariadoejecutivo.gob.mx/work/models/SecretariadoEjecutivo/Resource/328/1/images/instructivo_final_edo_fuerza(1).pdf)</w:t>
        </w:r>
      </w:hyperlink>
      <w:r>
        <w:rPr>
          <w:rFonts w:ascii="Palatino Linotype" w:eastAsia="Palatino Linotype" w:hAnsi="Palatino Linotype" w:cs="Palatino Linotype"/>
          <w:sz w:val="22"/>
          <w:szCs w:val="22"/>
        </w:rPr>
        <w:t>, establece que los elementos operativos de seguridad pública, son aquellos que desempeñan funciones de campo (policiacas, especializadas o equivalentes y que no desempeña funciones de mando), entre los cuales, se encuentra la Policía Municipal.</w:t>
      </w:r>
    </w:p>
    <w:p w14:paraId="24AAB4C5" w14:textId="77777777" w:rsidR="00083D6C" w:rsidRDefault="00083D6C">
      <w:pPr>
        <w:spacing w:line="360" w:lineRule="auto"/>
        <w:jc w:val="both"/>
        <w:rPr>
          <w:rFonts w:ascii="Palatino Linotype" w:eastAsia="Palatino Linotype" w:hAnsi="Palatino Linotype" w:cs="Palatino Linotype"/>
          <w:sz w:val="22"/>
          <w:szCs w:val="22"/>
        </w:rPr>
      </w:pPr>
    </w:p>
    <w:p w14:paraId="43E59DCB"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5AE33F60" w14:textId="77777777" w:rsidR="00083D6C" w:rsidRDefault="00083D6C">
      <w:pPr>
        <w:spacing w:line="360" w:lineRule="auto"/>
        <w:jc w:val="both"/>
        <w:rPr>
          <w:rFonts w:ascii="Palatino Linotype" w:eastAsia="Palatino Linotype" w:hAnsi="Palatino Linotype" w:cs="Palatino Linotype"/>
          <w:sz w:val="22"/>
          <w:szCs w:val="22"/>
        </w:rPr>
      </w:pPr>
    </w:p>
    <w:p w14:paraId="5B031C6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16606D8" w14:textId="77777777" w:rsidR="00083D6C" w:rsidRDefault="00083D6C">
      <w:pPr>
        <w:spacing w:line="360" w:lineRule="auto"/>
        <w:jc w:val="both"/>
        <w:rPr>
          <w:rFonts w:ascii="Palatino Linotype" w:eastAsia="Palatino Linotype" w:hAnsi="Palatino Linotype" w:cs="Palatino Linotype"/>
          <w:sz w:val="22"/>
          <w:szCs w:val="22"/>
        </w:rPr>
      </w:pPr>
    </w:p>
    <w:p w14:paraId="62215B5E"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34BB0941" w14:textId="77777777" w:rsidR="00083D6C" w:rsidRDefault="00083D6C">
      <w:pPr>
        <w:spacing w:line="360" w:lineRule="auto"/>
        <w:jc w:val="both"/>
        <w:rPr>
          <w:rFonts w:ascii="Palatino Linotype" w:eastAsia="Palatino Linotype" w:hAnsi="Palatino Linotype" w:cs="Palatino Linotype"/>
          <w:sz w:val="22"/>
          <w:szCs w:val="22"/>
        </w:rPr>
      </w:pPr>
    </w:p>
    <w:p w14:paraId="065ECFDE"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situación, se considera que dar a conocer el nombre de los policías municipales, puede poner en riesgo la vida, seguridad y salud de estos, de sus familias e incluso su entorno social, </w:t>
      </w:r>
      <w:r>
        <w:rPr>
          <w:rFonts w:ascii="Palatino Linotype" w:eastAsia="Palatino Linotype" w:hAnsi="Palatino Linotype" w:cs="Palatino Linotype"/>
          <w:sz w:val="22"/>
          <w:szCs w:val="22"/>
        </w:rPr>
        <w:lastRenderedPageBreak/>
        <w:t>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E593589" w14:textId="77777777" w:rsidR="00083D6C" w:rsidRDefault="00083D6C">
      <w:pPr>
        <w:spacing w:line="360" w:lineRule="auto"/>
        <w:jc w:val="both"/>
        <w:rPr>
          <w:rFonts w:ascii="Palatino Linotype" w:eastAsia="Palatino Linotype" w:hAnsi="Palatino Linotype" w:cs="Palatino Linotype"/>
          <w:sz w:val="22"/>
          <w:szCs w:val="22"/>
        </w:rPr>
      </w:pPr>
    </w:p>
    <w:p w14:paraId="3F67CA5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0BC987E1" w14:textId="77777777" w:rsidR="00083D6C" w:rsidRDefault="00083D6C">
      <w:pPr>
        <w:spacing w:line="360" w:lineRule="auto"/>
        <w:jc w:val="both"/>
        <w:rPr>
          <w:rFonts w:ascii="Palatino Linotype" w:eastAsia="Palatino Linotype" w:hAnsi="Palatino Linotype" w:cs="Palatino Linotype"/>
          <w:sz w:val="22"/>
          <w:szCs w:val="22"/>
        </w:rPr>
      </w:pPr>
    </w:p>
    <w:p w14:paraId="4D6E7F4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tales consideraciones, resulta procedente la reserva del nombre de los elementos operativos adscritos a la Comisaría Municipal, en términos del artículo 140, fracción IV, de la Ley de Transparencia y Acceso a la Información Pública del Estado de México y Municipios.</w:t>
      </w:r>
    </w:p>
    <w:p w14:paraId="2315BE0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42705D5" w14:textId="77777777" w:rsidR="00083D6C" w:rsidRDefault="00083D6C">
      <w:pPr>
        <w:spacing w:line="360" w:lineRule="auto"/>
        <w:jc w:val="both"/>
        <w:rPr>
          <w:rFonts w:ascii="Palatino Linotype" w:eastAsia="Palatino Linotype" w:hAnsi="Palatino Linotype" w:cs="Palatino Linotype"/>
          <w:sz w:val="22"/>
          <w:szCs w:val="22"/>
        </w:rPr>
      </w:pPr>
    </w:p>
    <w:p w14:paraId="38176B36" w14:textId="77777777" w:rsidR="00083D6C" w:rsidRDefault="00EC07DE">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divulgación de la información representa un riesgo real, demostrable e identificable de perjuicio significativo al interés público o a la seguridad nacional.</w:t>
      </w:r>
    </w:p>
    <w:p w14:paraId="7578BE3F" w14:textId="77777777" w:rsidR="00083D6C" w:rsidRDefault="00083D6C">
      <w:pPr>
        <w:spacing w:line="360" w:lineRule="auto"/>
        <w:jc w:val="both"/>
        <w:rPr>
          <w:rFonts w:ascii="Palatino Linotype" w:eastAsia="Palatino Linotype" w:hAnsi="Palatino Linotype" w:cs="Palatino Linotype"/>
          <w:sz w:val="22"/>
          <w:szCs w:val="22"/>
        </w:rPr>
      </w:pPr>
    </w:p>
    <w:p w14:paraId="3427699A" w14:textId="77777777" w:rsidR="00083D6C" w:rsidRDefault="00EC07DE">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riesgo de perjuicio supera el interés público general de que se difunda.</w:t>
      </w:r>
    </w:p>
    <w:p w14:paraId="670B1661" w14:textId="77777777" w:rsidR="00083D6C" w:rsidRDefault="00083D6C">
      <w:pPr>
        <w:spacing w:line="360" w:lineRule="auto"/>
        <w:jc w:val="both"/>
        <w:rPr>
          <w:rFonts w:ascii="Palatino Linotype" w:eastAsia="Palatino Linotype" w:hAnsi="Palatino Linotype" w:cs="Palatino Linotype"/>
          <w:sz w:val="22"/>
          <w:szCs w:val="22"/>
        </w:rPr>
      </w:pPr>
    </w:p>
    <w:p w14:paraId="2F66747C" w14:textId="77777777" w:rsidR="00083D6C" w:rsidRDefault="00EC07DE">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Que la limitación se adecua al principio de proporcionalidad y representa el medio menos restrictivo disponible para evitar el perjuicio.</w:t>
      </w:r>
    </w:p>
    <w:p w14:paraId="088F8C72" w14:textId="77777777" w:rsidR="00083D6C" w:rsidRDefault="00083D6C">
      <w:pPr>
        <w:spacing w:line="360" w:lineRule="auto"/>
        <w:jc w:val="both"/>
        <w:rPr>
          <w:rFonts w:ascii="Palatino Linotype" w:eastAsia="Palatino Linotype" w:hAnsi="Palatino Linotype" w:cs="Palatino Linotype"/>
          <w:sz w:val="22"/>
          <w:szCs w:val="22"/>
        </w:rPr>
      </w:pPr>
    </w:p>
    <w:p w14:paraId="060BAB43"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Dirección de Seguridad Pública Municipal, de manera fundada y motivada, mediante la respectiva prueba de daño.</w:t>
      </w:r>
    </w:p>
    <w:p w14:paraId="08B5E583" w14:textId="77777777" w:rsidR="00083D6C" w:rsidRDefault="00083D6C">
      <w:pPr>
        <w:spacing w:line="360" w:lineRule="auto"/>
        <w:jc w:val="both"/>
        <w:rPr>
          <w:rFonts w:ascii="Palatino Linotype" w:eastAsia="Palatino Linotype" w:hAnsi="Palatino Linotype" w:cs="Palatino Linotype"/>
          <w:sz w:val="22"/>
          <w:szCs w:val="22"/>
        </w:rPr>
      </w:pPr>
    </w:p>
    <w:p w14:paraId="45328099"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es procedente determinar </w:t>
      </w:r>
      <w:proofErr w:type="spellStart"/>
      <w:r>
        <w:rPr>
          <w:rFonts w:ascii="Palatino Linotype" w:eastAsia="Palatino Linotype" w:hAnsi="Palatino Linotype" w:cs="Palatino Linotype"/>
          <w:sz w:val="22"/>
          <w:szCs w:val="22"/>
        </w:rPr>
        <w:t>como</w:t>
      </w:r>
      <w:proofErr w:type="spellEnd"/>
      <w:r>
        <w:rPr>
          <w:rFonts w:ascii="Palatino Linotype" w:eastAsia="Palatino Linotype" w:hAnsi="Palatino Linotype" w:cs="Palatino Linotype"/>
          <w:sz w:val="22"/>
          <w:szCs w:val="22"/>
        </w:rPr>
        <w:t xml:space="preserve"> fundados los motivos de inconformidad planteados por la persona Recurrente y</w:t>
      </w:r>
      <w:r>
        <w:rPr>
          <w:rFonts w:ascii="Palatino Linotype" w:eastAsia="Palatino Linotype" w:hAnsi="Palatino Linotype" w:cs="Palatino Linotype"/>
          <w:b/>
          <w:sz w:val="22"/>
          <w:szCs w:val="22"/>
        </w:rPr>
        <w:t xml:space="preserve"> MODIFICAR</w:t>
      </w:r>
      <w:r>
        <w:rPr>
          <w:rFonts w:ascii="Palatino Linotype" w:eastAsia="Palatino Linotype" w:hAnsi="Palatino Linotype" w:cs="Palatino Linotype"/>
          <w:sz w:val="22"/>
          <w:szCs w:val="22"/>
        </w:rPr>
        <w:t xml:space="preserve"> la respuesta del Sujeto Obligado, a fin de que entregue los oficios faltantes, así como aquellos, que fueron entregados en una versión pública incorrecta en la que haya testado información de más en los términos antes expuestos. De igual forma, para el caso de que cuente datos personales confidenciales </w:t>
      </w:r>
      <w:r>
        <w:rPr>
          <w:rFonts w:ascii="Palatino Linotype" w:eastAsia="Palatino Linotype" w:hAnsi="Palatino Linotype" w:cs="Palatino Linotype"/>
          <w:color w:val="000000"/>
          <w:sz w:val="22"/>
          <w:szCs w:val="22"/>
        </w:rPr>
        <w:t xml:space="preserve">deberá proporcionar el Acuerdo de Clasificación donde el Comité de Transparencia, confirme la eliminación de los datos en la versión pública, o la clasificación de los oficios, </w:t>
      </w:r>
      <w:r>
        <w:rPr>
          <w:rFonts w:ascii="Palatino Linotype" w:eastAsia="Palatino Linotype" w:hAnsi="Palatino Linotype" w:cs="Palatino Linotype"/>
          <w:sz w:val="22"/>
          <w:szCs w:val="22"/>
        </w:rPr>
        <w:t xml:space="preserve">en el supuesto que actualicen </w:t>
      </w:r>
      <w:r>
        <w:rPr>
          <w:rFonts w:ascii="Palatino Linotype" w:eastAsia="Palatino Linotype" w:hAnsi="Palatino Linotype" w:cs="Palatino Linotype"/>
          <w:color w:val="000000"/>
          <w:sz w:val="22"/>
          <w:szCs w:val="22"/>
        </w:rPr>
        <w:t>una causal de reserva, conforme a lo establecido anteriormente, de conformidad con los artículos 49, fracciones II y VIII y 132, fracción II de la Ley de Transparencia y Acceso a la Información Pública del Estado de México y Municipios.</w:t>
      </w:r>
    </w:p>
    <w:p w14:paraId="3D7C354A"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61152B34" w14:textId="77777777" w:rsidR="00083D6C" w:rsidRDefault="00EC07D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el supuesto que algunos de los oficios no obren en los archivos del Sujeto Obligado por no haberse generado o se hubieran cancelado, bastará con que así lo haga del conocimiento de la parte Recurrente, de manera precisa y clara.</w:t>
      </w:r>
    </w:p>
    <w:p w14:paraId="04274322"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1472FA3" w14:textId="77777777" w:rsidR="00083D6C" w:rsidRDefault="00EC07DE">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14:paraId="52FB7A92"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149A24B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787EFC48" w14:textId="77777777" w:rsidR="00083D6C" w:rsidRDefault="00083D6C">
      <w:pPr>
        <w:spacing w:line="360" w:lineRule="auto"/>
        <w:jc w:val="both"/>
        <w:rPr>
          <w:rFonts w:ascii="Palatino Linotype" w:eastAsia="Palatino Linotype" w:hAnsi="Palatino Linotype" w:cs="Palatino Linotype"/>
          <w:sz w:val="22"/>
          <w:szCs w:val="22"/>
        </w:rPr>
      </w:pPr>
    </w:p>
    <w:p w14:paraId="3AA14FC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97DE48C" w14:textId="77777777" w:rsidR="00083D6C" w:rsidRDefault="00083D6C">
      <w:pPr>
        <w:spacing w:line="360" w:lineRule="auto"/>
        <w:jc w:val="both"/>
        <w:rPr>
          <w:rFonts w:ascii="Palatino Linotype" w:eastAsia="Palatino Linotype" w:hAnsi="Palatino Linotype" w:cs="Palatino Linotype"/>
          <w:sz w:val="22"/>
          <w:szCs w:val="22"/>
        </w:rPr>
      </w:pPr>
    </w:p>
    <w:p w14:paraId="4DB5C09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misma manera, el artículo 5°, fracciones I y II de la Constitución Política del Estado Libre y Soberano de México, prevé que toda la información en posesión de los Sujetos Obligados </w:t>
      </w:r>
      <w:r>
        <w:rPr>
          <w:rFonts w:ascii="Palatino Linotype" w:eastAsia="Palatino Linotype" w:hAnsi="Palatino Linotype" w:cs="Palatino Linotype"/>
          <w:sz w:val="22"/>
          <w:szCs w:val="22"/>
        </w:rPr>
        <w:lastRenderedPageBreak/>
        <w:t>será pública; no obstante, aquella referente a la intimidad de la vida privada y la imagen de las personas, será protegida a través de un marco jurídico rígido, de tratamiento y manejo de datos personales.</w:t>
      </w:r>
    </w:p>
    <w:p w14:paraId="50AAA372" w14:textId="77777777" w:rsidR="00083D6C" w:rsidRDefault="00083D6C">
      <w:pPr>
        <w:spacing w:line="360" w:lineRule="auto"/>
        <w:jc w:val="both"/>
        <w:rPr>
          <w:rFonts w:ascii="Palatino Linotype" w:eastAsia="Palatino Linotype" w:hAnsi="Palatino Linotype" w:cs="Palatino Linotype"/>
          <w:sz w:val="22"/>
          <w:szCs w:val="22"/>
        </w:rPr>
      </w:pPr>
    </w:p>
    <w:p w14:paraId="3D4D1B8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2264FC7" w14:textId="77777777" w:rsidR="00083D6C" w:rsidRDefault="00083D6C">
      <w:pPr>
        <w:spacing w:line="360" w:lineRule="auto"/>
        <w:jc w:val="both"/>
        <w:rPr>
          <w:rFonts w:ascii="Palatino Linotype" w:eastAsia="Palatino Linotype" w:hAnsi="Palatino Linotype" w:cs="Palatino Linotype"/>
          <w:sz w:val="22"/>
          <w:szCs w:val="22"/>
        </w:rPr>
      </w:pPr>
    </w:p>
    <w:p w14:paraId="22CF6C8C"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A83F5E1" w14:textId="77777777" w:rsidR="00083D6C" w:rsidRDefault="00083D6C">
      <w:pPr>
        <w:spacing w:line="360" w:lineRule="auto"/>
        <w:jc w:val="both"/>
        <w:rPr>
          <w:rFonts w:ascii="Palatino Linotype" w:eastAsia="Palatino Linotype" w:hAnsi="Palatino Linotype" w:cs="Palatino Linotype"/>
          <w:sz w:val="22"/>
          <w:szCs w:val="22"/>
        </w:rPr>
      </w:pPr>
    </w:p>
    <w:p w14:paraId="037C630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5EEBB8F" w14:textId="77777777" w:rsidR="00083D6C" w:rsidRDefault="00083D6C">
      <w:pPr>
        <w:spacing w:line="360" w:lineRule="auto"/>
        <w:jc w:val="both"/>
        <w:rPr>
          <w:rFonts w:ascii="Palatino Linotype" w:eastAsia="Palatino Linotype" w:hAnsi="Palatino Linotype" w:cs="Palatino Linotype"/>
          <w:sz w:val="22"/>
          <w:szCs w:val="22"/>
        </w:rPr>
      </w:pPr>
    </w:p>
    <w:p w14:paraId="429E3E82"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4BD0C7BC" w14:textId="77777777" w:rsidR="00083D6C" w:rsidRDefault="00083D6C">
      <w:pPr>
        <w:spacing w:line="360" w:lineRule="auto"/>
        <w:jc w:val="both"/>
        <w:rPr>
          <w:rFonts w:ascii="Palatino Linotype" w:eastAsia="Palatino Linotype" w:hAnsi="Palatino Linotype" w:cs="Palatino Linotype"/>
          <w:sz w:val="22"/>
          <w:szCs w:val="22"/>
        </w:rPr>
      </w:pPr>
    </w:p>
    <w:p w14:paraId="238B4E37" w14:textId="77777777" w:rsidR="00083D6C" w:rsidRDefault="00EC07D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Se trate de datos personales o información privada; esto es, información concerniente a una persona física o jurídico colectiva y que esta sea identificada o identificable. </w:t>
      </w:r>
    </w:p>
    <w:p w14:paraId="3244626E" w14:textId="77777777" w:rsidR="00083D6C" w:rsidRDefault="00EC07D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la difusión de los datos, se requiera el consentimiento del titular. </w:t>
      </w:r>
    </w:p>
    <w:p w14:paraId="0480F69F" w14:textId="77777777" w:rsidR="00083D6C" w:rsidRDefault="00083D6C">
      <w:pPr>
        <w:spacing w:line="360" w:lineRule="auto"/>
        <w:jc w:val="both"/>
        <w:rPr>
          <w:rFonts w:ascii="Palatino Linotype" w:eastAsia="Palatino Linotype" w:hAnsi="Palatino Linotype" w:cs="Palatino Linotype"/>
          <w:sz w:val="22"/>
          <w:szCs w:val="22"/>
        </w:rPr>
      </w:pPr>
    </w:p>
    <w:p w14:paraId="6281F160"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E15D1E2" w14:textId="77777777" w:rsidR="00083D6C" w:rsidRDefault="00083D6C">
      <w:pPr>
        <w:spacing w:line="360" w:lineRule="auto"/>
        <w:jc w:val="both"/>
        <w:rPr>
          <w:rFonts w:ascii="Palatino Linotype" w:eastAsia="Palatino Linotype" w:hAnsi="Palatino Linotype" w:cs="Palatino Linotype"/>
          <w:sz w:val="22"/>
          <w:szCs w:val="22"/>
        </w:rPr>
      </w:pPr>
    </w:p>
    <w:p w14:paraId="1621950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21601EA4" w14:textId="77777777" w:rsidR="00083D6C" w:rsidRDefault="00083D6C">
      <w:pPr>
        <w:spacing w:line="360" w:lineRule="auto"/>
        <w:jc w:val="both"/>
        <w:rPr>
          <w:rFonts w:ascii="Palatino Linotype" w:eastAsia="Palatino Linotype" w:hAnsi="Palatino Linotype" w:cs="Palatino Linotype"/>
          <w:sz w:val="22"/>
          <w:szCs w:val="22"/>
        </w:rPr>
      </w:pPr>
    </w:p>
    <w:p w14:paraId="7F844A46"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1225153" w14:textId="77777777" w:rsidR="00083D6C" w:rsidRDefault="00083D6C">
      <w:pPr>
        <w:spacing w:line="360" w:lineRule="auto"/>
        <w:jc w:val="both"/>
        <w:rPr>
          <w:rFonts w:ascii="Palatino Linotype" w:eastAsia="Palatino Linotype" w:hAnsi="Palatino Linotype" w:cs="Palatino Linotype"/>
          <w:sz w:val="22"/>
          <w:szCs w:val="22"/>
        </w:rPr>
      </w:pPr>
    </w:p>
    <w:p w14:paraId="6C969439"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un dato personal es cualquier información que pueda hacer a una persona física o jurídica colectiva identificada e identificable. Asimismo, la doctrina desarrollada a </w:t>
      </w:r>
      <w:r>
        <w:rPr>
          <w:rFonts w:ascii="Palatino Linotype" w:eastAsia="Palatino Linotype" w:hAnsi="Palatino Linotype" w:cs="Palatino Linotype"/>
          <w:sz w:val="22"/>
          <w:szCs w:val="22"/>
        </w:rPr>
        <w:lastRenderedPageBreak/>
        <w:t>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7C13BF3" w14:textId="77777777" w:rsidR="00083D6C" w:rsidRDefault="00083D6C">
      <w:pPr>
        <w:spacing w:line="360" w:lineRule="auto"/>
        <w:jc w:val="both"/>
        <w:rPr>
          <w:rFonts w:ascii="Palatino Linotype" w:eastAsia="Palatino Linotype" w:hAnsi="Palatino Linotype" w:cs="Palatino Linotype"/>
          <w:sz w:val="22"/>
          <w:szCs w:val="22"/>
        </w:rPr>
      </w:pPr>
    </w:p>
    <w:p w14:paraId="7B25D32F"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523A037" w14:textId="77777777" w:rsidR="00083D6C" w:rsidRDefault="00083D6C">
      <w:pPr>
        <w:spacing w:line="360" w:lineRule="auto"/>
        <w:jc w:val="both"/>
        <w:rPr>
          <w:rFonts w:ascii="Palatino Linotype" w:eastAsia="Palatino Linotype" w:hAnsi="Palatino Linotype" w:cs="Palatino Linotype"/>
          <w:sz w:val="22"/>
          <w:szCs w:val="22"/>
        </w:rPr>
      </w:pPr>
    </w:p>
    <w:p w14:paraId="72C65EC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3F2F01C9" w14:textId="77777777" w:rsidR="00083D6C" w:rsidRDefault="00083D6C">
      <w:pPr>
        <w:spacing w:line="360" w:lineRule="auto"/>
        <w:jc w:val="both"/>
        <w:rPr>
          <w:rFonts w:ascii="Palatino Linotype" w:eastAsia="Palatino Linotype" w:hAnsi="Palatino Linotype" w:cs="Palatino Linotype"/>
          <w:sz w:val="22"/>
          <w:szCs w:val="22"/>
        </w:rPr>
      </w:pPr>
    </w:p>
    <w:p w14:paraId="096461D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B0A95E6" w14:textId="77777777" w:rsidR="00083D6C" w:rsidRDefault="00083D6C">
      <w:pPr>
        <w:spacing w:line="360" w:lineRule="auto"/>
        <w:jc w:val="both"/>
        <w:rPr>
          <w:rFonts w:ascii="Palatino Linotype" w:eastAsia="Palatino Linotype" w:hAnsi="Palatino Linotype" w:cs="Palatino Linotype"/>
          <w:sz w:val="22"/>
          <w:szCs w:val="22"/>
        </w:rPr>
      </w:pPr>
    </w:p>
    <w:p w14:paraId="1025911E"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C3CE96B" w14:textId="77777777" w:rsidR="00083D6C" w:rsidRDefault="00083D6C">
      <w:pPr>
        <w:spacing w:line="360" w:lineRule="auto"/>
        <w:jc w:val="both"/>
        <w:rPr>
          <w:rFonts w:ascii="Palatino Linotype" w:eastAsia="Palatino Linotype" w:hAnsi="Palatino Linotype" w:cs="Palatino Linotype"/>
          <w:sz w:val="22"/>
          <w:szCs w:val="22"/>
        </w:rPr>
      </w:pPr>
    </w:p>
    <w:p w14:paraId="17D36638"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4053C9A" w14:textId="77777777" w:rsidR="00083D6C" w:rsidRDefault="00083D6C">
      <w:pPr>
        <w:spacing w:line="360" w:lineRule="auto"/>
        <w:jc w:val="both"/>
        <w:rPr>
          <w:rFonts w:ascii="Palatino Linotype" w:eastAsia="Palatino Linotype" w:hAnsi="Palatino Linotype" w:cs="Palatino Linotype"/>
          <w:sz w:val="22"/>
          <w:szCs w:val="22"/>
        </w:rPr>
      </w:pPr>
    </w:p>
    <w:p w14:paraId="77F293A5"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ese contexto, se deberán atender los supuestos establecidos en el presente considerando en el que se analizaron algunos datos personales que pueden encontrarse dentro de los documentos que pueden dar cuenta de lo requerido por la persona Particular; y se deberá verificar si actualizan la causal de clasificación establecida en el artículo 143, fracción I, de la Ley de Transparencia y Acceso a la Información Pública del Estado de México y Municipios.</w:t>
      </w:r>
    </w:p>
    <w:p w14:paraId="30170785"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7E88466A" w14:textId="77777777" w:rsidR="00083D6C" w:rsidRDefault="00EC07D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4D024D30" w14:textId="77777777" w:rsidR="00083D6C" w:rsidRDefault="00083D6C">
      <w:pPr>
        <w:spacing w:line="360" w:lineRule="auto"/>
        <w:jc w:val="both"/>
        <w:rPr>
          <w:rFonts w:ascii="Palatino Linotype" w:eastAsia="Palatino Linotype" w:hAnsi="Palatino Linotype" w:cs="Palatino Linotype"/>
          <w:b/>
          <w:sz w:val="22"/>
          <w:szCs w:val="22"/>
        </w:rPr>
      </w:pPr>
    </w:p>
    <w:p w14:paraId="6C580DDD"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color w:val="0D0D0D"/>
          <w:sz w:val="22"/>
          <w:szCs w:val="22"/>
        </w:rPr>
        <w:t>00110/TOLUCA/IP/2024</w:t>
      </w:r>
      <w:r>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Pr>
          <w:rFonts w:ascii="Palatino Linotype" w:eastAsia="Palatino Linotype" w:hAnsi="Palatino Linotype" w:cs="Palatino Linotype"/>
          <w:b/>
          <w:sz w:val="22"/>
          <w:szCs w:val="22"/>
        </w:rPr>
        <w:t>01046/INFOEM/IP/RR/2024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 xml:space="preserve">la entrega de la información faltante y los oficios en versión pública correcta conforme a lo expuesto en el considerando anterior. </w:t>
      </w:r>
    </w:p>
    <w:p w14:paraId="0918D8EA" w14:textId="77777777" w:rsidR="00083D6C" w:rsidRDefault="00083D6C">
      <w:pPr>
        <w:tabs>
          <w:tab w:val="left" w:pos="4962"/>
        </w:tabs>
        <w:spacing w:line="360" w:lineRule="auto"/>
        <w:jc w:val="both"/>
        <w:rPr>
          <w:rFonts w:ascii="Palatino Linotype" w:eastAsia="Palatino Linotype" w:hAnsi="Palatino Linotype" w:cs="Palatino Linotype"/>
          <w:color w:val="000000"/>
          <w:sz w:val="22"/>
          <w:szCs w:val="22"/>
        </w:rPr>
      </w:pPr>
    </w:p>
    <w:p w14:paraId="194645C7" w14:textId="77777777" w:rsidR="00083D6C" w:rsidRDefault="00EC07DE">
      <w:pPr>
        <w:spacing w:line="360" w:lineRule="auto"/>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b/>
          <w:sz w:val="22"/>
          <w:szCs w:val="22"/>
        </w:rPr>
        <w:t xml:space="preserve">SÉPTIMO. </w:t>
      </w:r>
      <w:r>
        <w:rPr>
          <w:rFonts w:ascii="Palatino Linotype" w:eastAsia="Palatino Linotype" w:hAnsi="Palatino Linotype" w:cs="Palatino Linotype"/>
          <w:b/>
          <w:color w:val="000000"/>
          <w:sz w:val="22"/>
          <w:szCs w:val="22"/>
        </w:rPr>
        <w:t>Vista la Dirección General de Protección de Datos Personales</w:t>
      </w:r>
    </w:p>
    <w:p w14:paraId="37EFA2AF"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F40E0AC" w14:textId="77777777" w:rsidR="00083D6C" w:rsidRDefault="00EC07DE">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el Sujeto Obligado dejo visibles datos personales confidenciales en la respuesta proporcionada a la solicitud de información que nos ocupa, a saber: nombre, firma de recibido y domicilio de particulares,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 </w:t>
      </w:r>
    </w:p>
    <w:p w14:paraId="76F82329" w14:textId="77777777" w:rsidR="00083D6C" w:rsidRDefault="00083D6C">
      <w:pPr>
        <w:tabs>
          <w:tab w:val="left" w:pos="4962"/>
        </w:tabs>
        <w:spacing w:line="360" w:lineRule="auto"/>
        <w:jc w:val="both"/>
        <w:rPr>
          <w:rFonts w:ascii="Palatino Linotype" w:eastAsia="Palatino Linotype" w:hAnsi="Palatino Linotype" w:cs="Palatino Linotype"/>
          <w:color w:val="000000"/>
          <w:sz w:val="22"/>
          <w:szCs w:val="22"/>
        </w:rPr>
      </w:pPr>
    </w:p>
    <w:p w14:paraId="2869E5B0" w14:textId="77777777" w:rsidR="00083D6C" w:rsidRDefault="00EC07DE">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w:t>
      </w:r>
      <w:r>
        <w:rPr>
          <w:rFonts w:ascii="Palatino Linotype" w:eastAsia="Palatino Linotype" w:hAnsi="Palatino Linotype" w:cs="Palatino Linotype"/>
          <w:color w:val="000000"/>
          <w:sz w:val="22"/>
          <w:szCs w:val="22"/>
        </w:rPr>
        <w:lastRenderedPageBreak/>
        <w:t>Estado de México y Municipios, a fin de llevar a cabo el procedimiento que conforme a Derecho corresponda.</w:t>
      </w:r>
    </w:p>
    <w:p w14:paraId="019D6C47" w14:textId="77777777" w:rsidR="00083D6C" w:rsidRDefault="00083D6C">
      <w:pPr>
        <w:tabs>
          <w:tab w:val="left" w:pos="4962"/>
        </w:tabs>
        <w:spacing w:line="360" w:lineRule="auto"/>
        <w:jc w:val="both"/>
        <w:rPr>
          <w:rFonts w:ascii="Palatino Linotype" w:eastAsia="Palatino Linotype" w:hAnsi="Palatino Linotype" w:cs="Palatino Linotype"/>
          <w:color w:val="000000"/>
          <w:sz w:val="22"/>
          <w:szCs w:val="22"/>
        </w:rPr>
      </w:pPr>
    </w:p>
    <w:p w14:paraId="0F4FA362" w14:textId="77777777" w:rsidR="00083D6C" w:rsidRDefault="00EC07DE">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parte Recurrente</w:t>
      </w:r>
    </w:p>
    <w:p w14:paraId="7D3B93EE" w14:textId="77777777" w:rsidR="00083D6C" w:rsidRDefault="00083D6C">
      <w:pPr>
        <w:spacing w:line="360" w:lineRule="auto"/>
        <w:jc w:val="both"/>
        <w:rPr>
          <w:rFonts w:ascii="Palatino Linotype" w:eastAsia="Palatino Linotype" w:hAnsi="Palatino Linotype" w:cs="Palatino Linotype"/>
          <w:sz w:val="22"/>
          <w:szCs w:val="22"/>
        </w:rPr>
      </w:pPr>
    </w:p>
    <w:p w14:paraId="71A7190A" w14:textId="77777777" w:rsidR="00083D6C" w:rsidRDefault="00EC07D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Se hace del conocimiento al Particular que este Organismo Garante le otorgó la razón en virtud de que el Sujeto Obligado no entregó la información completa, de igual forma la versión pública no fue correcta puesto que se testó información de más, también se dejaron visibles datos personales confidenciales y se reservó información sin la debida fundamentación y motivación, por lo que se ordena la entrega de lo faltante y de los oficios entregados en respuesta, que deban atender a una versión pública correcta.</w:t>
      </w:r>
    </w:p>
    <w:p w14:paraId="32789BBB" w14:textId="77777777" w:rsidR="00083D6C" w:rsidRDefault="00083D6C">
      <w:pPr>
        <w:spacing w:line="360" w:lineRule="auto"/>
        <w:jc w:val="both"/>
        <w:rPr>
          <w:rFonts w:ascii="Palatino Linotype" w:eastAsia="Palatino Linotype" w:hAnsi="Palatino Linotype" w:cs="Palatino Linotype"/>
          <w:sz w:val="22"/>
          <w:szCs w:val="22"/>
          <w:u w:val="single"/>
        </w:rPr>
      </w:pPr>
    </w:p>
    <w:p w14:paraId="57FB1B97" w14:textId="77777777" w:rsidR="00083D6C" w:rsidRDefault="00EC07D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14:paraId="575E54B5" w14:textId="77777777" w:rsidR="00083D6C" w:rsidRDefault="00083D6C">
      <w:pPr>
        <w:spacing w:line="360" w:lineRule="auto"/>
        <w:jc w:val="both"/>
        <w:rPr>
          <w:rFonts w:ascii="Palatino Linotype" w:eastAsia="Palatino Linotype" w:hAnsi="Palatino Linotype" w:cs="Palatino Linotype"/>
          <w:sz w:val="22"/>
          <w:szCs w:val="22"/>
          <w:u w:val="single"/>
        </w:rPr>
      </w:pPr>
    </w:p>
    <w:p w14:paraId="58E49053" w14:textId="77777777" w:rsidR="00083D6C" w:rsidRDefault="00EC07D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5381A18F" w14:textId="77777777" w:rsidR="00083D6C" w:rsidRDefault="00083D6C">
      <w:pPr>
        <w:tabs>
          <w:tab w:val="left" w:pos="4962"/>
        </w:tabs>
        <w:spacing w:line="360" w:lineRule="auto"/>
        <w:jc w:val="both"/>
        <w:rPr>
          <w:rFonts w:ascii="Palatino Linotype" w:eastAsia="Palatino Linotype" w:hAnsi="Palatino Linotype" w:cs="Palatino Linotype"/>
          <w:color w:val="000000"/>
          <w:sz w:val="22"/>
          <w:szCs w:val="22"/>
        </w:rPr>
      </w:pPr>
    </w:p>
    <w:p w14:paraId="2F1FC9E2" w14:textId="77777777" w:rsidR="00083D6C" w:rsidRDefault="00EC07DE">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7190C242" w14:textId="77777777" w:rsidR="00083D6C" w:rsidRDefault="00083D6C">
      <w:pPr>
        <w:spacing w:line="360" w:lineRule="auto"/>
        <w:jc w:val="both"/>
        <w:rPr>
          <w:rFonts w:ascii="Palatino Linotype" w:eastAsia="Palatino Linotype" w:hAnsi="Palatino Linotype" w:cs="Palatino Linotype"/>
          <w:b/>
          <w:sz w:val="22"/>
          <w:szCs w:val="22"/>
        </w:rPr>
      </w:pPr>
    </w:p>
    <w:p w14:paraId="5979520A"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Ayuntamiento de Toluca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00110/TOLUCA/IP/2024 </w:t>
      </w:r>
      <w:r>
        <w:rPr>
          <w:rFonts w:ascii="Palatino Linotype" w:eastAsia="Palatino Linotype" w:hAnsi="Palatino Linotype" w:cs="Palatino Linotype"/>
          <w:sz w:val="22"/>
          <w:szCs w:val="22"/>
        </w:rPr>
        <w:t xml:space="preserve">por resultar fundadas las razones o motivos de inconformidad hechos valer por el Recurrente en el Recurso de Revisión </w:t>
      </w:r>
      <w:r>
        <w:rPr>
          <w:rFonts w:ascii="Palatino Linotype" w:eastAsia="Palatino Linotype" w:hAnsi="Palatino Linotype" w:cs="Palatino Linotype"/>
          <w:b/>
          <w:color w:val="0D0D0D"/>
          <w:sz w:val="22"/>
          <w:szCs w:val="22"/>
        </w:rPr>
        <w:lastRenderedPageBreak/>
        <w:t>01046/INFOEM/IP/RR/2024</w:t>
      </w:r>
      <w:r>
        <w:rPr>
          <w:rFonts w:ascii="Palatino Linotype" w:eastAsia="Palatino Linotype" w:hAnsi="Palatino Linotype" w:cs="Palatino Linotype"/>
          <w:sz w:val="22"/>
          <w:szCs w:val="22"/>
        </w:rPr>
        <w:t>, en términos de los considerandos QUINTO y SEXTO de la presente Resolución.</w:t>
      </w:r>
    </w:p>
    <w:p w14:paraId="1E4D3169" w14:textId="77777777" w:rsidR="00083D6C" w:rsidRDefault="00083D6C">
      <w:pPr>
        <w:spacing w:line="360" w:lineRule="auto"/>
        <w:jc w:val="both"/>
        <w:rPr>
          <w:rFonts w:ascii="Palatino Linotype" w:eastAsia="Palatino Linotype" w:hAnsi="Palatino Linotype" w:cs="Palatino Linotype"/>
          <w:sz w:val="22"/>
          <w:szCs w:val="22"/>
        </w:rPr>
      </w:pPr>
    </w:p>
    <w:p w14:paraId="126D5294" w14:textId="77777777" w:rsidR="00083D6C" w:rsidRDefault="00EC07DE">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entregue, previa búsqueda exhaustiva y razonable, a través del SAIMEX, en su caso, en versión pública,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lo siguiente:</w:t>
      </w:r>
    </w:p>
    <w:p w14:paraId="0705AB8B" w14:textId="77777777" w:rsidR="00083D6C" w:rsidRDefault="00083D6C">
      <w:pPr>
        <w:spacing w:line="360" w:lineRule="auto"/>
        <w:jc w:val="both"/>
        <w:rPr>
          <w:rFonts w:ascii="Palatino Linotype" w:eastAsia="Palatino Linotype" w:hAnsi="Palatino Linotype" w:cs="Palatino Linotype"/>
          <w:b/>
          <w:color w:val="000000"/>
          <w:sz w:val="22"/>
          <w:szCs w:val="22"/>
        </w:rPr>
      </w:pPr>
    </w:p>
    <w:p w14:paraId="7F92BAAD" w14:textId="77777777" w:rsidR="00083D6C" w:rsidRDefault="00EC07DE">
      <w:pPr>
        <w:numPr>
          <w:ilvl w:val="0"/>
          <w:numId w:val="10"/>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oficios faltantes emitidos por el Director General de Administración del periodo del 1° de enero al 29 de febrero de 2020, conforme a lo expuesto en el considerando QUINTO.</w:t>
      </w:r>
    </w:p>
    <w:p w14:paraId="3B106E1E" w14:textId="77777777" w:rsidR="00083D6C" w:rsidRDefault="00EC07D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oficios entregados en respuesta, en versión pública correcta conforme a lo expuesto en el considerando QUINTO.</w:t>
      </w:r>
    </w:p>
    <w:p w14:paraId="005D44B4"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15214BAA" w14:textId="77777777" w:rsidR="00083D6C" w:rsidRDefault="00EC07D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las versiones públicas que se entreguen,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39607AEC" w14:textId="77777777" w:rsidR="00083D6C" w:rsidRDefault="00083D6C">
      <w:pPr>
        <w:spacing w:line="360" w:lineRule="auto"/>
        <w:ind w:right="-93"/>
        <w:jc w:val="both"/>
        <w:rPr>
          <w:rFonts w:ascii="Palatino Linotype" w:eastAsia="Palatino Linotype" w:hAnsi="Palatino Linotype" w:cs="Palatino Linotype"/>
          <w:sz w:val="22"/>
          <w:szCs w:val="22"/>
        </w:rPr>
      </w:pPr>
    </w:p>
    <w:p w14:paraId="4558807D" w14:textId="77777777" w:rsidR="00083D6C" w:rsidRDefault="00EC07D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supuesto que algunos de los oficios no obren en los archivos del Sujeto Obligado por haberse cancelado, bastará con que así lo haga del conocimiento de la parte Recurrente, de manera precisa y clara.</w:t>
      </w:r>
    </w:p>
    <w:p w14:paraId="6F4615C5" w14:textId="77777777" w:rsidR="00083D6C" w:rsidRDefault="00083D6C">
      <w:pPr>
        <w:spacing w:line="360" w:lineRule="auto"/>
        <w:jc w:val="both"/>
        <w:rPr>
          <w:rFonts w:ascii="Palatino Linotype" w:eastAsia="Palatino Linotype" w:hAnsi="Palatino Linotype" w:cs="Palatino Linotype"/>
          <w:b/>
          <w:sz w:val="22"/>
          <w:szCs w:val="22"/>
        </w:rPr>
      </w:pPr>
    </w:p>
    <w:p w14:paraId="6EBE2904"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Pr>
          <w:rFonts w:ascii="Palatino Linotype" w:eastAsia="Palatino Linotype" w:hAnsi="Palatino Linotype" w:cs="Palatino Linotype"/>
          <w:sz w:val="22"/>
          <w:szCs w:val="22"/>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10386170" w14:textId="77777777" w:rsidR="00083D6C" w:rsidRDefault="00083D6C">
      <w:pPr>
        <w:spacing w:line="360" w:lineRule="auto"/>
        <w:jc w:val="both"/>
        <w:rPr>
          <w:rFonts w:ascii="Palatino Linotype" w:eastAsia="Palatino Linotype" w:hAnsi="Palatino Linotype" w:cs="Palatino Linotype"/>
          <w:sz w:val="22"/>
          <w:szCs w:val="22"/>
        </w:rPr>
      </w:pPr>
    </w:p>
    <w:p w14:paraId="5DFEB737"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C7954C"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76B72FB1"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color w:val="000000"/>
          <w:sz w:val="22"/>
          <w:szCs w:val="22"/>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CAD8425"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57B3808B" w14:textId="77777777" w:rsidR="00083D6C" w:rsidRDefault="00EC07D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QUINTO.</w:t>
      </w:r>
      <w:r>
        <w:rPr>
          <w:rFonts w:ascii="Palatino Linotype" w:eastAsia="Palatino Linotype" w:hAnsi="Palatino Linotype" w:cs="Palatino Linotype"/>
          <w:color w:val="000000"/>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1C572D24" w14:textId="77777777" w:rsidR="00083D6C" w:rsidRDefault="00083D6C">
      <w:pPr>
        <w:spacing w:line="360" w:lineRule="auto"/>
        <w:jc w:val="both"/>
        <w:rPr>
          <w:rFonts w:ascii="Palatino Linotype" w:eastAsia="Palatino Linotype" w:hAnsi="Palatino Linotype" w:cs="Palatino Linotype"/>
          <w:color w:val="000000"/>
          <w:sz w:val="22"/>
          <w:szCs w:val="22"/>
        </w:rPr>
      </w:pPr>
    </w:p>
    <w:p w14:paraId="576B6CFB" w14:textId="77777777" w:rsidR="00083D6C" w:rsidRDefault="00EC07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w:t>
      </w:r>
      <w:r>
        <w:rPr>
          <w:rFonts w:ascii="Palatino Linotype" w:eastAsia="Palatino Linotype" w:hAnsi="Palatino Linotype" w:cs="Palatino Linotype"/>
          <w:sz w:val="22"/>
          <w:szCs w:val="22"/>
        </w:rPr>
        <w:lastRenderedPageBreak/>
        <w:t>SHARON CRISTINA MORALES MARTÍNEZ, LUIS GUSTAVO PARRA NORIEGA CON VOTO PARTICULAR Y GUADALUPE RAM</w:t>
      </w:r>
      <w:r w:rsidR="004B31FF">
        <w:rPr>
          <w:rFonts w:ascii="Palatino Linotype" w:eastAsia="Palatino Linotype" w:hAnsi="Palatino Linotype" w:cs="Palatino Linotype"/>
          <w:sz w:val="22"/>
          <w:szCs w:val="22"/>
        </w:rPr>
        <w:t>ÍREZ PEÑA, EN LA TRIGÉSIMA SÉPTIMA</w:t>
      </w:r>
      <w:r>
        <w:rPr>
          <w:rFonts w:ascii="Palatino Linotype" w:eastAsia="Palatino Linotype" w:hAnsi="Palatino Linotype" w:cs="Palatino Linotype"/>
          <w:sz w:val="22"/>
          <w:szCs w:val="22"/>
        </w:rPr>
        <w:t xml:space="preserve"> SESIÓN ORDINARIA, CELEBRADA EL DIECISÉIS DE OCTUBRE DE DOS MIL VEINTICUATRO, ANTE EL SECRETARIO TÉCNICO DEL PLENO, ALEXIS TAPIA RAMÍREZ.</w:t>
      </w:r>
    </w:p>
    <w:p w14:paraId="4F40CE25"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bookmarkStart w:id="2" w:name="_heading=h.1fob9te" w:colFirst="0" w:colLast="0"/>
      <w:bookmarkEnd w:id="2"/>
    </w:p>
    <w:p w14:paraId="0431500A"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72D84701"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6E28D41E"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2F5E6C53"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546E7582"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2C9ECF66" w14:textId="77777777" w:rsidR="00083D6C" w:rsidRDefault="00083D6C">
      <w:pPr>
        <w:tabs>
          <w:tab w:val="left" w:pos="4962"/>
        </w:tabs>
        <w:spacing w:line="360" w:lineRule="auto"/>
        <w:jc w:val="both"/>
        <w:rPr>
          <w:rFonts w:ascii="Palatino Linotype" w:eastAsia="Palatino Linotype" w:hAnsi="Palatino Linotype" w:cs="Palatino Linotype"/>
          <w:b/>
          <w:sz w:val="22"/>
          <w:szCs w:val="22"/>
        </w:rPr>
      </w:pPr>
    </w:p>
    <w:p w14:paraId="6387475B"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57C95CF4"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62FFCFE2"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AD709BD"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769D5C11"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DE1F22A"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3013DDA5"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52AD91D"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57D7DCAA"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F394944"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23BC7193"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F5DCCE7"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1C8A6BBF" w14:textId="77777777" w:rsidR="00083D6C" w:rsidRDefault="00083D6C">
      <w:pPr>
        <w:tabs>
          <w:tab w:val="left" w:pos="4962"/>
        </w:tabs>
        <w:spacing w:line="360" w:lineRule="auto"/>
        <w:jc w:val="both"/>
        <w:rPr>
          <w:rFonts w:ascii="Palatino Linotype" w:eastAsia="Palatino Linotype" w:hAnsi="Palatino Linotype" w:cs="Palatino Linotype"/>
          <w:sz w:val="22"/>
          <w:szCs w:val="22"/>
        </w:rPr>
      </w:pPr>
    </w:p>
    <w:p w14:paraId="05545036" w14:textId="77777777" w:rsidR="00083D6C" w:rsidRDefault="00083D6C">
      <w:pPr>
        <w:spacing w:line="360" w:lineRule="auto"/>
        <w:jc w:val="both"/>
        <w:rPr>
          <w:rFonts w:ascii="Palatino Linotype" w:eastAsia="Palatino Linotype" w:hAnsi="Palatino Linotype" w:cs="Palatino Linotype"/>
          <w:color w:val="000000"/>
          <w:sz w:val="22"/>
          <w:szCs w:val="22"/>
        </w:rPr>
      </w:pPr>
    </w:p>
    <w:sectPr w:rsidR="00083D6C">
      <w:headerReference w:type="even" r:id="rId11"/>
      <w:headerReference w:type="default" r:id="rId12"/>
      <w:footerReference w:type="even" r:id="rId13"/>
      <w:footerReference w:type="default" r:id="rId14"/>
      <w:headerReference w:type="first" r:id="rId15"/>
      <w:footerReference w:type="first" r:id="rId16"/>
      <w:pgSz w:w="12240" w:h="15840"/>
      <w:pgMar w:top="851" w:right="1610"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36CC" w14:textId="77777777" w:rsidR="005E2810" w:rsidRDefault="005E2810">
      <w:r>
        <w:separator/>
      </w:r>
    </w:p>
  </w:endnote>
  <w:endnote w:type="continuationSeparator" w:id="0">
    <w:p w14:paraId="27A01C7B" w14:textId="77777777" w:rsidR="005E2810" w:rsidRDefault="005E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A130" w14:textId="77777777" w:rsidR="003921CF" w:rsidRDefault="003921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5D56" w14:textId="77777777" w:rsidR="00083D6C" w:rsidRDefault="00083D6C">
    <w:pPr>
      <w:pBdr>
        <w:top w:val="nil"/>
        <w:left w:val="nil"/>
        <w:bottom w:val="nil"/>
        <w:right w:val="nil"/>
        <w:between w:val="nil"/>
      </w:pBdr>
      <w:tabs>
        <w:tab w:val="center" w:pos="4419"/>
        <w:tab w:val="right" w:pos="8838"/>
      </w:tabs>
      <w:jc w:val="right"/>
      <w:rPr>
        <w:color w:val="000000"/>
        <w:sz w:val="26"/>
        <w:szCs w:val="26"/>
      </w:rPr>
    </w:pPr>
  </w:p>
  <w:p w14:paraId="03ECA99A" w14:textId="77777777" w:rsidR="00083D6C" w:rsidRDefault="00EC07D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5210">
      <w:rPr>
        <w:b/>
        <w:noProof/>
        <w:color w:val="000000"/>
        <w:sz w:val="24"/>
        <w:szCs w:val="24"/>
      </w:rPr>
      <w:t>51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5210">
      <w:rPr>
        <w:b/>
        <w:noProof/>
        <w:color w:val="000000"/>
        <w:sz w:val="24"/>
        <w:szCs w:val="24"/>
      </w:rPr>
      <w:t>53</w:t>
    </w:r>
    <w:r>
      <w:rPr>
        <w:b/>
        <w:color w:val="000000"/>
        <w:sz w:val="24"/>
        <w:szCs w:val="24"/>
      </w:rPr>
      <w:fldChar w:fldCharType="end"/>
    </w:r>
  </w:p>
  <w:p w14:paraId="29332814" w14:textId="77777777" w:rsidR="00083D6C" w:rsidRDefault="00083D6C">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D25C" w14:textId="77777777" w:rsidR="00083D6C" w:rsidRDefault="00083D6C">
    <w:pPr>
      <w:pBdr>
        <w:top w:val="nil"/>
        <w:left w:val="nil"/>
        <w:bottom w:val="nil"/>
        <w:right w:val="nil"/>
        <w:between w:val="nil"/>
      </w:pBdr>
      <w:tabs>
        <w:tab w:val="center" w:pos="4419"/>
        <w:tab w:val="right" w:pos="8838"/>
      </w:tabs>
      <w:jc w:val="right"/>
      <w:rPr>
        <w:color w:val="000000"/>
      </w:rPr>
    </w:pPr>
  </w:p>
  <w:p w14:paraId="2472D73C" w14:textId="77777777" w:rsidR="00083D6C" w:rsidRDefault="00EC07D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521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5210">
      <w:rPr>
        <w:b/>
        <w:noProof/>
        <w:color w:val="000000"/>
        <w:sz w:val="24"/>
        <w:szCs w:val="24"/>
      </w:rPr>
      <w:t>53</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DC57" w14:textId="77777777" w:rsidR="005E2810" w:rsidRDefault="005E2810">
      <w:r>
        <w:separator/>
      </w:r>
    </w:p>
  </w:footnote>
  <w:footnote w:type="continuationSeparator" w:id="0">
    <w:p w14:paraId="5D855B61" w14:textId="77777777" w:rsidR="005E2810" w:rsidRDefault="005E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C3BD" w14:textId="77777777" w:rsidR="003921CF" w:rsidRDefault="003921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6221" w14:textId="77777777" w:rsidR="00083D6C" w:rsidRDefault="00083D6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9782" w:type="dxa"/>
      <w:tblInd w:w="0" w:type="dxa"/>
      <w:tblLayout w:type="fixed"/>
      <w:tblLook w:val="0400" w:firstRow="0" w:lastRow="0" w:firstColumn="0" w:lastColumn="0" w:noHBand="0" w:noVBand="1"/>
    </w:tblPr>
    <w:tblGrid>
      <w:gridCol w:w="2835"/>
      <w:gridCol w:w="6947"/>
    </w:tblGrid>
    <w:tr w:rsidR="00083D6C" w14:paraId="7FB40C11" w14:textId="77777777">
      <w:trPr>
        <w:trHeight w:val="1412"/>
      </w:trPr>
      <w:tc>
        <w:tcPr>
          <w:tcW w:w="2835" w:type="dxa"/>
          <w:shd w:val="clear" w:color="auto" w:fill="auto"/>
        </w:tcPr>
        <w:p w14:paraId="11F4550C" w14:textId="77777777" w:rsidR="00083D6C" w:rsidRDefault="00083D6C">
          <w:pPr>
            <w:tabs>
              <w:tab w:val="right" w:pos="4273"/>
            </w:tabs>
            <w:rPr>
              <w:rFonts w:ascii="Garamond" w:eastAsia="Garamond" w:hAnsi="Garamond" w:cs="Garamond"/>
              <w:sz w:val="16"/>
              <w:szCs w:val="16"/>
            </w:rPr>
          </w:pPr>
        </w:p>
      </w:tc>
      <w:tc>
        <w:tcPr>
          <w:tcW w:w="6947" w:type="dxa"/>
          <w:shd w:val="clear" w:color="auto" w:fill="auto"/>
        </w:tcPr>
        <w:p w14:paraId="656F64A8" w14:textId="77777777" w:rsidR="00083D6C" w:rsidRDefault="00083D6C">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5973"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2693"/>
            <w:gridCol w:w="3280"/>
          </w:tblGrid>
          <w:tr w:rsidR="00083D6C" w14:paraId="55974A1F" w14:textId="77777777">
            <w:trPr>
              <w:trHeight w:val="153"/>
            </w:trPr>
            <w:tc>
              <w:tcPr>
                <w:tcW w:w="2693" w:type="dxa"/>
              </w:tcPr>
              <w:p w14:paraId="7D755CD1" w14:textId="77777777" w:rsidR="00083D6C" w:rsidRDefault="00EC07D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0" w:type="dxa"/>
              </w:tcPr>
              <w:p w14:paraId="1A76AB53" w14:textId="77777777" w:rsidR="00083D6C" w:rsidRPr="003921CF" w:rsidRDefault="00EC07DE">
                <w:pPr>
                  <w:tabs>
                    <w:tab w:val="right" w:pos="8838"/>
                  </w:tabs>
                  <w:ind w:left="-108"/>
                  <w:jc w:val="both"/>
                  <w:rPr>
                    <w:rFonts w:ascii="Palatino Linotype" w:eastAsia="Palatino Linotype" w:hAnsi="Palatino Linotype" w:cs="Palatino Linotype"/>
                    <w:bCs/>
                    <w:sz w:val="22"/>
                    <w:szCs w:val="22"/>
                  </w:rPr>
                </w:pPr>
                <w:r w:rsidRPr="003921CF">
                  <w:rPr>
                    <w:rFonts w:ascii="Palatino Linotype" w:eastAsia="Palatino Linotype" w:hAnsi="Palatino Linotype" w:cs="Palatino Linotype"/>
                    <w:bCs/>
                    <w:sz w:val="22"/>
                    <w:szCs w:val="22"/>
                  </w:rPr>
                  <w:t>01046/INFOEM/IP/RR/2024</w:t>
                </w:r>
              </w:p>
            </w:tc>
          </w:tr>
          <w:tr w:rsidR="00083D6C" w14:paraId="6EB1A505" w14:textId="77777777">
            <w:trPr>
              <w:trHeight w:val="153"/>
            </w:trPr>
            <w:tc>
              <w:tcPr>
                <w:tcW w:w="2693" w:type="dxa"/>
              </w:tcPr>
              <w:p w14:paraId="28035F3B" w14:textId="77777777" w:rsidR="00083D6C" w:rsidRDefault="00EC07D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0" w:type="dxa"/>
              </w:tcPr>
              <w:p w14:paraId="2469175A" w14:textId="77777777" w:rsidR="00083D6C" w:rsidRDefault="00EC07DE">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083D6C" w14:paraId="66CE49D0" w14:textId="77777777">
            <w:trPr>
              <w:trHeight w:val="147"/>
            </w:trPr>
            <w:tc>
              <w:tcPr>
                <w:tcW w:w="2693" w:type="dxa"/>
              </w:tcPr>
              <w:p w14:paraId="30149C0A" w14:textId="77777777" w:rsidR="00083D6C" w:rsidRDefault="00EC07D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80" w:type="dxa"/>
              </w:tcPr>
              <w:p w14:paraId="21B302C7" w14:textId="77777777" w:rsidR="00083D6C" w:rsidRDefault="00EC07DE">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6B7E4948" w14:textId="77777777" w:rsidR="00083D6C" w:rsidRDefault="00083D6C">
                <w:pPr>
                  <w:tabs>
                    <w:tab w:val="right" w:pos="8838"/>
                  </w:tabs>
                  <w:ind w:left="-108"/>
                  <w:jc w:val="both"/>
                  <w:rPr>
                    <w:rFonts w:ascii="Palatino Linotype" w:eastAsia="Palatino Linotype" w:hAnsi="Palatino Linotype" w:cs="Palatino Linotype"/>
                    <w:b/>
                    <w:sz w:val="22"/>
                    <w:szCs w:val="22"/>
                  </w:rPr>
                </w:pPr>
              </w:p>
            </w:tc>
          </w:tr>
        </w:tbl>
        <w:p w14:paraId="12F297BE" w14:textId="77777777" w:rsidR="00083D6C" w:rsidRDefault="00083D6C">
          <w:pPr>
            <w:tabs>
              <w:tab w:val="right" w:pos="8838"/>
            </w:tabs>
            <w:ind w:left="-28"/>
            <w:jc w:val="both"/>
            <w:rPr>
              <w:rFonts w:ascii="Arial" w:eastAsia="Arial" w:hAnsi="Arial" w:cs="Arial"/>
              <w:b/>
              <w:sz w:val="22"/>
              <w:szCs w:val="22"/>
            </w:rPr>
          </w:pPr>
        </w:p>
      </w:tc>
    </w:tr>
  </w:tbl>
  <w:p w14:paraId="393FE349" w14:textId="77777777" w:rsidR="00083D6C" w:rsidRDefault="005E2810">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w14:anchorId="3E5D1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85pt;margin-top:-125.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2C03" w14:textId="77777777" w:rsidR="00083D6C" w:rsidRDefault="005E2810">
    <w:r>
      <w:rPr>
        <w:rFonts w:ascii="Palatino Linotype" w:eastAsia="Palatino Linotype" w:hAnsi="Palatino Linotype" w:cs="Palatino Linotype"/>
        <w:b/>
        <w:sz w:val="22"/>
        <w:szCs w:val="22"/>
      </w:rPr>
      <w:pict w14:anchorId="14C6A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083D6C" w14:paraId="075295D6" w14:textId="77777777">
      <w:trPr>
        <w:trHeight w:val="466"/>
      </w:trPr>
      <w:tc>
        <w:tcPr>
          <w:tcW w:w="2972" w:type="dxa"/>
          <w:vAlign w:val="bottom"/>
        </w:tcPr>
        <w:p w14:paraId="0C9B4DF4" w14:textId="77777777" w:rsidR="00083D6C" w:rsidRDefault="00083D6C">
          <w:pPr>
            <w:tabs>
              <w:tab w:val="right" w:pos="8838"/>
            </w:tabs>
            <w:ind w:right="-105"/>
            <w:rPr>
              <w:rFonts w:ascii="Palatino Linotype" w:eastAsia="Palatino Linotype" w:hAnsi="Palatino Linotype" w:cs="Palatino Linotype"/>
              <w:b/>
              <w:sz w:val="22"/>
              <w:szCs w:val="22"/>
            </w:rPr>
          </w:pPr>
        </w:p>
      </w:tc>
      <w:tc>
        <w:tcPr>
          <w:tcW w:w="2693" w:type="dxa"/>
          <w:vAlign w:val="bottom"/>
        </w:tcPr>
        <w:p w14:paraId="3D0A3B78" w14:textId="77777777" w:rsidR="00083D6C" w:rsidRDefault="00EC07DE">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14:paraId="4C983C6A" w14:textId="77777777" w:rsidR="00083D6C" w:rsidRPr="003921CF" w:rsidRDefault="00EC07DE">
          <w:pPr>
            <w:tabs>
              <w:tab w:val="left" w:pos="3435"/>
              <w:tab w:val="right" w:pos="8838"/>
            </w:tabs>
            <w:ind w:left="-28" w:right="39"/>
            <w:jc w:val="both"/>
            <w:rPr>
              <w:rFonts w:ascii="Palatino Linotype" w:eastAsia="Palatino Linotype" w:hAnsi="Palatino Linotype" w:cs="Palatino Linotype"/>
              <w:bCs/>
              <w:sz w:val="22"/>
              <w:szCs w:val="22"/>
            </w:rPr>
          </w:pPr>
          <w:r w:rsidRPr="003921CF">
            <w:rPr>
              <w:rFonts w:ascii="Palatino Linotype" w:eastAsia="Palatino Linotype" w:hAnsi="Palatino Linotype" w:cs="Palatino Linotype"/>
              <w:bCs/>
              <w:sz w:val="22"/>
              <w:szCs w:val="22"/>
            </w:rPr>
            <w:t>01046/INFOEM/IP/RR/2024</w:t>
          </w:r>
        </w:p>
      </w:tc>
    </w:tr>
    <w:tr w:rsidR="00083D6C" w14:paraId="0848DCC8" w14:textId="77777777">
      <w:trPr>
        <w:trHeight w:val="119"/>
      </w:trPr>
      <w:tc>
        <w:tcPr>
          <w:tcW w:w="2972" w:type="dxa"/>
        </w:tcPr>
        <w:p w14:paraId="064AF8BB" w14:textId="77777777" w:rsidR="00083D6C" w:rsidRDefault="00083D6C">
          <w:pPr>
            <w:tabs>
              <w:tab w:val="right" w:pos="8838"/>
            </w:tabs>
            <w:ind w:right="-105"/>
            <w:rPr>
              <w:rFonts w:ascii="Palatino Linotype" w:eastAsia="Palatino Linotype" w:hAnsi="Palatino Linotype" w:cs="Palatino Linotype"/>
              <w:b/>
              <w:sz w:val="22"/>
              <w:szCs w:val="22"/>
            </w:rPr>
          </w:pPr>
        </w:p>
      </w:tc>
      <w:tc>
        <w:tcPr>
          <w:tcW w:w="2693" w:type="dxa"/>
        </w:tcPr>
        <w:p w14:paraId="0534C413" w14:textId="77777777" w:rsidR="00083D6C" w:rsidRDefault="00EC07DE">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14:paraId="5452D1D6" w14:textId="77777777" w:rsidR="00083D6C" w:rsidRDefault="00F05210">
          <w:pPr>
            <w:tabs>
              <w:tab w:val="right" w:pos="8838"/>
            </w:tabs>
            <w:ind w:right="171"/>
            <w:jc w:val="both"/>
            <w:rPr>
              <w:rFonts w:ascii="Palatino Linotype" w:eastAsia="Palatino Linotype" w:hAnsi="Palatino Linotype" w:cs="Palatino Linotype"/>
              <w:sz w:val="22"/>
              <w:szCs w:val="22"/>
            </w:rPr>
          </w:pPr>
          <w:r w:rsidRPr="00F05210">
            <w:rPr>
              <w:rFonts w:ascii="Palatino Linotype" w:eastAsia="Palatino Linotype" w:hAnsi="Palatino Linotype" w:cs="Palatino Linotype"/>
              <w:b/>
              <w:color w:val="000000"/>
              <w:sz w:val="22"/>
              <w:szCs w:val="22"/>
              <w:highlight w:val="black"/>
            </w:rPr>
            <w:t>XXXXXXXXXXXXXXX</w:t>
          </w:r>
        </w:p>
      </w:tc>
    </w:tr>
    <w:tr w:rsidR="00083D6C" w14:paraId="7B430FE0" w14:textId="77777777">
      <w:trPr>
        <w:trHeight w:val="234"/>
      </w:trPr>
      <w:tc>
        <w:tcPr>
          <w:tcW w:w="2972" w:type="dxa"/>
        </w:tcPr>
        <w:p w14:paraId="6E4A968E" w14:textId="77777777" w:rsidR="00083D6C" w:rsidRDefault="00083D6C">
          <w:pPr>
            <w:tabs>
              <w:tab w:val="right" w:pos="8838"/>
            </w:tabs>
            <w:ind w:right="26"/>
            <w:rPr>
              <w:rFonts w:ascii="Palatino Linotype" w:eastAsia="Palatino Linotype" w:hAnsi="Palatino Linotype" w:cs="Palatino Linotype"/>
              <w:b/>
              <w:sz w:val="22"/>
              <w:szCs w:val="22"/>
            </w:rPr>
          </w:pPr>
        </w:p>
      </w:tc>
      <w:tc>
        <w:tcPr>
          <w:tcW w:w="2693" w:type="dxa"/>
        </w:tcPr>
        <w:p w14:paraId="3E7EC4BD" w14:textId="77777777" w:rsidR="00083D6C" w:rsidRDefault="00EC07DE">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14:paraId="204E69F1" w14:textId="77777777" w:rsidR="00083D6C" w:rsidRDefault="00EC07DE">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083D6C" w14:paraId="7C64A39A" w14:textId="77777777">
      <w:trPr>
        <w:trHeight w:val="234"/>
      </w:trPr>
      <w:tc>
        <w:tcPr>
          <w:tcW w:w="2972" w:type="dxa"/>
        </w:tcPr>
        <w:p w14:paraId="56C4EF99" w14:textId="77777777" w:rsidR="00083D6C" w:rsidRDefault="00083D6C">
          <w:pPr>
            <w:tabs>
              <w:tab w:val="right" w:pos="8838"/>
            </w:tabs>
            <w:ind w:right="-105"/>
            <w:rPr>
              <w:rFonts w:ascii="Palatino Linotype" w:eastAsia="Palatino Linotype" w:hAnsi="Palatino Linotype" w:cs="Palatino Linotype"/>
              <w:b/>
              <w:sz w:val="22"/>
              <w:szCs w:val="22"/>
            </w:rPr>
          </w:pPr>
        </w:p>
      </w:tc>
      <w:tc>
        <w:tcPr>
          <w:tcW w:w="2693" w:type="dxa"/>
        </w:tcPr>
        <w:p w14:paraId="5C2897B9" w14:textId="77777777" w:rsidR="00083D6C" w:rsidRDefault="00EC07DE">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14:paraId="1C517790" w14:textId="77777777" w:rsidR="00083D6C" w:rsidRDefault="00EC07DE">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BE55869" w14:textId="77777777" w:rsidR="00083D6C" w:rsidRDefault="00083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81"/>
    <w:multiLevelType w:val="multilevel"/>
    <w:tmpl w:val="98AC9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630CE"/>
    <w:multiLevelType w:val="multilevel"/>
    <w:tmpl w:val="FAA6691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605CE"/>
    <w:multiLevelType w:val="multilevel"/>
    <w:tmpl w:val="B2C82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B4CBC"/>
    <w:multiLevelType w:val="multilevel"/>
    <w:tmpl w:val="0B3EC6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4F1D19"/>
    <w:multiLevelType w:val="multilevel"/>
    <w:tmpl w:val="F2B6F0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42F62"/>
    <w:multiLevelType w:val="multilevel"/>
    <w:tmpl w:val="1E3C5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284659"/>
    <w:multiLevelType w:val="multilevel"/>
    <w:tmpl w:val="2AD0ED6C"/>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631463"/>
    <w:multiLevelType w:val="multilevel"/>
    <w:tmpl w:val="AD729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804B58"/>
    <w:multiLevelType w:val="multilevel"/>
    <w:tmpl w:val="77DA6C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217AE3"/>
    <w:multiLevelType w:val="multilevel"/>
    <w:tmpl w:val="634AA3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4A6309"/>
    <w:multiLevelType w:val="multilevel"/>
    <w:tmpl w:val="5D0C29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0A68B4"/>
    <w:multiLevelType w:val="multilevel"/>
    <w:tmpl w:val="044AC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786505"/>
    <w:multiLevelType w:val="multilevel"/>
    <w:tmpl w:val="7C380278"/>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5A462C"/>
    <w:multiLevelType w:val="multilevel"/>
    <w:tmpl w:val="B3D46D68"/>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2570A5"/>
    <w:multiLevelType w:val="multilevel"/>
    <w:tmpl w:val="5F92EF9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6A536A"/>
    <w:multiLevelType w:val="multilevel"/>
    <w:tmpl w:val="957C2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8B2B85"/>
    <w:multiLevelType w:val="multilevel"/>
    <w:tmpl w:val="85A0C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DD71B0"/>
    <w:multiLevelType w:val="multilevel"/>
    <w:tmpl w:val="80302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2"/>
  </w:num>
  <w:num w:numId="3">
    <w:abstractNumId w:val="5"/>
  </w:num>
  <w:num w:numId="4">
    <w:abstractNumId w:val="11"/>
  </w:num>
  <w:num w:numId="5">
    <w:abstractNumId w:val="15"/>
  </w:num>
  <w:num w:numId="6">
    <w:abstractNumId w:val="2"/>
  </w:num>
  <w:num w:numId="7">
    <w:abstractNumId w:val="7"/>
  </w:num>
  <w:num w:numId="8">
    <w:abstractNumId w:val="10"/>
  </w:num>
  <w:num w:numId="9">
    <w:abstractNumId w:val="0"/>
  </w:num>
  <w:num w:numId="10">
    <w:abstractNumId w:val="14"/>
  </w:num>
  <w:num w:numId="11">
    <w:abstractNumId w:val="8"/>
  </w:num>
  <w:num w:numId="12">
    <w:abstractNumId w:val="1"/>
  </w:num>
  <w:num w:numId="13">
    <w:abstractNumId w:val="17"/>
  </w:num>
  <w:num w:numId="14">
    <w:abstractNumId w:val="6"/>
  </w:num>
  <w:num w:numId="15">
    <w:abstractNumId w:val="16"/>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6C"/>
    <w:rsid w:val="00083D6C"/>
    <w:rsid w:val="003921CF"/>
    <w:rsid w:val="004B31FF"/>
    <w:rsid w:val="005E2810"/>
    <w:rsid w:val="00EC07DE"/>
    <w:rsid w:val="00F05210"/>
    <w:rsid w:val="00F14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59CA29"/>
  <w15:docId w15:val="{194EECE4-FD95-4BF6-AE7C-D477ECF3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01"/>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paragraph" w:styleId="NormalWeb">
    <w:name w:val="Normal (Web)"/>
    <w:basedOn w:val="Normal"/>
    <w:uiPriority w:val="99"/>
    <w:semiHidden/>
    <w:unhideWhenUsed/>
    <w:rsid w:val="00B65C0F"/>
    <w:pPr>
      <w:spacing w:before="100" w:beforeAutospacing="1" w:after="100" w:afterAutospacing="1"/>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retariadoejecutivo.gob.mx/work/models/SecretariadoEjecutivo/Resource/328/1/images/instructivo_final_edo_fuerza(1).pdf)"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kHy4PFKyOOBoaLr/GlWl2pG6A==">CgMxLjAyCGguZ2pkZ3hzMgloLjMwajB6bGwyCWguMWZvYjl0ZTgAciExb1ppUlJMS0E1M01sbDhpb3RmVWRiUVZjakt2UkV4NjQ=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13910</Words>
  <Characters>76508</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roxheart97@gmail.com</cp:lastModifiedBy>
  <cp:revision>5</cp:revision>
  <dcterms:created xsi:type="dcterms:W3CDTF">2024-10-18T00:16:00Z</dcterms:created>
  <dcterms:modified xsi:type="dcterms:W3CDTF">2024-10-25T01:15:00Z</dcterms:modified>
</cp:coreProperties>
</file>