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21" w:rsidRDefault="00EE6F97" w:rsidP="00C72ACF">
      <w:pPr>
        <w:tabs>
          <w:tab w:val="left" w:pos="3465"/>
        </w:tabs>
        <w:spacing w:line="360" w:lineRule="auto"/>
        <w:jc w:val="both"/>
        <w:rPr>
          <w:rFonts w:ascii="Palatino Linotype" w:eastAsia="Palatino Linotype" w:hAnsi="Palatino Linotype" w:cs="Palatino Linotype"/>
          <w:color w:val="000000"/>
        </w:rPr>
      </w:pPr>
      <w:bookmarkStart w:id="0" w:name="_GoBack"/>
      <w:bookmarkEnd w:id="0"/>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Pr>
          <w:rFonts w:ascii="Palatino Linotype" w:eastAsia="Palatino Linotype" w:hAnsi="Palatino Linotype" w:cs="Palatino Linotype"/>
        </w:rPr>
        <w:t>fecha veintiséis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26</w:t>
      </w:r>
      <w:r>
        <w:rPr>
          <w:rFonts w:ascii="Palatino Linotype" w:eastAsia="Palatino Linotype" w:hAnsi="Palatino Linotype" w:cs="Palatino Linotype"/>
          <w:color w:val="000000"/>
        </w:rPr>
        <w:t>) de junio de dos mil veinticuatro.</w:t>
      </w:r>
    </w:p>
    <w:p w:rsidR="00001A21" w:rsidRDefault="00001A21" w:rsidP="00C72ACF">
      <w:pPr>
        <w:tabs>
          <w:tab w:val="left" w:pos="3465"/>
        </w:tabs>
        <w:spacing w:line="360" w:lineRule="auto"/>
        <w:jc w:val="both"/>
        <w:rPr>
          <w:rFonts w:ascii="Palatino Linotype" w:eastAsia="Palatino Linotype" w:hAnsi="Palatino Linotype" w:cs="Palatino Linotype"/>
          <w:color w:val="000000"/>
        </w:rPr>
      </w:pPr>
    </w:p>
    <w:p w:rsidR="00001A21" w:rsidRDefault="00EE6F97" w:rsidP="00C72ACF">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rPr>
        <w:t>02703/INFOEM/IP/RR/2024</w:t>
      </w:r>
      <w:r>
        <w:rPr>
          <w:rFonts w:ascii="Palatino Linotype" w:eastAsia="Palatino Linotype" w:hAnsi="Palatino Linotype" w:cs="Palatino Linotype"/>
          <w:color w:val="000000"/>
        </w:rPr>
        <w:t xml:space="preserve">, interpuesto por </w:t>
      </w:r>
      <w:r>
        <w:rPr>
          <w:rFonts w:ascii="Palatino Linotype" w:eastAsia="Palatino Linotype" w:hAnsi="Palatino Linotype" w:cs="Palatino Linotype"/>
          <w:b/>
          <w:color w:val="000000"/>
        </w:rPr>
        <w:t xml:space="preserve">un usuario que no </w:t>
      </w:r>
      <w:r>
        <w:rPr>
          <w:rFonts w:ascii="Palatino Linotype" w:eastAsia="Palatino Linotype" w:hAnsi="Palatino Linotype" w:cs="Palatino Linotype"/>
          <w:b/>
        </w:rPr>
        <w:t>registró</w:t>
      </w:r>
      <w:r>
        <w:rPr>
          <w:rFonts w:ascii="Palatino Linotype" w:eastAsia="Palatino Linotype" w:hAnsi="Palatino Linotype" w:cs="Palatino Linotype"/>
          <w:b/>
          <w:color w:val="000000"/>
        </w:rPr>
        <w:t xml:space="preserve"> nombre alguno para ser identificado</w:t>
      </w:r>
      <w:r>
        <w:rPr>
          <w:rFonts w:ascii="Palatino Linotype" w:eastAsia="Palatino Linotype" w:hAnsi="Palatino Linotype" w:cs="Palatino Linotype"/>
          <w:color w:val="000000"/>
        </w:rPr>
        <w:t xml:space="preserve">, en adelante se denominará </w:t>
      </w:r>
      <w:r>
        <w:rPr>
          <w:rFonts w:ascii="Palatino Linotype" w:eastAsia="Palatino Linotype" w:hAnsi="Palatino Linotype" w:cs="Palatino Linotype"/>
        </w:rPr>
        <w:t>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respuesta de</w:t>
      </w:r>
      <w:r>
        <w:rPr>
          <w:rFonts w:ascii="Palatino Linotype" w:eastAsia="Palatino Linotype" w:hAnsi="Palatino Linotype" w:cs="Palatino Linotype"/>
        </w:rPr>
        <w:t>l</w:t>
      </w:r>
      <w:r>
        <w:rPr>
          <w:rFonts w:ascii="Palatino Linotype" w:eastAsia="Palatino Linotype" w:hAnsi="Palatino Linotype" w:cs="Palatino Linotype"/>
          <w:b/>
        </w:rPr>
        <w:t xml:space="preserve"> Instituto Hacendario del Estado de México</w:t>
      </w:r>
      <w:r>
        <w:rPr>
          <w:rFonts w:ascii="Palatino Linotype" w:eastAsia="Palatino Linotype" w:hAnsi="Palatino Linotype" w:cs="Palatino Linotype"/>
          <w:color w:val="000000"/>
        </w:rPr>
        <w:t>, en lo sucesivo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se procede a dictar la presente resolución, con base en los siguientes:</w:t>
      </w:r>
    </w:p>
    <w:p w:rsidR="00001A21" w:rsidRDefault="00001A21">
      <w:pPr>
        <w:spacing w:line="360" w:lineRule="auto"/>
        <w:jc w:val="both"/>
        <w:rPr>
          <w:rFonts w:ascii="Palatino Linotype" w:eastAsia="Palatino Linotype" w:hAnsi="Palatino Linotype" w:cs="Palatino Linotype"/>
        </w:rPr>
      </w:pPr>
    </w:p>
    <w:p w:rsidR="00001A21" w:rsidRDefault="00EE6F97">
      <w:pPr>
        <w:pStyle w:val="Ttulo1"/>
        <w:spacing w:before="0" w:line="360" w:lineRule="auto"/>
        <w:jc w:val="center"/>
        <w:rPr>
          <w:b/>
          <w:color w:val="000000"/>
        </w:rPr>
      </w:pPr>
      <w:bookmarkStart w:id="1" w:name="_heading=h.gjdgxs" w:colFirst="0" w:colLast="0"/>
      <w:bookmarkEnd w:id="1"/>
      <w:r>
        <w:rPr>
          <w:b/>
          <w:color w:val="000000"/>
        </w:rPr>
        <w:t>A N T E C E D E N T E S</w:t>
      </w:r>
    </w:p>
    <w:p w:rsidR="00001A21" w:rsidRDefault="00001A21"/>
    <w:p w:rsidR="00001A21" w:rsidRDefault="00EE6F97">
      <w:pPr>
        <w:numPr>
          <w:ilvl w:val="0"/>
          <w:numId w:val="3"/>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El veintinueve (29) de abril de dos mil veinticuatro,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través del Sistema de Acceso a la Información Mexiquense (SAIMEX), la solicitud de información pública registrada con el número</w:t>
      </w:r>
      <w:r>
        <w:rPr>
          <w:rFonts w:ascii="Palatino Linotype" w:eastAsia="Palatino Linotype" w:hAnsi="Palatino Linotype" w:cs="Palatino Linotype"/>
          <w:b/>
          <w:color w:val="000000"/>
        </w:rPr>
        <w:t xml:space="preserve"> 00022/IHAEM/IP/2024,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requirió lo siguiente:</w:t>
      </w:r>
    </w:p>
    <w:p w:rsidR="00001A21" w:rsidRDefault="00001A2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p>
    <w:p w:rsidR="00001A21" w:rsidRDefault="00EE6F97">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roofErr w:type="spellStart"/>
      <w:r>
        <w:rPr>
          <w:rFonts w:ascii="Palatino Linotype" w:eastAsia="Palatino Linotype" w:hAnsi="Palatino Linotype" w:cs="Palatino Linotype"/>
          <w:i/>
          <w:color w:val="000000"/>
        </w:rPr>
        <w:t>eN</w:t>
      </w:r>
      <w:proofErr w:type="spellEnd"/>
      <w:r>
        <w:rPr>
          <w:rFonts w:ascii="Palatino Linotype" w:eastAsia="Palatino Linotype" w:hAnsi="Palatino Linotype" w:cs="Palatino Linotype"/>
          <w:i/>
          <w:color w:val="000000"/>
        </w:rPr>
        <w:t xml:space="preserve"> SU FOLIO DE </w:t>
      </w:r>
      <w:proofErr w:type="spellStart"/>
      <w:r>
        <w:rPr>
          <w:rFonts w:ascii="Palatino Linotype" w:eastAsia="Palatino Linotype" w:hAnsi="Palatino Linotype" w:cs="Palatino Linotype"/>
          <w:i/>
          <w:color w:val="000000"/>
        </w:rPr>
        <w:t>reSPUESTa</w:t>
      </w:r>
      <w:proofErr w:type="spellEnd"/>
      <w:r>
        <w:rPr>
          <w:rFonts w:ascii="Palatino Linotype" w:eastAsia="Palatino Linotype" w:hAnsi="Palatino Linotype" w:cs="Palatino Linotype"/>
          <w:i/>
          <w:color w:val="000000"/>
        </w:rPr>
        <w:t xml:space="preserve"> 018/</w:t>
      </w:r>
      <w:proofErr w:type="spellStart"/>
      <w:r>
        <w:rPr>
          <w:rFonts w:ascii="Palatino Linotype" w:eastAsia="Palatino Linotype" w:hAnsi="Palatino Linotype" w:cs="Palatino Linotype"/>
          <w:i/>
          <w:color w:val="000000"/>
        </w:rPr>
        <w:t>iahem</w:t>
      </w:r>
      <w:proofErr w:type="spellEnd"/>
      <w:r>
        <w:rPr>
          <w:rFonts w:ascii="Palatino Linotype" w:eastAsia="Palatino Linotype" w:hAnsi="Palatino Linotype" w:cs="Palatino Linotype"/>
          <w:i/>
          <w:color w:val="000000"/>
        </w:rPr>
        <w:t>/</w:t>
      </w:r>
      <w:proofErr w:type="spellStart"/>
      <w:r>
        <w:rPr>
          <w:rFonts w:ascii="Palatino Linotype" w:eastAsia="Palatino Linotype" w:hAnsi="Palatino Linotype" w:cs="Palatino Linotype"/>
          <w:i/>
          <w:color w:val="000000"/>
        </w:rPr>
        <w:t>ip</w:t>
      </w:r>
      <w:proofErr w:type="spellEnd"/>
      <w:r>
        <w:rPr>
          <w:rFonts w:ascii="Palatino Linotype" w:eastAsia="Palatino Linotype" w:hAnsi="Palatino Linotype" w:cs="Palatino Linotype"/>
          <w:i/>
          <w:color w:val="000000"/>
        </w:rPr>
        <w:t xml:space="preserve">/2024, dicen que debo conducirme con respeto, pero ustedes no respetan mis impuestos, ya </w:t>
      </w:r>
      <w:proofErr w:type="spellStart"/>
      <w:r>
        <w:rPr>
          <w:rFonts w:ascii="Palatino Linotype" w:eastAsia="Palatino Linotype" w:hAnsi="Palatino Linotype" w:cs="Palatino Linotype"/>
          <w:i/>
          <w:color w:val="000000"/>
        </w:rPr>
        <w:t>uqe</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segun</w:t>
      </w:r>
      <w:proofErr w:type="spellEnd"/>
      <w:r>
        <w:rPr>
          <w:rFonts w:ascii="Palatino Linotype" w:eastAsia="Palatino Linotype" w:hAnsi="Palatino Linotype" w:cs="Palatino Linotype"/>
          <w:i/>
          <w:color w:val="000000"/>
        </w:rPr>
        <w:t xml:space="preserve"> ustedes dicen en una respuesta que la </w:t>
      </w:r>
      <w:proofErr w:type="spellStart"/>
      <w:r>
        <w:rPr>
          <w:rFonts w:ascii="Palatino Linotype" w:eastAsia="Palatino Linotype" w:hAnsi="Palatino Linotype" w:cs="Palatino Linotype"/>
          <w:i/>
          <w:color w:val="000000"/>
        </w:rPr>
        <w:t>ocntrataron</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xq</w:t>
      </w:r>
      <w:proofErr w:type="spellEnd"/>
      <w:r>
        <w:rPr>
          <w:rFonts w:ascii="Palatino Linotype" w:eastAsia="Palatino Linotype" w:hAnsi="Palatino Linotype" w:cs="Palatino Linotype"/>
          <w:i/>
          <w:color w:val="000000"/>
        </w:rPr>
        <w:t xml:space="preserve"> savia hacer cosas de archivo y en </w:t>
      </w:r>
      <w:proofErr w:type="spellStart"/>
      <w:r>
        <w:rPr>
          <w:rFonts w:ascii="Palatino Linotype" w:eastAsia="Palatino Linotype" w:hAnsi="Palatino Linotype" w:cs="Palatino Linotype"/>
          <w:i/>
          <w:color w:val="000000"/>
        </w:rPr>
        <w:t>otttra</w:t>
      </w:r>
      <w:proofErr w:type="spellEnd"/>
      <w:r>
        <w:rPr>
          <w:rFonts w:ascii="Palatino Linotype" w:eastAsia="Palatino Linotype" w:hAnsi="Palatino Linotype" w:cs="Palatino Linotype"/>
          <w:i/>
          <w:color w:val="000000"/>
        </w:rPr>
        <w:t xml:space="preserve"> dicen que cuando llego ya </w:t>
      </w:r>
      <w:proofErr w:type="spellStart"/>
      <w:r>
        <w:rPr>
          <w:rFonts w:ascii="Palatino Linotype" w:eastAsia="Palatino Linotype" w:hAnsi="Palatino Linotype" w:cs="Palatino Linotype"/>
          <w:i/>
          <w:color w:val="000000"/>
        </w:rPr>
        <w:t>tenian</w:t>
      </w:r>
      <w:proofErr w:type="spellEnd"/>
      <w:r>
        <w:rPr>
          <w:rFonts w:ascii="Palatino Linotype" w:eastAsia="Palatino Linotype" w:hAnsi="Palatino Linotype" w:cs="Palatino Linotype"/>
          <w:i/>
          <w:color w:val="000000"/>
        </w:rPr>
        <w:t xml:space="preserve"> sus instrumentos hasta publicados, entonces para que la </w:t>
      </w:r>
      <w:proofErr w:type="spellStart"/>
      <w:r>
        <w:rPr>
          <w:rFonts w:ascii="Palatino Linotype" w:eastAsia="Palatino Linotype" w:hAnsi="Palatino Linotype" w:cs="Palatino Linotype"/>
          <w:i/>
          <w:color w:val="000000"/>
        </w:rPr>
        <w:t>contraron</w:t>
      </w:r>
      <w:proofErr w:type="spellEnd"/>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para</w:t>
      </w:r>
      <w:proofErr w:type="gramEnd"/>
      <w:r>
        <w:rPr>
          <w:rFonts w:ascii="Palatino Linotype" w:eastAsia="Palatino Linotype" w:hAnsi="Palatino Linotype" w:cs="Palatino Linotype"/>
          <w:i/>
          <w:color w:val="000000"/>
        </w:rPr>
        <w:t xml:space="preserve"> gastarse el dinero de mis impuestos? </w:t>
      </w:r>
      <w:proofErr w:type="spellStart"/>
      <w:r>
        <w:rPr>
          <w:rFonts w:ascii="Palatino Linotype" w:eastAsia="Palatino Linotype" w:hAnsi="Palatino Linotype" w:cs="Palatino Linotype"/>
          <w:i/>
          <w:color w:val="000000"/>
        </w:rPr>
        <w:t>xq</w:t>
      </w:r>
      <w:proofErr w:type="spellEnd"/>
      <w:r>
        <w:rPr>
          <w:rFonts w:ascii="Palatino Linotype" w:eastAsia="Palatino Linotype" w:hAnsi="Palatino Linotype" w:cs="Palatino Linotype"/>
          <w:i/>
          <w:color w:val="000000"/>
        </w:rPr>
        <w:t xml:space="preserve"> no respetan el trabajo de los </w:t>
      </w:r>
      <w:proofErr w:type="spellStart"/>
      <w:r>
        <w:rPr>
          <w:rFonts w:ascii="Palatino Linotype" w:eastAsia="Palatino Linotype" w:hAnsi="Palatino Linotype" w:cs="Palatino Linotype"/>
          <w:i/>
          <w:color w:val="000000"/>
        </w:rPr>
        <w:t>demas</w:t>
      </w:r>
      <w:proofErr w:type="spellEnd"/>
      <w:r>
        <w:rPr>
          <w:rFonts w:ascii="Palatino Linotype" w:eastAsia="Palatino Linotype" w:hAnsi="Palatino Linotype" w:cs="Palatino Linotype"/>
          <w:i/>
          <w:color w:val="000000"/>
        </w:rPr>
        <w:t xml:space="preserve"> y les dan sus </w:t>
      </w:r>
      <w:proofErr w:type="spellStart"/>
      <w:r>
        <w:rPr>
          <w:rFonts w:ascii="Palatino Linotype" w:eastAsia="Palatino Linotype" w:hAnsi="Palatino Linotype" w:cs="Palatino Linotype"/>
          <w:i/>
          <w:color w:val="000000"/>
        </w:rPr>
        <w:t>creditos</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xq</w:t>
      </w:r>
      <w:proofErr w:type="spellEnd"/>
      <w:r>
        <w:rPr>
          <w:rFonts w:ascii="Palatino Linotype" w:eastAsia="Palatino Linotype" w:hAnsi="Palatino Linotype" w:cs="Palatino Linotype"/>
          <w:i/>
          <w:color w:val="000000"/>
        </w:rPr>
        <w:t xml:space="preserve"> no dicen la verdad? </w:t>
      </w:r>
      <w:proofErr w:type="spellStart"/>
      <w:r>
        <w:rPr>
          <w:rFonts w:ascii="Palatino Linotype" w:eastAsia="Palatino Linotype" w:hAnsi="Palatino Linotype" w:cs="Palatino Linotype"/>
          <w:i/>
          <w:color w:val="000000"/>
        </w:rPr>
        <w:t>entoces</w:t>
      </w:r>
      <w:proofErr w:type="spellEnd"/>
      <w:r>
        <w:rPr>
          <w:rFonts w:ascii="Palatino Linotype" w:eastAsia="Palatino Linotype" w:hAnsi="Palatino Linotype" w:cs="Palatino Linotype"/>
          <w:i/>
          <w:color w:val="000000"/>
        </w:rPr>
        <w:t xml:space="preserve"> que hiso todo ese tiempo aparte de cobrar? digan la verdad!!!!! </w:t>
      </w:r>
      <w:proofErr w:type="gramStart"/>
      <w:r>
        <w:rPr>
          <w:rFonts w:ascii="Palatino Linotype" w:eastAsia="Palatino Linotype" w:hAnsi="Palatino Linotype" w:cs="Palatino Linotype"/>
          <w:i/>
          <w:color w:val="000000"/>
        </w:rPr>
        <w:t>ya</w:t>
      </w:r>
      <w:proofErr w:type="gramEnd"/>
      <w:r>
        <w:rPr>
          <w:rFonts w:ascii="Palatino Linotype" w:eastAsia="Palatino Linotype" w:hAnsi="Palatino Linotype" w:cs="Palatino Linotype"/>
          <w:i/>
          <w:color w:val="000000"/>
        </w:rPr>
        <w:t xml:space="preserve"> no </w:t>
      </w:r>
      <w:proofErr w:type="spellStart"/>
      <w:r>
        <w:rPr>
          <w:rFonts w:ascii="Palatino Linotype" w:eastAsia="Palatino Linotype" w:hAnsi="Palatino Linotype" w:cs="Palatino Linotype"/>
          <w:i/>
          <w:color w:val="000000"/>
        </w:rPr>
        <w:t>lla</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encuvran</w:t>
      </w:r>
      <w:proofErr w:type="spellEnd"/>
      <w:r>
        <w:rPr>
          <w:rFonts w:ascii="Palatino Linotype" w:eastAsia="Palatino Linotype" w:hAnsi="Palatino Linotype" w:cs="Palatino Linotype"/>
          <w:i/>
          <w:color w:val="000000"/>
        </w:rPr>
        <w:t xml:space="preserve">, solo estafo a los que pagamos nuestros impuestos y peor </w:t>
      </w:r>
      <w:proofErr w:type="spellStart"/>
      <w:r>
        <w:rPr>
          <w:rFonts w:ascii="Palatino Linotype" w:eastAsia="Palatino Linotype" w:hAnsi="Palatino Linotype" w:cs="Palatino Linotype"/>
          <w:i/>
          <w:color w:val="000000"/>
        </w:rPr>
        <w:t>todavia</w:t>
      </w:r>
      <w:proofErr w:type="spellEnd"/>
      <w:r>
        <w:rPr>
          <w:rFonts w:ascii="Palatino Linotype" w:eastAsia="Palatino Linotype" w:hAnsi="Palatino Linotype" w:cs="Palatino Linotype"/>
          <w:i/>
          <w:color w:val="000000"/>
        </w:rPr>
        <w:t xml:space="preserve"> les </w:t>
      </w:r>
      <w:proofErr w:type="spellStart"/>
      <w:r>
        <w:rPr>
          <w:rFonts w:ascii="Palatino Linotype" w:eastAsia="Palatino Linotype" w:hAnsi="Palatino Linotype" w:cs="Palatino Linotype"/>
          <w:i/>
          <w:color w:val="000000"/>
        </w:rPr>
        <w:t>reuncio</w:t>
      </w:r>
      <w:proofErr w:type="spellEnd"/>
      <w:r>
        <w:rPr>
          <w:rFonts w:ascii="Palatino Linotype" w:eastAsia="Palatino Linotype" w:hAnsi="Palatino Linotype" w:cs="Palatino Linotype"/>
          <w:i/>
          <w:color w:val="000000"/>
        </w:rPr>
        <w:t xml:space="preserve"> y se fue a vender a otro lugar, como siempre a robar a los mexiquenses.” (Sic).</w:t>
      </w:r>
    </w:p>
    <w:p w:rsidR="00001A21" w:rsidRDefault="00001A21">
      <w:pPr>
        <w:spacing w:line="276" w:lineRule="auto"/>
        <w:ind w:right="567"/>
        <w:jc w:val="both"/>
        <w:rPr>
          <w:rFonts w:ascii="Palatino Linotype" w:eastAsia="Palatino Linotype" w:hAnsi="Palatino Linotype" w:cs="Palatino Linotype"/>
          <w:i/>
          <w:color w:val="000000"/>
        </w:rPr>
      </w:pPr>
    </w:p>
    <w:p w:rsidR="00001A21" w:rsidRDefault="00EE6F97">
      <w:pPr>
        <w:numPr>
          <w:ilvl w:val="0"/>
          <w:numId w:val="3"/>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Modalidad de </w:t>
      </w:r>
      <w:r>
        <w:rPr>
          <w:rFonts w:ascii="Palatino Linotype" w:eastAsia="Palatino Linotype" w:hAnsi="Palatino Linotype" w:cs="Palatino Linotype"/>
        </w:rPr>
        <w:t>entrega a través</w:t>
      </w:r>
      <w:r>
        <w:rPr>
          <w:rFonts w:ascii="Palatino Linotype" w:eastAsia="Palatino Linotype" w:hAnsi="Palatino Linotype" w:cs="Palatino Linotype"/>
          <w:color w:val="000000"/>
        </w:rPr>
        <w:t xml:space="preserve"> del SAIMEX.</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lastRenderedPageBreak/>
        <w:t>El dos (02) de mayo de dos mil veinticuatro, el Sujeto Obligado dio respuesta a la solicitud en los siguientes términos:</w:t>
      </w:r>
    </w:p>
    <w:tbl>
      <w:tblPr>
        <w:tblStyle w:val="a0"/>
        <w:tblW w:w="7691" w:type="dxa"/>
        <w:jc w:val="center"/>
        <w:tblInd w:w="0" w:type="dxa"/>
        <w:tblLayout w:type="fixed"/>
        <w:tblLook w:val="0400" w:firstRow="0" w:lastRow="0" w:firstColumn="0" w:lastColumn="0" w:noHBand="0" w:noVBand="1"/>
      </w:tblPr>
      <w:tblGrid>
        <w:gridCol w:w="7691"/>
      </w:tblGrid>
      <w:tr w:rsidR="00001A21">
        <w:trPr>
          <w:trHeight w:val="343"/>
          <w:jc w:val="center"/>
        </w:trPr>
        <w:tc>
          <w:tcPr>
            <w:tcW w:w="7691" w:type="dxa"/>
            <w:vAlign w:val="center"/>
          </w:tcPr>
          <w:p w:rsidR="00001A21" w:rsidRDefault="00EE6F97">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br/>
              <w:t>Metepec, México a 02 de Mayo de 2024</w:t>
            </w:r>
          </w:p>
        </w:tc>
      </w:tr>
      <w:tr w:rsidR="00001A21">
        <w:trPr>
          <w:trHeight w:val="343"/>
          <w:jc w:val="center"/>
        </w:trPr>
        <w:tc>
          <w:tcPr>
            <w:tcW w:w="7691" w:type="dxa"/>
            <w:vAlign w:val="center"/>
          </w:tcPr>
          <w:p w:rsidR="00001A21" w:rsidRDefault="00EE6F97">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001A21">
        <w:trPr>
          <w:trHeight w:val="343"/>
          <w:jc w:val="center"/>
        </w:trPr>
        <w:tc>
          <w:tcPr>
            <w:tcW w:w="7691" w:type="dxa"/>
            <w:vAlign w:val="center"/>
          </w:tcPr>
          <w:p w:rsidR="00001A21" w:rsidRDefault="00EE6F97">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00022/IHAEM/IP/2024</w:t>
            </w:r>
          </w:p>
        </w:tc>
      </w:tr>
      <w:tr w:rsidR="00001A21">
        <w:trPr>
          <w:trHeight w:val="514"/>
          <w:jc w:val="center"/>
        </w:trPr>
        <w:tc>
          <w:tcPr>
            <w:tcW w:w="7691" w:type="dxa"/>
            <w:vAlign w:val="center"/>
          </w:tcPr>
          <w:p w:rsidR="00001A21" w:rsidRDefault="00001A21">
            <w:pPr>
              <w:jc w:val="right"/>
              <w:rPr>
                <w:rFonts w:ascii="Palatino Linotype" w:eastAsia="Palatino Linotype" w:hAnsi="Palatino Linotype" w:cs="Palatino Linotype"/>
                <w:i/>
                <w:sz w:val="22"/>
                <w:szCs w:val="22"/>
              </w:rPr>
            </w:pPr>
          </w:p>
        </w:tc>
      </w:tr>
      <w:tr w:rsidR="00001A21">
        <w:trPr>
          <w:trHeight w:val="171"/>
          <w:jc w:val="center"/>
        </w:trPr>
        <w:tc>
          <w:tcPr>
            <w:tcW w:w="7691" w:type="dxa"/>
            <w:vAlign w:val="center"/>
          </w:tcPr>
          <w:p w:rsidR="00001A21" w:rsidRDefault="00001A21">
            <w:pPr>
              <w:jc w:val="center"/>
              <w:rPr>
                <w:rFonts w:ascii="Palatino Linotype" w:eastAsia="Palatino Linotype" w:hAnsi="Palatino Linotype" w:cs="Palatino Linotype"/>
                <w:i/>
                <w:sz w:val="22"/>
                <w:szCs w:val="22"/>
              </w:rPr>
            </w:pPr>
          </w:p>
        </w:tc>
      </w:tr>
      <w:tr w:rsidR="00001A21">
        <w:trPr>
          <w:trHeight w:val="429"/>
          <w:jc w:val="center"/>
        </w:trPr>
        <w:tc>
          <w:tcPr>
            <w:tcW w:w="7691" w:type="dxa"/>
            <w:vAlign w:val="center"/>
          </w:tcPr>
          <w:p w:rsidR="00001A21" w:rsidRDefault="00001A21">
            <w:pPr>
              <w:rPr>
                <w:rFonts w:ascii="Palatino Linotype" w:eastAsia="Palatino Linotype" w:hAnsi="Palatino Linotype" w:cs="Palatino Linotype"/>
                <w:i/>
                <w:sz w:val="22"/>
                <w:szCs w:val="22"/>
              </w:rPr>
            </w:pPr>
          </w:p>
        </w:tc>
      </w:tr>
      <w:tr w:rsidR="00001A21">
        <w:trPr>
          <w:trHeight w:val="171"/>
          <w:jc w:val="center"/>
        </w:trPr>
        <w:tc>
          <w:tcPr>
            <w:tcW w:w="7691" w:type="dxa"/>
            <w:vAlign w:val="center"/>
          </w:tcPr>
          <w:p w:rsidR="00001A21" w:rsidRDefault="00EE6F9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atención a su solicitud, me permito adjuntar un archivo en formato .</w:t>
            </w:r>
            <w:proofErr w:type="spellStart"/>
            <w:r>
              <w:rPr>
                <w:rFonts w:ascii="Palatino Linotype" w:eastAsia="Palatino Linotype" w:hAnsi="Palatino Linotype" w:cs="Palatino Linotype"/>
                <w:i/>
                <w:sz w:val="22"/>
                <w:szCs w:val="22"/>
              </w:rPr>
              <w:t>pdf</w:t>
            </w:r>
            <w:proofErr w:type="spellEnd"/>
            <w:r>
              <w:rPr>
                <w:rFonts w:ascii="Palatino Linotype" w:eastAsia="Palatino Linotype" w:hAnsi="Palatino Linotype" w:cs="Palatino Linotype"/>
                <w:i/>
                <w:sz w:val="22"/>
                <w:szCs w:val="22"/>
              </w:rPr>
              <w:t>, que contienen la Respuesta. Quedo a sus órdenes.</w:t>
            </w:r>
          </w:p>
        </w:tc>
      </w:tr>
      <w:tr w:rsidR="00001A21">
        <w:trPr>
          <w:trHeight w:val="429"/>
          <w:jc w:val="center"/>
        </w:trPr>
        <w:tc>
          <w:tcPr>
            <w:tcW w:w="7691" w:type="dxa"/>
            <w:vAlign w:val="center"/>
          </w:tcPr>
          <w:p w:rsidR="00001A21" w:rsidRDefault="00001A21">
            <w:pPr>
              <w:rPr>
                <w:rFonts w:ascii="Palatino Linotype" w:eastAsia="Palatino Linotype" w:hAnsi="Palatino Linotype" w:cs="Palatino Linotype"/>
                <w:i/>
                <w:sz w:val="22"/>
                <w:szCs w:val="22"/>
              </w:rPr>
            </w:pPr>
          </w:p>
        </w:tc>
      </w:tr>
      <w:tr w:rsidR="00001A21">
        <w:trPr>
          <w:trHeight w:val="171"/>
          <w:jc w:val="center"/>
        </w:trPr>
        <w:tc>
          <w:tcPr>
            <w:tcW w:w="7691" w:type="dxa"/>
            <w:vAlign w:val="center"/>
          </w:tcPr>
          <w:p w:rsidR="00001A21" w:rsidRDefault="00001A21">
            <w:pPr>
              <w:jc w:val="center"/>
              <w:rPr>
                <w:rFonts w:ascii="Palatino Linotype" w:eastAsia="Palatino Linotype" w:hAnsi="Palatino Linotype" w:cs="Palatino Linotype"/>
                <w:i/>
                <w:sz w:val="22"/>
                <w:szCs w:val="22"/>
              </w:rPr>
            </w:pPr>
          </w:p>
        </w:tc>
      </w:tr>
      <w:tr w:rsidR="00001A21">
        <w:trPr>
          <w:trHeight w:val="171"/>
          <w:jc w:val="center"/>
        </w:trPr>
        <w:tc>
          <w:tcPr>
            <w:tcW w:w="7691" w:type="dxa"/>
            <w:vAlign w:val="center"/>
          </w:tcPr>
          <w:p w:rsidR="00001A21" w:rsidRDefault="00001A21">
            <w:pPr>
              <w:rPr>
                <w:rFonts w:ascii="Palatino Linotype" w:eastAsia="Palatino Linotype" w:hAnsi="Palatino Linotype" w:cs="Palatino Linotype"/>
                <w:i/>
                <w:sz w:val="22"/>
                <w:szCs w:val="22"/>
              </w:rPr>
            </w:pPr>
          </w:p>
        </w:tc>
      </w:tr>
      <w:tr w:rsidR="00001A21">
        <w:trPr>
          <w:trHeight w:val="171"/>
          <w:jc w:val="center"/>
        </w:trPr>
        <w:tc>
          <w:tcPr>
            <w:tcW w:w="7691" w:type="dxa"/>
            <w:vAlign w:val="center"/>
          </w:tcPr>
          <w:p w:rsidR="00001A21" w:rsidRDefault="00EE6F9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001A21">
        <w:trPr>
          <w:trHeight w:val="164"/>
          <w:jc w:val="center"/>
        </w:trPr>
        <w:tc>
          <w:tcPr>
            <w:tcW w:w="7691" w:type="dxa"/>
            <w:vAlign w:val="center"/>
          </w:tcPr>
          <w:p w:rsidR="00001A21" w:rsidRDefault="00001A21">
            <w:pPr>
              <w:rPr>
                <w:rFonts w:ascii="Palatino Linotype" w:eastAsia="Palatino Linotype" w:hAnsi="Palatino Linotype" w:cs="Palatino Linotype"/>
                <w:i/>
                <w:sz w:val="22"/>
                <w:szCs w:val="22"/>
              </w:rPr>
            </w:pPr>
          </w:p>
        </w:tc>
      </w:tr>
    </w:tbl>
    <w:p w:rsidR="00001A21" w:rsidRDefault="00001A21">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001A21" w:rsidRDefault="00001A21">
      <w:pPr>
        <w:tabs>
          <w:tab w:val="left" w:pos="284"/>
          <w:tab w:val="left" w:pos="426"/>
        </w:tabs>
        <w:spacing w:line="360" w:lineRule="auto"/>
        <w:jc w:val="both"/>
        <w:rPr>
          <w:rFonts w:ascii="Palatino Linotype" w:eastAsia="Palatino Linotype" w:hAnsi="Palatino Linotype" w:cs="Palatino Linotype"/>
          <w:color w:val="000000"/>
          <w:sz w:val="22"/>
          <w:szCs w:val="22"/>
        </w:rPr>
      </w:pPr>
    </w:p>
    <w:p w:rsidR="00001A21" w:rsidRDefault="00EE6F97">
      <w:pPr>
        <w:tabs>
          <w:tab w:val="left" w:pos="284"/>
          <w:tab w:val="left" w:pos="426"/>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la respuesta, el Sujeto Obligado adjuntó el archivo denominado </w:t>
      </w:r>
      <w:hyperlink r:id="rId8">
        <w:r>
          <w:rPr>
            <w:rFonts w:ascii="Palatino Linotype" w:eastAsia="Palatino Linotype" w:hAnsi="Palatino Linotype" w:cs="Palatino Linotype"/>
            <w:b/>
            <w:color w:val="000000"/>
            <w:sz w:val="22"/>
            <w:szCs w:val="22"/>
            <w:u w:val="single"/>
          </w:rPr>
          <w:t>Respuesta UT Folio 00022.pdf</w:t>
        </w:r>
      </w:hyperlink>
      <w:r>
        <w:rPr>
          <w:rFonts w:ascii="Palatino Linotype" w:eastAsia="Palatino Linotype" w:hAnsi="Palatino Linotype" w:cs="Palatino Linotype"/>
          <w:sz w:val="22"/>
          <w:szCs w:val="22"/>
        </w:rPr>
        <w:t xml:space="preserve">, en el que, de forma medular, señaló que lo requerido se trataba de un derecho de petición. </w:t>
      </w:r>
    </w:p>
    <w:p w:rsidR="00001A21" w:rsidRDefault="00001A21">
      <w:pPr>
        <w:pBdr>
          <w:top w:val="nil"/>
          <w:left w:val="nil"/>
          <w:bottom w:val="nil"/>
          <w:right w:val="nil"/>
          <w:between w:val="nil"/>
        </w:pBdr>
        <w:tabs>
          <w:tab w:val="left" w:pos="284"/>
          <w:tab w:val="left" w:pos="426"/>
        </w:tabs>
        <w:spacing w:line="360" w:lineRule="auto"/>
        <w:ind w:left="709"/>
        <w:jc w:val="both"/>
        <w:rPr>
          <w:rFonts w:ascii="Palatino Linotype" w:eastAsia="Palatino Linotype" w:hAnsi="Palatino Linotype" w:cs="Palatino Linotype"/>
          <w:b/>
          <w:color w:val="000000"/>
        </w:rPr>
      </w:pPr>
    </w:p>
    <w:p w:rsidR="00001A21" w:rsidRDefault="00EE6F97">
      <w:pPr>
        <w:numPr>
          <w:ilvl w:val="0"/>
          <w:numId w:val="3"/>
        </w:numPr>
        <w:pBdr>
          <w:top w:val="nil"/>
          <w:left w:val="nil"/>
          <w:bottom w:val="nil"/>
          <w:right w:val="nil"/>
          <w:between w:val="nil"/>
        </w:pBdr>
        <w:tabs>
          <w:tab w:val="left" w:pos="284"/>
          <w:tab w:val="left" w:pos="426"/>
        </w:tabs>
        <w:spacing w:line="360" w:lineRule="auto"/>
        <w:jc w:val="both"/>
        <w:rPr>
          <w:color w:val="000000"/>
        </w:rPr>
      </w:pPr>
      <w:r>
        <w:rPr>
          <w:rFonts w:ascii="Palatino Linotype" w:eastAsia="Palatino Linotype" w:hAnsi="Palatino Linotype" w:cs="Palatino Linotype"/>
          <w:color w:val="000000"/>
        </w:rPr>
        <w:t xml:space="preserve">Derivado de la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nueve (09) de mayo de dos mil veinticuatro, la particular interpuso recurso de revisión al que se asignó el número </w:t>
      </w:r>
      <w:r>
        <w:rPr>
          <w:rFonts w:ascii="Palatino Linotype" w:eastAsia="Palatino Linotype" w:hAnsi="Palatino Linotype" w:cs="Palatino Linotype"/>
          <w:b/>
          <w:color w:val="000000"/>
        </w:rPr>
        <w:t>02703/INFOEM/IP/RR/2024;</w:t>
      </w:r>
      <w:r>
        <w:rPr>
          <w:rFonts w:ascii="Palatino Linotype" w:eastAsia="Palatino Linotype" w:hAnsi="Palatino Linotype" w:cs="Palatino Linotype"/>
          <w:color w:val="000000"/>
        </w:rPr>
        <w:t xml:space="preserve"> impugnación en la que refirió lo siguiente:</w:t>
      </w:r>
    </w:p>
    <w:p w:rsidR="00001A21" w:rsidRDefault="00EE6F9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la respuesta infalible y </w:t>
      </w:r>
      <w:proofErr w:type="spellStart"/>
      <w:r>
        <w:rPr>
          <w:rFonts w:ascii="Palatino Linotype" w:eastAsia="Palatino Linotype" w:hAnsi="Palatino Linotype" w:cs="Palatino Linotype"/>
          <w:i/>
          <w:color w:val="000000"/>
          <w:sz w:val="22"/>
          <w:szCs w:val="22"/>
        </w:rPr>
        <w:t>atastaca</w:t>
      </w:r>
      <w:proofErr w:type="spellEnd"/>
      <w:r>
        <w:rPr>
          <w:rFonts w:ascii="Palatino Linotype" w:eastAsia="Palatino Linotype" w:hAnsi="Palatino Linotype" w:cs="Palatino Linotype"/>
          <w:i/>
          <w:color w:val="000000"/>
          <w:sz w:val="22"/>
          <w:szCs w:val="22"/>
        </w:rPr>
        <w:t xml:space="preserve"> de fundamentos </w:t>
      </w:r>
      <w:proofErr w:type="spellStart"/>
      <w:r>
        <w:rPr>
          <w:rFonts w:ascii="Palatino Linotype" w:eastAsia="Palatino Linotype" w:hAnsi="Palatino Linotype" w:cs="Palatino Linotype"/>
          <w:i/>
          <w:color w:val="000000"/>
          <w:sz w:val="22"/>
          <w:szCs w:val="22"/>
        </w:rPr>
        <w:t>juridicos</w:t>
      </w:r>
      <w:proofErr w:type="spellEnd"/>
      <w:r>
        <w:rPr>
          <w:rFonts w:ascii="Palatino Linotype" w:eastAsia="Palatino Linotype" w:hAnsi="Palatino Linotype" w:cs="Palatino Linotype"/>
          <w:i/>
          <w:color w:val="000000"/>
          <w:sz w:val="22"/>
          <w:szCs w:val="22"/>
        </w:rPr>
        <w:t xml:space="preserve"> que no dan respuesta a la </w:t>
      </w:r>
      <w:proofErr w:type="spellStart"/>
      <w:r>
        <w:rPr>
          <w:rFonts w:ascii="Palatino Linotype" w:eastAsia="Palatino Linotype" w:hAnsi="Palatino Linotype" w:cs="Palatino Linotype"/>
          <w:i/>
          <w:color w:val="000000"/>
          <w:sz w:val="22"/>
          <w:szCs w:val="22"/>
        </w:rPr>
        <w:t>peticion</w:t>
      </w:r>
      <w:proofErr w:type="spellEnd"/>
      <w:r>
        <w:rPr>
          <w:rFonts w:ascii="Palatino Linotype" w:eastAsia="Palatino Linotype" w:hAnsi="Palatino Linotype" w:cs="Palatino Linotype"/>
          <w:i/>
          <w:color w:val="000000"/>
          <w:sz w:val="22"/>
          <w:szCs w:val="22"/>
        </w:rPr>
        <w:t xml:space="preserve"> en concreto”.</w:t>
      </w:r>
      <w:r>
        <w:rPr>
          <w:rFonts w:ascii="Palatino Linotype" w:eastAsia="Palatino Linotype" w:hAnsi="Palatino Linotype" w:cs="Palatino Linotype"/>
          <w:color w:val="000000"/>
          <w:sz w:val="22"/>
          <w:szCs w:val="22"/>
        </w:rPr>
        <w:t xml:space="preserve"> (Sic)</w:t>
      </w:r>
    </w:p>
    <w:p w:rsidR="00001A21" w:rsidRDefault="00EE6F9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2"/>
          <w:szCs w:val="22"/>
        </w:rPr>
        <w:t>Motivos o razones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“La petición fue clara, para que contrataron a una personas para que hicieran sus instrumentos </w:t>
      </w:r>
      <w:proofErr w:type="spellStart"/>
      <w:r>
        <w:rPr>
          <w:rFonts w:ascii="Palatino Linotype" w:eastAsia="Palatino Linotype" w:hAnsi="Palatino Linotype" w:cs="Palatino Linotype"/>
          <w:i/>
          <w:color w:val="000000"/>
          <w:sz w:val="22"/>
          <w:szCs w:val="22"/>
        </w:rPr>
        <w:t>archivisticos</w:t>
      </w:r>
      <w:proofErr w:type="spellEnd"/>
      <w:r>
        <w:rPr>
          <w:rFonts w:ascii="Palatino Linotype" w:eastAsia="Palatino Linotype" w:hAnsi="Palatino Linotype" w:cs="Palatino Linotype"/>
          <w:i/>
          <w:color w:val="000000"/>
          <w:sz w:val="22"/>
          <w:szCs w:val="22"/>
        </w:rPr>
        <w:t xml:space="preserve"> si en otra respuesta de ustedes mismos indican que ya los </w:t>
      </w:r>
      <w:proofErr w:type="spellStart"/>
      <w:r>
        <w:rPr>
          <w:rFonts w:ascii="Palatino Linotype" w:eastAsia="Palatino Linotype" w:hAnsi="Palatino Linotype" w:cs="Palatino Linotype"/>
          <w:i/>
          <w:color w:val="000000"/>
          <w:sz w:val="22"/>
          <w:szCs w:val="22"/>
        </w:rPr>
        <w:t>tenian</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implemnetados</w:t>
      </w:r>
      <w:proofErr w:type="spellEnd"/>
      <w:r>
        <w:rPr>
          <w:rFonts w:ascii="Palatino Linotype" w:eastAsia="Palatino Linotype" w:hAnsi="Palatino Linotype" w:cs="Palatino Linotype"/>
          <w:i/>
          <w:color w:val="000000"/>
          <w:sz w:val="22"/>
          <w:szCs w:val="22"/>
        </w:rPr>
        <w:t xml:space="preserve">? no justifican la contratación y el sueldo </w:t>
      </w:r>
      <w:r>
        <w:rPr>
          <w:rFonts w:ascii="Palatino Linotype" w:eastAsia="Palatino Linotype" w:hAnsi="Palatino Linotype" w:cs="Palatino Linotype"/>
          <w:i/>
          <w:color w:val="000000"/>
          <w:sz w:val="22"/>
          <w:szCs w:val="22"/>
        </w:rPr>
        <w:lastRenderedPageBreak/>
        <w:t xml:space="preserve">que se le </w:t>
      </w:r>
      <w:proofErr w:type="spellStart"/>
      <w:r>
        <w:rPr>
          <w:rFonts w:ascii="Palatino Linotype" w:eastAsia="Palatino Linotype" w:hAnsi="Palatino Linotype" w:cs="Palatino Linotype"/>
          <w:i/>
          <w:color w:val="000000"/>
          <w:sz w:val="22"/>
          <w:szCs w:val="22"/>
        </w:rPr>
        <w:t>otrorgo</w:t>
      </w:r>
      <w:proofErr w:type="spellEnd"/>
      <w:r>
        <w:rPr>
          <w:rFonts w:ascii="Palatino Linotype" w:eastAsia="Palatino Linotype" w:hAnsi="Palatino Linotype" w:cs="Palatino Linotype"/>
          <w:i/>
          <w:color w:val="000000"/>
          <w:sz w:val="22"/>
          <w:szCs w:val="22"/>
        </w:rPr>
        <w:t xml:space="preserve">, además de que sigue poniendo en su CV que ella los elaboro (los instrumentos </w:t>
      </w:r>
      <w:proofErr w:type="spellStart"/>
      <w:r>
        <w:rPr>
          <w:rFonts w:ascii="Palatino Linotype" w:eastAsia="Palatino Linotype" w:hAnsi="Palatino Linotype" w:cs="Palatino Linotype"/>
          <w:i/>
          <w:color w:val="000000"/>
          <w:sz w:val="22"/>
          <w:szCs w:val="22"/>
        </w:rPr>
        <w:t>archivisticos</w:t>
      </w:r>
      <w:proofErr w:type="spellEnd"/>
      <w:proofErr w:type="gramStart"/>
      <w:r>
        <w:rPr>
          <w:rFonts w:ascii="Palatino Linotype" w:eastAsia="Palatino Linotype" w:hAnsi="Palatino Linotype" w:cs="Palatino Linotype"/>
          <w:i/>
          <w:color w:val="000000"/>
          <w:sz w:val="22"/>
          <w:szCs w:val="22"/>
        </w:rPr>
        <w:t>) .”</w:t>
      </w:r>
      <w:proofErr w:type="gramEnd"/>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(Sic)</w:t>
      </w:r>
      <w:r>
        <w:rPr>
          <w:rFonts w:ascii="Palatino Linotype" w:eastAsia="Palatino Linotype" w:hAnsi="Palatino Linotype" w:cs="Palatino Linotype"/>
          <w:color w:val="000000"/>
        </w:rPr>
        <w:t xml:space="preserve"> </w:t>
      </w:r>
    </w:p>
    <w:p w:rsidR="00001A21" w:rsidRDefault="00001A21">
      <w:pPr>
        <w:pBdr>
          <w:top w:val="nil"/>
          <w:left w:val="nil"/>
          <w:bottom w:val="nil"/>
          <w:right w:val="nil"/>
          <w:between w:val="nil"/>
        </w:pBdr>
        <w:tabs>
          <w:tab w:val="left" w:pos="426"/>
        </w:tabs>
        <w:spacing w:line="360" w:lineRule="auto"/>
        <w:ind w:left="1004"/>
        <w:jc w:val="both"/>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rsidR="00001A21" w:rsidRDefault="00001A2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La Comisionada Ponente, con fundamento en lo dispuesto por el artículo 185 fracción II de la Ley de Transparencia y Acceso a la Información Pública del Estado de México y Municipios, a través del acuerdo de admisión de dieciséis (16) de mayo de dos mil veinticuatro, puso a disposición de las partes el expediente electrónico vía Sistema de Acceso a la Información Mexiquense (</w:t>
      </w:r>
      <w:r>
        <w:rPr>
          <w:rFonts w:ascii="Palatino Linotype" w:eastAsia="Palatino Linotype" w:hAnsi="Palatino Linotype" w:cs="Palatino Linotype"/>
          <w:b/>
          <w:i/>
          <w:color w:val="000000"/>
        </w:rPr>
        <w:t>SAIMEX)</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De las constancias que obran en el expediente electrónico del SAIMEX, se aprecia que el Sujeto Obligado rindió Informe Justificado el veintisiete (27) de mayo de dos mil veinticuatro, mismo que se puso a la vista del Recurrente el treinta (30) de mayo del mismo año, y que consta del archivo </w:t>
      </w:r>
      <w:hyperlink r:id="rId9">
        <w:r>
          <w:rPr>
            <w:rFonts w:ascii="Palatino Linotype" w:eastAsia="Palatino Linotype" w:hAnsi="Palatino Linotype" w:cs="Palatino Linotype"/>
            <w:b/>
            <w:color w:val="000000"/>
            <w:u w:val="single"/>
          </w:rPr>
          <w:t>Informe de Justificación RR 02703 Folio 00022.pdf</w:t>
        </w:r>
      </w:hyperlink>
      <w:r>
        <w:rPr>
          <w:rFonts w:ascii="Palatino Linotype" w:eastAsia="Palatino Linotype" w:hAnsi="Palatino Linotype" w:cs="Palatino Linotype"/>
          <w:color w:val="000000"/>
        </w:rPr>
        <w:t>, en el que ratificó su respuesta.</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Por su parte el Recurrente fue </w:t>
      </w:r>
      <w:r>
        <w:rPr>
          <w:rFonts w:ascii="Palatino Linotype" w:eastAsia="Palatino Linotype" w:hAnsi="Palatino Linotype" w:cs="Palatino Linotype"/>
        </w:rPr>
        <w:t>omiso</w:t>
      </w:r>
      <w:r>
        <w:rPr>
          <w:rFonts w:ascii="Palatino Linotype" w:eastAsia="Palatino Linotype" w:hAnsi="Palatino Linotype" w:cs="Palatino Linotype"/>
          <w:color w:val="000000"/>
        </w:rPr>
        <w:t xml:space="preserve"> en realizar manifestaciones.</w:t>
      </w:r>
    </w:p>
    <w:p w:rsidR="00001A21" w:rsidRDefault="00001A21">
      <w:pPr>
        <w:tabs>
          <w:tab w:val="left" w:pos="426"/>
        </w:tabs>
        <w:spacing w:line="360" w:lineRule="auto"/>
        <w:jc w:val="both"/>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222222"/>
        </w:rPr>
        <w:lastRenderedPageBreak/>
        <w:t>El cinco (05) de junio de dos mil veinticuatro, la Comisionada Ponente notificó el acuerdo mediante el cual se decretó el cierre de instrucción; por lo que turnó la presente resolución para su aprobación</w:t>
      </w:r>
    </w:p>
    <w:p w:rsidR="00001A21" w:rsidRDefault="00001A2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01A21" w:rsidRDefault="00EE6F97">
      <w:pPr>
        <w:pStyle w:val="Ttulo1"/>
        <w:spacing w:before="0"/>
        <w:jc w:val="center"/>
        <w:rPr>
          <w:b/>
          <w:color w:val="000000"/>
        </w:rPr>
      </w:pPr>
      <w:bookmarkStart w:id="2" w:name="_heading=h.30j0zll" w:colFirst="0" w:colLast="0"/>
      <w:bookmarkEnd w:id="2"/>
      <w:r>
        <w:rPr>
          <w:b/>
          <w:color w:val="000000"/>
        </w:rPr>
        <w:t>C O N S I D E R A N D O</w:t>
      </w:r>
    </w:p>
    <w:p w:rsidR="00001A21" w:rsidRDefault="00001A21"/>
    <w:p w:rsidR="00001A21" w:rsidRDefault="00001A21">
      <w:pPr>
        <w:rPr>
          <w:color w:val="000000"/>
        </w:rPr>
      </w:pPr>
    </w:p>
    <w:p w:rsidR="00001A21" w:rsidRDefault="00EE6F97">
      <w:pPr>
        <w:pStyle w:val="Ttulo2"/>
        <w:spacing w:before="0"/>
        <w:rPr>
          <w:rFonts w:ascii="Palatino Linotype" w:eastAsia="Palatino Linotype" w:hAnsi="Palatino Linotype" w:cs="Palatino Linotype"/>
          <w:b/>
          <w:color w:val="000000"/>
          <w:sz w:val="24"/>
          <w:szCs w:val="24"/>
        </w:rPr>
      </w:pPr>
      <w:bookmarkStart w:id="3" w:name="_heading=h.1fob9te" w:colFirst="0" w:colLast="0"/>
      <w:bookmarkEnd w:id="3"/>
      <w:r>
        <w:rPr>
          <w:rFonts w:ascii="Palatino Linotype" w:eastAsia="Palatino Linotype" w:hAnsi="Palatino Linotype" w:cs="Palatino Linotype"/>
          <w:b/>
          <w:color w:val="000000"/>
          <w:sz w:val="24"/>
          <w:szCs w:val="24"/>
        </w:rPr>
        <w:t>PRIMERO. De la competencia</w:t>
      </w:r>
    </w:p>
    <w:p w:rsidR="00001A21" w:rsidRDefault="00EE6F97">
      <w:pPr>
        <w:numPr>
          <w:ilvl w:val="0"/>
          <w:numId w:val="3"/>
        </w:numPr>
        <w:pBdr>
          <w:top w:val="nil"/>
          <w:left w:val="nil"/>
          <w:bottom w:val="nil"/>
          <w:right w:val="nil"/>
          <w:between w:val="nil"/>
        </w:pBdr>
        <w:spacing w:before="240" w:line="360" w:lineRule="auto"/>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001A21" w:rsidRDefault="00001A2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001A21" w:rsidRDefault="00EE6F97">
      <w:pPr>
        <w:pStyle w:val="Ttulo2"/>
        <w:tabs>
          <w:tab w:val="left" w:pos="426"/>
        </w:tabs>
        <w:spacing w:before="0"/>
        <w:rPr>
          <w:rFonts w:ascii="Palatino Linotype" w:eastAsia="Palatino Linotype" w:hAnsi="Palatino Linotype" w:cs="Palatino Linotype"/>
          <w:b/>
          <w:color w:val="000000"/>
          <w:sz w:val="24"/>
          <w:szCs w:val="24"/>
        </w:rPr>
      </w:pPr>
      <w:bookmarkStart w:id="4" w:name="_heading=h.3znysh7" w:colFirst="0" w:colLast="0"/>
      <w:bookmarkEnd w:id="4"/>
      <w:r>
        <w:rPr>
          <w:rFonts w:ascii="Palatino Linotype" w:eastAsia="Palatino Linotype" w:hAnsi="Palatino Linotype" w:cs="Palatino Linotype"/>
          <w:b/>
          <w:color w:val="000000"/>
          <w:sz w:val="24"/>
          <w:szCs w:val="24"/>
        </w:rPr>
        <w:t>SEGUNDO. De la oportunidad y procedencia.</w:t>
      </w:r>
    </w:p>
    <w:p w:rsidR="00001A21" w:rsidRDefault="00EE6F97">
      <w:pPr>
        <w:numPr>
          <w:ilvl w:val="0"/>
          <w:numId w:val="3"/>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dos (02) de mayo  de dos mil veinticuatro, de tal forma que el plazo para interponer el recurso de revisión transcurrió del tres (03) al veinticuatro (24) de mayo dos mil veinticuatro, el recurso de revisión fue interpuesto el nueve (09) de mayo de dos mil veinticuatro, éste se encuentra </w:t>
      </w:r>
      <w:r>
        <w:rPr>
          <w:rFonts w:ascii="Palatino Linotype" w:eastAsia="Palatino Linotype" w:hAnsi="Palatino Linotype" w:cs="Palatino Linotype"/>
          <w:color w:val="000000"/>
        </w:rPr>
        <w:lastRenderedPageBreak/>
        <w:t>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vigente.</w:t>
      </w:r>
    </w:p>
    <w:p w:rsidR="00001A21" w:rsidRDefault="00001A21">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rsidR="00001A21" w:rsidRPr="00C72ACF" w:rsidRDefault="00EE6F97">
      <w:pPr>
        <w:numPr>
          <w:ilvl w:val="0"/>
          <w:numId w:val="3"/>
        </w:numPr>
        <w:spacing w:line="360" w:lineRule="auto"/>
        <w:jc w:val="both"/>
      </w:pPr>
      <w:r>
        <w:rPr>
          <w:rFonts w:ascii="Palatino Linotype" w:eastAsia="Palatino Linotype" w:hAnsi="Palatino Linotype" w:cs="Palatino Linotype"/>
        </w:rPr>
        <w:t xml:space="preserve">Por otra parte, de la revisión al expediente electrónico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C72ACF" w:rsidRDefault="00C72ACF" w:rsidP="00C72ACF">
      <w:pPr>
        <w:pStyle w:val="Prrafodelista"/>
      </w:pPr>
    </w:p>
    <w:p w:rsidR="00001A21" w:rsidRDefault="00EE6F97">
      <w:pPr>
        <w:numPr>
          <w:ilvl w:val="0"/>
          <w:numId w:val="3"/>
        </w:numPr>
        <w:spacing w:line="360" w:lineRule="auto"/>
        <w:jc w:val="both"/>
      </w:pPr>
      <w:r>
        <w:rPr>
          <w:rFonts w:ascii="Palatino Linotype" w:eastAsia="Palatino Linotype" w:hAnsi="Palatino Linotype" w:cs="Palatino Linotype"/>
        </w:rPr>
        <w:t>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001A21" w:rsidRDefault="00001A21">
      <w:pPr>
        <w:pBdr>
          <w:top w:val="nil"/>
          <w:left w:val="nil"/>
          <w:bottom w:val="nil"/>
          <w:right w:val="nil"/>
          <w:between w:val="nil"/>
        </w:pBdr>
        <w:rPr>
          <w:rFonts w:ascii="Palatino Linotype" w:eastAsia="Palatino Linotype" w:hAnsi="Palatino Linotype" w:cs="Palatino Linotype"/>
          <w:color w:val="000000"/>
        </w:rPr>
      </w:pPr>
    </w:p>
    <w:p w:rsidR="00001A21" w:rsidRDefault="00EE6F97">
      <w:pPr>
        <w:numPr>
          <w:ilvl w:val="0"/>
          <w:numId w:val="3"/>
        </w:numPr>
        <w:spacing w:line="360" w:lineRule="auto"/>
        <w:jc w:val="both"/>
      </w:pPr>
      <w:r>
        <w:rPr>
          <w:rFonts w:ascii="Palatino Linotype" w:eastAsia="Palatino Linotype" w:hAnsi="Palatino Linotype" w:cs="Palatino Linotype"/>
        </w:rPr>
        <w:t xml:space="preserve">Por lo cual, de una interpretación sistemática, armónica y progresiva del derecho humano de acceso a la información pública se aprecia que toda persona, sin necesidad de </w:t>
      </w:r>
      <w:r>
        <w:rPr>
          <w:rFonts w:ascii="Palatino Linotype" w:eastAsia="Palatino Linotype" w:hAnsi="Palatino Linotype" w:cs="Palatino Linotype"/>
        </w:rPr>
        <w:lastRenderedPageBreak/>
        <w:t>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001A21" w:rsidRDefault="00001A21">
      <w:pPr>
        <w:pBdr>
          <w:top w:val="nil"/>
          <w:left w:val="nil"/>
          <w:bottom w:val="nil"/>
          <w:right w:val="nil"/>
          <w:between w:val="nil"/>
        </w:pBdr>
        <w:rPr>
          <w:rFonts w:ascii="Palatino Linotype" w:eastAsia="Palatino Linotype" w:hAnsi="Palatino Linotype" w:cs="Palatino Linotype"/>
          <w:color w:val="000000"/>
        </w:rPr>
      </w:pPr>
    </w:p>
    <w:p w:rsidR="00001A21" w:rsidRDefault="00EE6F97">
      <w:pPr>
        <w:numPr>
          <w:ilvl w:val="0"/>
          <w:numId w:val="3"/>
        </w:numPr>
        <w:spacing w:line="360" w:lineRule="auto"/>
        <w:jc w:val="both"/>
      </w:pPr>
      <w:r>
        <w:rPr>
          <w:rFonts w:ascii="Palatino Linotype" w:eastAsia="Palatino Linotype" w:hAnsi="Palatino Linotype" w:cs="Palatino Linotype"/>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001A21" w:rsidRDefault="00001A21">
      <w:pPr>
        <w:pBdr>
          <w:top w:val="nil"/>
          <w:left w:val="nil"/>
          <w:bottom w:val="nil"/>
          <w:right w:val="nil"/>
          <w:between w:val="nil"/>
        </w:pBdr>
        <w:rPr>
          <w:rFonts w:ascii="Palatino Linotype" w:eastAsia="Palatino Linotype" w:hAnsi="Palatino Linotype" w:cs="Palatino Linotype"/>
          <w:color w:val="000000"/>
        </w:rPr>
      </w:pPr>
    </w:p>
    <w:p w:rsidR="00001A21" w:rsidRDefault="00EE6F97">
      <w:pPr>
        <w:numPr>
          <w:ilvl w:val="0"/>
          <w:numId w:val="3"/>
        </w:numPr>
        <w:spacing w:line="360" w:lineRule="auto"/>
        <w:jc w:val="both"/>
      </w:pPr>
      <w:r>
        <w:rPr>
          <w:rFonts w:ascii="Palatino Linotype" w:eastAsia="Palatino Linotype" w:hAnsi="Palatino Linotype" w:cs="Palatino Linotype"/>
        </w:rPr>
        <w:t xml:space="preserve">Por lo que el nombre del solicitante y recurrente no puede ser considerado un requisito indispensable de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del recurso de revisión que nos ocupa, ya que el acceso a la información no está condicionado a acreditar algún interés ya sea jurídico o legítimo, máxime que es un elemento subsanable por este Órgano </w:t>
      </w:r>
      <w:proofErr w:type="spellStart"/>
      <w:r>
        <w:rPr>
          <w:rFonts w:ascii="Palatino Linotype" w:eastAsia="Palatino Linotype" w:hAnsi="Palatino Linotype" w:cs="Palatino Linotype"/>
        </w:rPr>
        <w:t>Resolutor</w:t>
      </w:r>
      <w:proofErr w:type="spellEnd"/>
      <w:r>
        <w:rPr>
          <w:rFonts w:ascii="Palatino Linotype" w:eastAsia="Palatino Linotype" w:hAnsi="Palatino Linotype" w:cs="Palatino Linotype"/>
        </w:rPr>
        <w:t>.</w:t>
      </w:r>
    </w:p>
    <w:p w:rsidR="00001A21" w:rsidRDefault="00001A21">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pStyle w:val="Ttulo2"/>
        <w:spacing w:before="0"/>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TERCERO. De las causales del sobreseimiento.</w:t>
      </w:r>
    </w:p>
    <w:p w:rsidR="00C72ACF" w:rsidRPr="00C72ACF" w:rsidRDefault="00EE6F97">
      <w:pPr>
        <w:numPr>
          <w:ilvl w:val="0"/>
          <w:numId w:val="3"/>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 xml:space="preserve">El Recurrente solicitó </w:t>
      </w:r>
      <w:r>
        <w:rPr>
          <w:rFonts w:ascii="Palatino Linotype" w:eastAsia="Palatino Linotype" w:hAnsi="Palatino Linotype" w:cs="Palatino Linotype"/>
          <w:i/>
          <w:color w:val="000000"/>
        </w:rPr>
        <w:t>“</w:t>
      </w:r>
      <w:proofErr w:type="spellStart"/>
      <w:r>
        <w:rPr>
          <w:rFonts w:ascii="Palatino Linotype" w:eastAsia="Palatino Linotype" w:hAnsi="Palatino Linotype" w:cs="Palatino Linotype"/>
          <w:i/>
          <w:color w:val="000000"/>
        </w:rPr>
        <w:t>eN</w:t>
      </w:r>
      <w:proofErr w:type="spellEnd"/>
      <w:r>
        <w:rPr>
          <w:rFonts w:ascii="Palatino Linotype" w:eastAsia="Palatino Linotype" w:hAnsi="Palatino Linotype" w:cs="Palatino Linotype"/>
          <w:i/>
          <w:color w:val="000000"/>
        </w:rPr>
        <w:t xml:space="preserve"> SU FOLIO DE </w:t>
      </w:r>
      <w:proofErr w:type="spellStart"/>
      <w:r>
        <w:rPr>
          <w:rFonts w:ascii="Palatino Linotype" w:eastAsia="Palatino Linotype" w:hAnsi="Palatino Linotype" w:cs="Palatino Linotype"/>
          <w:i/>
          <w:color w:val="000000"/>
        </w:rPr>
        <w:t>reSPUESTa</w:t>
      </w:r>
      <w:proofErr w:type="spellEnd"/>
      <w:r>
        <w:rPr>
          <w:rFonts w:ascii="Palatino Linotype" w:eastAsia="Palatino Linotype" w:hAnsi="Palatino Linotype" w:cs="Palatino Linotype"/>
          <w:i/>
          <w:color w:val="000000"/>
        </w:rPr>
        <w:t xml:space="preserve"> 018/</w:t>
      </w:r>
      <w:proofErr w:type="spellStart"/>
      <w:r>
        <w:rPr>
          <w:rFonts w:ascii="Palatino Linotype" w:eastAsia="Palatino Linotype" w:hAnsi="Palatino Linotype" w:cs="Palatino Linotype"/>
          <w:i/>
          <w:color w:val="000000"/>
        </w:rPr>
        <w:t>iahem</w:t>
      </w:r>
      <w:proofErr w:type="spellEnd"/>
      <w:r>
        <w:rPr>
          <w:rFonts w:ascii="Palatino Linotype" w:eastAsia="Palatino Linotype" w:hAnsi="Palatino Linotype" w:cs="Palatino Linotype"/>
          <w:i/>
          <w:color w:val="000000"/>
        </w:rPr>
        <w:t>/</w:t>
      </w:r>
      <w:proofErr w:type="spellStart"/>
      <w:r>
        <w:rPr>
          <w:rFonts w:ascii="Palatino Linotype" w:eastAsia="Palatino Linotype" w:hAnsi="Palatino Linotype" w:cs="Palatino Linotype"/>
          <w:i/>
          <w:color w:val="000000"/>
        </w:rPr>
        <w:t>ip</w:t>
      </w:r>
      <w:proofErr w:type="spellEnd"/>
      <w:r>
        <w:rPr>
          <w:rFonts w:ascii="Palatino Linotype" w:eastAsia="Palatino Linotype" w:hAnsi="Palatino Linotype" w:cs="Palatino Linotype"/>
          <w:i/>
          <w:color w:val="000000"/>
        </w:rPr>
        <w:t xml:space="preserve">/2024, dicen que debo conducirme con respeto, pero ustedes no respetan mis impuestos, ya </w:t>
      </w:r>
      <w:proofErr w:type="spellStart"/>
      <w:r>
        <w:rPr>
          <w:rFonts w:ascii="Palatino Linotype" w:eastAsia="Palatino Linotype" w:hAnsi="Palatino Linotype" w:cs="Palatino Linotype"/>
          <w:i/>
          <w:color w:val="000000"/>
        </w:rPr>
        <w:t>uqe</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segun</w:t>
      </w:r>
      <w:proofErr w:type="spellEnd"/>
      <w:r>
        <w:rPr>
          <w:rFonts w:ascii="Palatino Linotype" w:eastAsia="Palatino Linotype" w:hAnsi="Palatino Linotype" w:cs="Palatino Linotype"/>
          <w:i/>
          <w:color w:val="000000"/>
        </w:rPr>
        <w:t xml:space="preserve"> ustedes dicen en </w:t>
      </w:r>
      <w:r>
        <w:rPr>
          <w:rFonts w:ascii="Palatino Linotype" w:eastAsia="Palatino Linotype" w:hAnsi="Palatino Linotype" w:cs="Palatino Linotype"/>
          <w:i/>
          <w:color w:val="000000"/>
        </w:rPr>
        <w:lastRenderedPageBreak/>
        <w:t xml:space="preserve">una respuesta que la </w:t>
      </w:r>
      <w:proofErr w:type="spellStart"/>
      <w:r>
        <w:rPr>
          <w:rFonts w:ascii="Palatino Linotype" w:eastAsia="Palatino Linotype" w:hAnsi="Palatino Linotype" w:cs="Palatino Linotype"/>
          <w:i/>
          <w:color w:val="000000"/>
        </w:rPr>
        <w:t>ocntrataron</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xq</w:t>
      </w:r>
      <w:proofErr w:type="spellEnd"/>
      <w:r>
        <w:rPr>
          <w:rFonts w:ascii="Palatino Linotype" w:eastAsia="Palatino Linotype" w:hAnsi="Palatino Linotype" w:cs="Palatino Linotype"/>
          <w:i/>
          <w:color w:val="000000"/>
        </w:rPr>
        <w:t xml:space="preserve"> savia hacer cosas de archivo y en </w:t>
      </w:r>
      <w:proofErr w:type="spellStart"/>
      <w:r>
        <w:rPr>
          <w:rFonts w:ascii="Palatino Linotype" w:eastAsia="Palatino Linotype" w:hAnsi="Palatino Linotype" w:cs="Palatino Linotype"/>
          <w:i/>
          <w:color w:val="000000"/>
        </w:rPr>
        <w:t>otttra</w:t>
      </w:r>
      <w:proofErr w:type="spellEnd"/>
      <w:r>
        <w:rPr>
          <w:rFonts w:ascii="Palatino Linotype" w:eastAsia="Palatino Linotype" w:hAnsi="Palatino Linotype" w:cs="Palatino Linotype"/>
          <w:i/>
          <w:color w:val="000000"/>
        </w:rPr>
        <w:t xml:space="preserve"> dicen que cuando llego ya </w:t>
      </w:r>
      <w:proofErr w:type="spellStart"/>
      <w:r>
        <w:rPr>
          <w:rFonts w:ascii="Palatino Linotype" w:eastAsia="Palatino Linotype" w:hAnsi="Palatino Linotype" w:cs="Palatino Linotype"/>
          <w:i/>
          <w:color w:val="000000"/>
        </w:rPr>
        <w:t>tenian</w:t>
      </w:r>
      <w:proofErr w:type="spellEnd"/>
      <w:r>
        <w:rPr>
          <w:rFonts w:ascii="Palatino Linotype" w:eastAsia="Palatino Linotype" w:hAnsi="Palatino Linotype" w:cs="Palatino Linotype"/>
          <w:i/>
          <w:color w:val="000000"/>
        </w:rPr>
        <w:t xml:space="preserve"> sus instrumentos hasta publicados, entonces para que la </w:t>
      </w:r>
      <w:proofErr w:type="spellStart"/>
      <w:r>
        <w:rPr>
          <w:rFonts w:ascii="Palatino Linotype" w:eastAsia="Palatino Linotype" w:hAnsi="Palatino Linotype" w:cs="Palatino Linotype"/>
          <w:i/>
          <w:color w:val="000000"/>
        </w:rPr>
        <w:t>contraron</w:t>
      </w:r>
      <w:proofErr w:type="spellEnd"/>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para gastarse el dinero de mis impuestos</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xq</w:t>
      </w:r>
      <w:proofErr w:type="spellEnd"/>
      <w:r>
        <w:rPr>
          <w:rFonts w:ascii="Palatino Linotype" w:eastAsia="Palatino Linotype" w:hAnsi="Palatino Linotype" w:cs="Palatino Linotype"/>
          <w:i/>
          <w:color w:val="000000"/>
        </w:rPr>
        <w:t xml:space="preserve"> no respetan el trabajo de los </w:t>
      </w:r>
      <w:proofErr w:type="spellStart"/>
      <w:r>
        <w:rPr>
          <w:rFonts w:ascii="Palatino Linotype" w:eastAsia="Palatino Linotype" w:hAnsi="Palatino Linotype" w:cs="Palatino Linotype"/>
          <w:i/>
          <w:color w:val="000000"/>
        </w:rPr>
        <w:t>demas</w:t>
      </w:r>
      <w:proofErr w:type="spellEnd"/>
      <w:r>
        <w:rPr>
          <w:rFonts w:ascii="Palatino Linotype" w:eastAsia="Palatino Linotype" w:hAnsi="Palatino Linotype" w:cs="Palatino Linotype"/>
          <w:i/>
          <w:color w:val="000000"/>
        </w:rPr>
        <w:t xml:space="preserve"> y les dan sus </w:t>
      </w:r>
      <w:proofErr w:type="spellStart"/>
      <w:r>
        <w:rPr>
          <w:rFonts w:ascii="Palatino Linotype" w:eastAsia="Palatino Linotype" w:hAnsi="Palatino Linotype" w:cs="Palatino Linotype"/>
          <w:i/>
          <w:color w:val="000000"/>
        </w:rPr>
        <w:t>creditos</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xq</w:t>
      </w:r>
      <w:proofErr w:type="spellEnd"/>
      <w:r>
        <w:rPr>
          <w:rFonts w:ascii="Palatino Linotype" w:eastAsia="Palatino Linotype" w:hAnsi="Palatino Linotype" w:cs="Palatino Linotype"/>
          <w:i/>
          <w:color w:val="000000"/>
        </w:rPr>
        <w:t xml:space="preserve"> no dicen la verdad? </w:t>
      </w:r>
      <w:proofErr w:type="spellStart"/>
      <w:r>
        <w:rPr>
          <w:rFonts w:ascii="Palatino Linotype" w:eastAsia="Palatino Linotype" w:hAnsi="Palatino Linotype" w:cs="Palatino Linotype"/>
          <w:i/>
          <w:color w:val="000000"/>
        </w:rPr>
        <w:t>entoces</w:t>
      </w:r>
      <w:proofErr w:type="spellEnd"/>
      <w:r>
        <w:rPr>
          <w:rFonts w:ascii="Palatino Linotype" w:eastAsia="Palatino Linotype" w:hAnsi="Palatino Linotype" w:cs="Palatino Linotype"/>
          <w:i/>
          <w:color w:val="000000"/>
        </w:rPr>
        <w:t xml:space="preserve"> que hiso todo ese tiempo aparte de cobrar? digan la verdad!!!!! ya no </w:t>
      </w:r>
      <w:proofErr w:type="spellStart"/>
      <w:r>
        <w:rPr>
          <w:rFonts w:ascii="Palatino Linotype" w:eastAsia="Palatino Linotype" w:hAnsi="Palatino Linotype" w:cs="Palatino Linotype"/>
          <w:i/>
          <w:color w:val="000000"/>
        </w:rPr>
        <w:t>lla</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encuvran</w:t>
      </w:r>
      <w:proofErr w:type="spellEnd"/>
      <w:r>
        <w:rPr>
          <w:rFonts w:ascii="Palatino Linotype" w:eastAsia="Palatino Linotype" w:hAnsi="Palatino Linotype" w:cs="Palatino Linotype"/>
          <w:i/>
          <w:color w:val="000000"/>
        </w:rPr>
        <w:t xml:space="preserve">, solo estafo a los que pagamos nuestros impuestos y peor </w:t>
      </w:r>
      <w:proofErr w:type="spellStart"/>
      <w:r>
        <w:rPr>
          <w:rFonts w:ascii="Palatino Linotype" w:eastAsia="Palatino Linotype" w:hAnsi="Palatino Linotype" w:cs="Palatino Linotype"/>
          <w:i/>
          <w:color w:val="000000"/>
        </w:rPr>
        <w:t>todavia</w:t>
      </w:r>
      <w:proofErr w:type="spellEnd"/>
      <w:r>
        <w:rPr>
          <w:rFonts w:ascii="Palatino Linotype" w:eastAsia="Palatino Linotype" w:hAnsi="Palatino Linotype" w:cs="Palatino Linotype"/>
          <w:i/>
          <w:color w:val="000000"/>
        </w:rPr>
        <w:t xml:space="preserve"> les </w:t>
      </w:r>
      <w:proofErr w:type="spellStart"/>
      <w:r>
        <w:rPr>
          <w:rFonts w:ascii="Palatino Linotype" w:eastAsia="Palatino Linotype" w:hAnsi="Palatino Linotype" w:cs="Palatino Linotype"/>
          <w:i/>
          <w:color w:val="000000"/>
        </w:rPr>
        <w:t>reuncio</w:t>
      </w:r>
      <w:proofErr w:type="spellEnd"/>
      <w:r>
        <w:rPr>
          <w:rFonts w:ascii="Palatino Linotype" w:eastAsia="Palatino Linotype" w:hAnsi="Palatino Linotype" w:cs="Palatino Linotype"/>
          <w:i/>
          <w:color w:val="000000"/>
        </w:rPr>
        <w:t xml:space="preserve"> y se fue a vender a otro lugar, como siempre a robar a los mexiquenses.”.</w:t>
      </w:r>
      <w:r>
        <w:rPr>
          <w:rFonts w:ascii="Palatino Linotype" w:eastAsia="Palatino Linotype" w:hAnsi="Palatino Linotype" w:cs="Palatino Linotype"/>
          <w:color w:val="000000"/>
        </w:rPr>
        <w:t xml:space="preserve"> El Sujeto Obligado señaló que lo requerido se trataba de un derecho de petición. Consecuentemente, el particular se inconformó por la negativa de la información.</w:t>
      </w:r>
    </w:p>
    <w:p w:rsidR="00001A21" w:rsidRDefault="00EE6F97" w:rsidP="00C72ACF">
      <w:p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 xml:space="preserve"> </w:t>
      </w:r>
    </w:p>
    <w:p w:rsidR="00001A21" w:rsidRDefault="00EE6F97">
      <w:pPr>
        <w:numPr>
          <w:ilvl w:val="0"/>
          <w:numId w:val="3"/>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 xml:space="preserve">Por lo anterior,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se circunscribe en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colma el derecho de acceso a la información ejercido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o si, por el contrario, se actualiza la causal de procedencia del recurso de revisión establecida en la fracción I del artículo 179 de la Ley de Transparencia y Acceso a la Información Pública del Estado de México y Municipios</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bookmarkStart w:id="6" w:name="_heading=h.tyjcwt" w:colFirst="0" w:colLast="0"/>
      <w:bookmarkEnd w:id="6"/>
    </w:p>
    <w:p w:rsidR="00001A21" w:rsidRDefault="00EE6F97">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bookmarkStart w:id="7" w:name="_heading=h.3dy6vkm" w:colFirst="0" w:colLast="0"/>
      <w:bookmarkEnd w:id="7"/>
      <w:r>
        <w:rPr>
          <w:rFonts w:ascii="Palatino Linotype" w:eastAsia="Palatino Linotype" w:hAnsi="Palatino Linotype" w:cs="Palatino Linotype"/>
          <w:b/>
          <w:color w:val="000000"/>
        </w:rPr>
        <w:t>Del derecho de petición y derecho de acceso a la información pública.</w:t>
      </w:r>
    </w:p>
    <w:p w:rsidR="00001A21" w:rsidRDefault="00EE6F97">
      <w:pPr>
        <w:numPr>
          <w:ilvl w:val="0"/>
          <w:numId w:val="3"/>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 xml:space="preserve">Derivado de la simple lectura de la solicitud se advierte que los requerimientos formulados por el particular no actualizan el ejercicio del derecho de acceso a la información pública, pues pretende que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emita un pronunciamiento categórico mediante el cual explique determinada situación, a fin de satisfacer su interrogante o inquietud</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razón por la cual este Órgano Garante considera pertinente, en primer lugar, establecer las diferencias entre el derecho de petición y el derecho base del asunto que nos ocupa, basado en lo siguiente:</w:t>
      </w:r>
    </w:p>
    <w:p w:rsidR="00001A21" w:rsidRDefault="00001A2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lastRenderedPageBreak/>
        <w:t>El Maestro Ignacio Burgoa Orihuela refiere que el derecho de petición “…</w:t>
      </w:r>
      <w:r>
        <w:rPr>
          <w:rFonts w:ascii="Palatino Linotype" w:eastAsia="Palatino Linotype" w:hAnsi="Palatino Linotype" w:cs="Palatino Linotype"/>
          <w:i/>
          <w:color w:val="000000"/>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Pr>
          <w:rFonts w:ascii="Palatino Linotype" w:eastAsia="Palatino Linotype" w:hAnsi="Palatino Linotype" w:cs="Palatino Linotype"/>
          <w:i/>
          <w:color w:val="000000"/>
          <w:vertAlign w:val="superscript"/>
        </w:rPr>
        <w:t xml:space="preserve"> </w:t>
      </w:r>
      <w:r>
        <w:rPr>
          <w:color w:val="000000"/>
          <w:vertAlign w:val="superscript"/>
        </w:rPr>
        <w:footnoteReference w:id="1"/>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mientras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David Cienfuegos Salgado, lo concibe como </w:t>
      </w:r>
      <w:r>
        <w:rPr>
          <w:rFonts w:ascii="Palatino Linotype" w:eastAsia="Palatino Linotype" w:hAnsi="Palatino Linotype" w:cs="Palatino Linotype"/>
          <w:i/>
          <w:color w:val="000000"/>
        </w:rPr>
        <w:t>“el derecho de toda persona a ser escuchado por quienes ejercen el poder público</w:t>
      </w:r>
      <w:proofErr w:type="gramStart"/>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vertAlign w:val="superscript"/>
        </w:rPr>
        <w:t xml:space="preserve"> </w:t>
      </w:r>
      <w:proofErr w:type="gramEnd"/>
      <w:r>
        <w:rPr>
          <w:color w:val="000000"/>
          <w:vertAlign w:val="superscript"/>
        </w:rPr>
        <w:footnoteReference w:id="2"/>
      </w:r>
      <w:r>
        <w:rPr>
          <w:rFonts w:ascii="Palatino Linotype" w:eastAsia="Palatino Linotype" w:hAnsi="Palatino Linotype" w:cs="Palatino Linotype"/>
          <w:i/>
          <w:color w:val="000000"/>
        </w:rPr>
        <w:t xml:space="preserve">” </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Para diferenciar el derecho de petición al derecho de acceso a la información, resulta conducente señalar que José Guadalupe Robles, conceptualiza el derecho a la información como </w:t>
      </w:r>
      <w:r>
        <w:rPr>
          <w:rFonts w:ascii="Palatino Linotype" w:eastAsia="Palatino Linotype" w:hAnsi="Palatino Linotype" w:cs="Palatino Linotype"/>
          <w:i/>
          <w:color w:val="000000"/>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Pr>
          <w:rFonts w:ascii="Palatino Linotype" w:eastAsia="Palatino Linotype" w:hAnsi="Palatino Linotype" w:cs="Palatino Linotype"/>
          <w:i/>
          <w:color w:val="000000"/>
          <w:vertAlign w:val="superscript"/>
        </w:rPr>
        <w:t xml:space="preserve"> </w:t>
      </w:r>
      <w:r>
        <w:rPr>
          <w:i/>
          <w:color w:val="000000"/>
          <w:vertAlign w:val="superscript"/>
        </w:rPr>
        <w:footnoteReference w:id="3"/>
      </w:r>
      <w:r>
        <w:rPr>
          <w:rFonts w:ascii="Palatino Linotype" w:eastAsia="Palatino Linotype" w:hAnsi="Palatino Linotype" w:cs="Palatino Linotype"/>
          <w:i/>
          <w:color w:val="000000"/>
        </w:rPr>
        <w:t>“</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Además, el derecho a la información constituye una prerrogativa de acceder a documentación en poder de los </w:t>
      </w:r>
      <w:r>
        <w:rPr>
          <w:rFonts w:ascii="Palatino Linotype" w:eastAsia="Palatino Linotype" w:hAnsi="Palatino Linotype" w:cs="Palatino Linotype"/>
          <w:color w:val="000000"/>
          <w:u w:val="single"/>
        </w:rPr>
        <w:t>Sujetos Obligados</w:t>
      </w:r>
      <w:r>
        <w:rPr>
          <w:rFonts w:ascii="Palatino Linotype" w:eastAsia="Palatino Linotype" w:hAnsi="Palatino Linotype" w:cs="Palatino Linotype"/>
          <w:color w:val="000000"/>
        </w:rPr>
        <w:t xml:space="preserve">, no así a realizar cuestionamientos, o manifestaciones subjetivas. </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Sirve de apoyo a lo anterior la definición de derecho a la información de Ernesto Villanueva </w:t>
      </w:r>
      <w:proofErr w:type="spellStart"/>
      <w:r>
        <w:rPr>
          <w:rFonts w:ascii="Palatino Linotype" w:eastAsia="Palatino Linotype" w:hAnsi="Palatino Linotype" w:cs="Palatino Linotype"/>
          <w:color w:val="000000"/>
        </w:rPr>
        <w:t>Villanueva</w:t>
      </w:r>
      <w:proofErr w:type="spellEnd"/>
      <w:r>
        <w:rPr>
          <w:rFonts w:ascii="Palatino Linotype" w:eastAsia="Palatino Linotype" w:hAnsi="Palatino Linotype" w:cs="Palatino Linotype"/>
          <w:color w:val="000000"/>
        </w:rPr>
        <w:t xml:space="preserve"> que dice: “</w:t>
      </w:r>
      <w:r>
        <w:rPr>
          <w:rFonts w:ascii="Palatino Linotype" w:eastAsia="Palatino Linotype" w:hAnsi="Palatino Linotype" w:cs="Palatino Linotype"/>
          <w:i/>
          <w:color w:val="000000"/>
        </w:rPr>
        <w:t xml:space="preserve">la prerrogativa de la persona para acceder a datos, registros y todo tipo de informaciones en poder de entidades públicas y empresas privadas que ejercen gasto </w:t>
      </w:r>
      <w:r>
        <w:rPr>
          <w:rFonts w:ascii="Palatino Linotype" w:eastAsia="Palatino Linotype" w:hAnsi="Palatino Linotype" w:cs="Palatino Linotype"/>
          <w:i/>
          <w:color w:val="000000"/>
        </w:rPr>
        <w:lastRenderedPageBreak/>
        <w:t xml:space="preserve">público o cumplen funciones de autoridad, con las excepciones taxativas que establezca la ley en una sociedad democrática.” </w:t>
      </w:r>
      <w:r>
        <w:rPr>
          <w:i/>
          <w:color w:val="000000"/>
          <w:vertAlign w:val="superscript"/>
        </w:rPr>
        <w:footnoteReference w:id="4"/>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Por lo que, </w:t>
      </w:r>
      <w:r>
        <w:rPr>
          <w:rFonts w:ascii="Palatino Linotype" w:eastAsia="Palatino Linotype" w:hAnsi="Palatino Linotype" w:cs="Palatino Linotype"/>
          <w:b/>
          <w:color w:val="000000"/>
        </w:rPr>
        <w:t>la entrega de una razón o un razonamiento por parte del Sujeto Obligado no es algo que la ley establezca como atribución, derecho, o facultad</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pues ello implicaría un juicio de valor referente a un cuestionamiento realizado</w:t>
      </w:r>
      <w:r>
        <w:rPr>
          <w:rFonts w:ascii="Palatino Linotype" w:eastAsia="Palatino Linotype" w:hAnsi="Palatino Linotype" w:cs="Palatino Linotype"/>
          <w:color w:val="000000"/>
        </w:rPr>
        <w:t>, los cuales, al constituir interrogantes, inquietudes y manifestaciones se satisfacen vía derecho de petición.</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w:t>
      </w:r>
      <w:r>
        <w:rPr>
          <w:rFonts w:ascii="Palatino Linotype" w:eastAsia="Palatino Linotype" w:hAnsi="Palatino Linotype" w:cs="Palatino Linotype"/>
          <w:color w:val="000000"/>
        </w:rPr>
        <w:lastRenderedPageBreak/>
        <w:t xml:space="preserve">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De manera que el derecho de acceso a la información pública se satisface en aquellos casos en que se entregue el soporte documental en que conste la información pública, toda vez que los Sujetos Obligados no tienen el deber de generar información, </w:t>
      </w:r>
      <w:r>
        <w:rPr>
          <w:rFonts w:ascii="Palatino Linotype" w:eastAsia="Palatino Linotype" w:hAnsi="Palatino Linotype" w:cs="Palatino Linotype"/>
        </w:rPr>
        <w:t>resumir</w:t>
      </w:r>
      <w:r>
        <w:rPr>
          <w:rFonts w:ascii="Palatino Linotype" w:eastAsia="Palatino Linotype" w:hAnsi="Palatino Linotype" w:cs="Palatino Linotype"/>
          <w:color w:val="000000"/>
        </w:rPr>
        <w:t xml:space="preserve">, practicar investigaciones o realizar cálculos para satisfacer el derecho de acceso a la información conforme al interés de los particulares. </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Pr="00C72ACF"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Así, se puede concluir que la distinción entre el derecho de petición y el derecho de acceso a la información pública estriba principalmente en que en el primero de ellos, la pretensión del peticionario consiste generalmente en </w:t>
      </w:r>
      <w:r>
        <w:rPr>
          <w:rFonts w:ascii="Palatino Linotype" w:eastAsia="Palatino Linotype" w:hAnsi="Palatino Linotype" w:cs="Palatino Linotype"/>
          <w:i/>
          <w:color w:val="000000"/>
        </w:rPr>
        <w:t>obligar a la autoridad responsable a que actúe en el sentido de contestar lo solicitado</w:t>
      </w:r>
      <w:r>
        <w:rPr>
          <w:rFonts w:ascii="Palatino Linotype" w:eastAsia="Palatino Linotype" w:hAnsi="Palatino Linotype" w:cs="Palatino Linotype"/>
          <w:color w:val="000000"/>
        </w:rPr>
        <w:t xml:space="preserve">, mientras que en el segundo supuesto la solicitud de acceso a la información pública </w:t>
      </w:r>
      <w:r>
        <w:rPr>
          <w:rFonts w:ascii="Palatino Linotype" w:eastAsia="Palatino Linotype" w:hAnsi="Palatino Linotype" w:cs="Palatino Linotype"/>
          <w:i/>
          <w:color w:val="000000"/>
        </w:rPr>
        <w:t xml:space="preserve">se encamina primordialmente a permitir el acceso a datos, </w:t>
      </w:r>
      <w:r>
        <w:rPr>
          <w:rFonts w:ascii="Palatino Linotype" w:eastAsia="Palatino Linotype" w:hAnsi="Palatino Linotype" w:cs="Palatino Linotype"/>
          <w:i/>
          <w:color w:val="000000"/>
        </w:rPr>
        <w:lastRenderedPageBreak/>
        <w:t>registros y todo tipo de información pública que conste en documentos, sea generada o se encuentre en posesión de la autoridad.</w:t>
      </w:r>
    </w:p>
    <w:p w:rsidR="00C72ACF" w:rsidRDefault="00C72ACF" w:rsidP="00C72ACF">
      <w:pPr>
        <w:pStyle w:val="Prrafodelista"/>
        <w:rPr>
          <w:color w:val="000000"/>
        </w:rPr>
      </w:pPr>
    </w:p>
    <w:p w:rsidR="00C72ACF" w:rsidRDefault="00C72ACF" w:rsidP="00C72ACF">
      <w:pPr>
        <w:pBdr>
          <w:top w:val="nil"/>
          <w:left w:val="nil"/>
          <w:bottom w:val="nil"/>
          <w:right w:val="nil"/>
          <w:between w:val="nil"/>
        </w:pBdr>
        <w:spacing w:line="360" w:lineRule="auto"/>
        <w:jc w:val="both"/>
        <w:rPr>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Asimismo, es importante enfatizar que el Derecho de Acceso a la Información Pública consiste en que la </w:t>
      </w:r>
      <w:r>
        <w:rPr>
          <w:rFonts w:ascii="Palatino Linotype" w:eastAsia="Palatino Linotype" w:hAnsi="Palatino Linotype" w:cs="Palatino Linotype"/>
          <w:b/>
          <w:color w:val="000000"/>
          <w:u w:val="single"/>
        </w:rPr>
        <w:t>información solicitada conste en un soporte documental</w:t>
      </w:r>
      <w:r>
        <w:rPr>
          <w:rFonts w:ascii="Palatino Linotype" w:eastAsia="Palatino Linotype" w:hAnsi="Palatino Linotype" w:cs="Palatino Linotype"/>
          <w:color w:val="000000"/>
        </w:rPr>
        <w:t xml:space="preserve"> en cualquiera de sus formas, a saber: expedientes, reportes, estudios, actas</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Es así que, el particular realmente ejerció un derecho de petición y no así, un derecho de acceso a la información pública.</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Por lo que, la entrega de una razón, razonamiento o realización de acciones por parte del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no es algo que la ley establezca como atribución, derecho, o facultad.</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Entonces, al tratarse de un derecho de petición estamos en presencia de una petición que amerita poner en funcionamiento al Sujeto Obligado para ejercer atribuciones que no le corresponden para atender la solicitud. Dicho acto corresponde a una consulta o trámite, actualizando lo dispuesto en el artículo 191 fracción VI de la Ley de Transparencia y Acceso a la Información Pública del Estado de México y Municipios, el cual dispone lo siguiente:</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191. El recurso será desechado por improcedente cuando:</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 Sea extemporáneo por haber transcurrido el plazo establecido en la presente Ley, a partir de la respuesta;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VI. Se trate de una consulta, o trámite en específico; y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001A21" w:rsidRDefault="00001A21">
      <w:pPr>
        <w:pBdr>
          <w:top w:val="nil"/>
          <w:left w:val="nil"/>
          <w:bottom w:val="nil"/>
          <w:right w:val="nil"/>
          <w:between w:val="nil"/>
        </w:pBdr>
        <w:tabs>
          <w:tab w:val="left" w:pos="567"/>
        </w:tabs>
        <w:spacing w:line="360" w:lineRule="auto"/>
        <w:jc w:val="both"/>
        <w:rPr>
          <w:color w:val="000000"/>
        </w:rPr>
      </w:pPr>
    </w:p>
    <w:p w:rsidR="00001A21" w:rsidRDefault="00EE6F97">
      <w:pPr>
        <w:numPr>
          <w:ilvl w:val="0"/>
          <w:numId w:val="3"/>
        </w:numPr>
        <w:pBdr>
          <w:top w:val="nil"/>
          <w:left w:val="nil"/>
          <w:bottom w:val="nil"/>
          <w:right w:val="nil"/>
          <w:between w:val="nil"/>
        </w:pBdr>
        <w:tabs>
          <w:tab w:val="left" w:pos="567"/>
        </w:tabs>
        <w:spacing w:line="360" w:lineRule="auto"/>
        <w:jc w:val="both"/>
        <w:rPr>
          <w:color w:val="000000"/>
        </w:rPr>
      </w:pPr>
      <w:r>
        <w:rPr>
          <w:rFonts w:ascii="Palatino Linotype" w:eastAsia="Palatino Linotype" w:hAnsi="Palatino Linotype" w:cs="Palatino Linotype"/>
          <w:color w:val="000000"/>
        </w:rPr>
        <w:t>La fracción VI del citado precepto legal, contempla la improcedencia del recurso de revisión cuando se trate de una consulta, lo cual se relaciona con la solicitud de acceso a la información pública.</w:t>
      </w:r>
    </w:p>
    <w:p w:rsidR="00001A21" w:rsidRDefault="00001A2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567"/>
        </w:tabs>
        <w:spacing w:line="360" w:lineRule="auto"/>
        <w:jc w:val="both"/>
        <w:rPr>
          <w:color w:val="000000"/>
        </w:rPr>
      </w:pPr>
      <w:r>
        <w:rPr>
          <w:rFonts w:ascii="Palatino Linotype" w:eastAsia="Palatino Linotype" w:hAnsi="Palatino Linotype" w:cs="Palatino Linotype"/>
          <w:color w:val="000000"/>
        </w:rPr>
        <w:t>Sin embargo, al haber sido admitido el recurso de revisión, aún y cuando actualiza una causal de improcedencia, es necesario traer a contexto el artículo 192 fracción IV, de la multicitada Ley de Transparencia:</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192. El recurso será sobreseído, en todo o en parte, cuando una vez admitido, se actualicen alguno de los siguientes supuestos:</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recurrente se desista expresamente del recurso;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recurrente fallezca o, tratándose de personas jurídicas colectivas, se disuelva;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rsidR="00001A21" w:rsidRDefault="00EE6F9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V. Cuando por cualquier motivo quede sin materia el recurso.</w:t>
      </w:r>
    </w:p>
    <w:p w:rsidR="00001A21" w:rsidRDefault="00EE6F97">
      <w:pPr>
        <w:numPr>
          <w:ilvl w:val="0"/>
          <w:numId w:val="3"/>
        </w:numPr>
        <w:pBdr>
          <w:top w:val="nil"/>
          <w:left w:val="nil"/>
          <w:bottom w:val="nil"/>
          <w:right w:val="nil"/>
          <w:between w:val="nil"/>
        </w:pBdr>
        <w:tabs>
          <w:tab w:val="left" w:pos="567"/>
        </w:tabs>
        <w:spacing w:line="360" w:lineRule="auto"/>
        <w:jc w:val="both"/>
        <w:rPr>
          <w:color w:val="000000"/>
        </w:rPr>
      </w:pPr>
      <w:r>
        <w:rPr>
          <w:rFonts w:ascii="Palatino Linotype" w:eastAsia="Palatino Linotype" w:hAnsi="Palatino Linotype" w:cs="Palatino Linotype"/>
          <w:color w:val="000000"/>
        </w:rPr>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rsidR="00001A21" w:rsidRDefault="00001A2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after="240" w:line="360" w:lineRule="auto"/>
        <w:jc w:val="both"/>
        <w:rPr>
          <w:color w:val="000000"/>
        </w:rPr>
      </w:pPr>
      <w:r>
        <w:rPr>
          <w:rFonts w:ascii="Palatino Linotype" w:eastAsia="Palatino Linotype" w:hAnsi="Palatino Linotype" w:cs="Palatino Linotype"/>
          <w:color w:val="000000"/>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rsidR="00001A21" w:rsidRDefault="00EE6F97">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001A21" w:rsidRDefault="00EE6F97">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SEPTIMO TRIBUNAL COLEGIADO EN MATERIA CIVIL DEL PRIMER CIRCUITO</w:t>
      </w:r>
    </w:p>
    <w:p w:rsidR="00001A21" w:rsidRDefault="00EE6F97">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Amparo directo 699/2008. Mariana Leticia González </w:t>
      </w:r>
      <w:proofErr w:type="spellStart"/>
      <w:r>
        <w:rPr>
          <w:rFonts w:ascii="Palatino Linotype" w:eastAsia="Palatino Linotype" w:hAnsi="Palatino Linotype" w:cs="Palatino Linotype"/>
          <w:i/>
          <w:sz w:val="22"/>
          <w:szCs w:val="22"/>
        </w:rPr>
        <w:t>Steele</w:t>
      </w:r>
      <w:proofErr w:type="spellEnd"/>
      <w:r>
        <w:rPr>
          <w:rFonts w:ascii="Palatino Linotype" w:eastAsia="Palatino Linotype" w:hAnsi="Palatino Linotype" w:cs="Palatino Linotype"/>
          <w:i/>
          <w:sz w:val="22"/>
          <w:szCs w:val="22"/>
        </w:rPr>
        <w:t>. 13 de noviembre de 2008. Unanimidad de votos. Ponente: Sara Judith Montalvo Trejo. Secretario: Arnulfo Mateos García.”</w:t>
      </w:r>
    </w:p>
    <w:p w:rsidR="00001A21" w:rsidRDefault="00001A2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567"/>
        </w:tabs>
        <w:spacing w:line="360" w:lineRule="auto"/>
        <w:jc w:val="both"/>
        <w:rPr>
          <w:color w:val="000000"/>
        </w:rPr>
      </w:pPr>
      <w:r>
        <w:rPr>
          <w:rFonts w:ascii="Palatino Linotype" w:eastAsia="Palatino Linotype" w:hAnsi="Palatino Linotype" w:cs="Palatino Linotype"/>
          <w:color w:val="000000"/>
        </w:rPr>
        <w:lastRenderedPageBreak/>
        <w:t>No obstante, a efecto de no vulnerar los derechos del particular, este Órgano Garante deja a salvo sus derechos para que, si así lo desea, presente una nueva solicitud de acceso a la información requiriendo información que sea de su interés.</w:t>
      </w:r>
    </w:p>
    <w:p w:rsidR="00001A21" w:rsidRDefault="00001A2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tabs>
          <w:tab w:val="left" w:pos="567"/>
        </w:tabs>
        <w:spacing w:line="360" w:lineRule="auto"/>
        <w:jc w:val="both"/>
        <w:rPr>
          <w:color w:val="000000"/>
        </w:rPr>
      </w:pPr>
      <w:r>
        <w:rPr>
          <w:rFonts w:ascii="Palatino Linotype" w:eastAsia="Palatino Linotype" w:hAnsi="Palatino Linotype" w:cs="Palatino Linotype"/>
          <w:color w:val="000000"/>
        </w:rPr>
        <w:t>Bajo esas consideraciones, se afirma que en el recurso de revisión sujeto a estudio se actualiza la hipótesis jurídica citada, toda vez que quedó probado la solicitud de acceso a la información que promovió el particular corresponde al ejercicio de un derecho de petición y no al derecho de acceso a la información pública, existiendo una imposibilidad del Sujeto Obligado de atender el cuestionamiento realizado.</w:t>
      </w:r>
    </w:p>
    <w:p w:rsidR="00001A21" w:rsidRDefault="00001A21">
      <w:pPr>
        <w:pBdr>
          <w:top w:val="nil"/>
          <w:left w:val="nil"/>
          <w:bottom w:val="nil"/>
          <w:right w:val="nil"/>
          <w:between w:val="nil"/>
        </w:pBdr>
        <w:ind w:left="720"/>
        <w:rPr>
          <w:rFonts w:ascii="Palatino Linotype" w:eastAsia="Palatino Linotype" w:hAnsi="Palatino Linotype" w:cs="Palatino Linotype"/>
          <w:color w:val="000000"/>
        </w:rPr>
      </w:pPr>
    </w:p>
    <w:p w:rsidR="00001A21" w:rsidRDefault="00EE6F97">
      <w:pPr>
        <w:numPr>
          <w:ilvl w:val="0"/>
          <w:numId w:val="3"/>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rsidR="00001A21" w:rsidRDefault="00EE6F97">
      <w:pPr>
        <w:pStyle w:val="Ttulo1"/>
        <w:spacing w:line="360" w:lineRule="auto"/>
        <w:jc w:val="center"/>
        <w:rPr>
          <w:b/>
          <w:color w:val="000000"/>
        </w:rPr>
      </w:pPr>
      <w:bookmarkStart w:id="8" w:name="_heading=h.1t3h5sf" w:colFirst="0" w:colLast="0"/>
      <w:bookmarkEnd w:id="8"/>
      <w:r>
        <w:rPr>
          <w:b/>
        </w:rPr>
        <w:t>R</w:t>
      </w:r>
      <w:r>
        <w:rPr>
          <w:b/>
          <w:color w:val="000000"/>
        </w:rPr>
        <w:t xml:space="preserve"> E S O L U T I V O S</w:t>
      </w:r>
    </w:p>
    <w:p w:rsidR="00001A21" w:rsidRDefault="00001A21"/>
    <w:p w:rsidR="00001A21" w:rsidRDefault="00EE6F97">
      <w:pPr>
        <w:widowControl w:val="0"/>
        <w:pBdr>
          <w:top w:val="nil"/>
          <w:left w:val="nil"/>
          <w:bottom w:val="nil"/>
          <w:right w:val="nil"/>
          <w:between w:val="nil"/>
        </w:pBdr>
        <w:tabs>
          <w:tab w:val="left" w:pos="1701"/>
        </w:tabs>
        <w:spacing w:before="120" w:line="360" w:lineRule="auto"/>
        <w:jc w:val="both"/>
        <w:rPr>
          <w:rFonts w:ascii="Palatino Linotype" w:eastAsia="Palatino Linotype" w:hAnsi="Palatino Linotype" w:cs="Palatino Linotype"/>
          <w:color w:val="000000"/>
        </w:rPr>
      </w:pPr>
      <w:bookmarkStart w:id="9" w:name="_heading=h.4d34og8" w:colFirst="0" w:colLast="0"/>
      <w:bookmarkEnd w:id="9"/>
      <w:r>
        <w:rPr>
          <w:rFonts w:ascii="Palatino Linotype" w:eastAsia="Palatino Linotype" w:hAnsi="Palatino Linotype" w:cs="Palatino Linotype"/>
          <w:b/>
          <w:color w:val="000000"/>
        </w:rPr>
        <w:t xml:space="preserve">PRIMERO.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SOBRESEE</w:t>
      </w:r>
      <w:r>
        <w:rPr>
          <w:rFonts w:ascii="Palatino Linotype" w:eastAsia="Palatino Linotype" w:hAnsi="Palatino Linotype" w:cs="Palatino Linotype"/>
          <w:color w:val="000000"/>
        </w:rPr>
        <w:t xml:space="preserve"> el recurso de revisión número </w:t>
      </w:r>
      <w:r>
        <w:rPr>
          <w:rFonts w:ascii="Palatino Linotype" w:eastAsia="Palatino Linotype" w:hAnsi="Palatino Linotype" w:cs="Palatino Linotype"/>
          <w:b/>
          <w:color w:val="000000"/>
        </w:rPr>
        <w:t xml:space="preserve">02703/INFOEM/IP/RR/2024, </w:t>
      </w:r>
      <w:r>
        <w:rPr>
          <w:rFonts w:ascii="Palatino Linotype" w:eastAsia="Palatino Linotype" w:hAnsi="Palatino Linotype" w:cs="Palatino Linotype"/>
          <w:color w:val="000000"/>
        </w:rPr>
        <w:t xml:space="preserve">conforme al artículo 192 fracción IV, en relación con el artículo 191, fracción VI, de la Ley de Transparencia y Acceso a la Información Pública del Estado de México y Municipios, en términos del Considerando </w:t>
      </w: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de la presente resolución.</w:t>
      </w:r>
    </w:p>
    <w:p w:rsidR="00001A21" w:rsidRDefault="00EE6F97">
      <w:pPr>
        <w:spacing w:before="240" w:after="360" w:line="360" w:lineRule="auto"/>
        <w:jc w:val="both"/>
        <w:rPr>
          <w:rFonts w:ascii="Palatino Linotype" w:eastAsia="Palatino Linotype" w:hAnsi="Palatino Linotype" w:cs="Palatino Linotype"/>
          <w:b/>
          <w:color w:val="000000"/>
        </w:rPr>
      </w:pPr>
      <w:bookmarkStart w:id="10" w:name="_heading=h.2s8eyo1" w:colFirst="0" w:colLast="0"/>
      <w:bookmarkEnd w:id="10"/>
      <w:r>
        <w:rPr>
          <w:rFonts w:ascii="Palatino Linotype" w:eastAsia="Palatino Linotype" w:hAnsi="Palatino Linotype" w:cs="Palatino Linotype"/>
          <w:b/>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highlight w:val="white"/>
        </w:rPr>
        <w:t xml:space="preserve">Remítase </w:t>
      </w:r>
      <w:r>
        <w:rPr>
          <w:rFonts w:ascii="Palatino Linotype" w:eastAsia="Palatino Linotype" w:hAnsi="Palatino Linotype" w:cs="Palatino Linotype"/>
          <w:color w:val="000000"/>
          <w:highlight w:val="white"/>
        </w:rPr>
        <w:t>al Titular de la Unidad de Transparencia del</w:t>
      </w:r>
      <w:r>
        <w:rPr>
          <w:rFonts w:ascii="Palatino Linotype" w:eastAsia="Palatino Linotype" w:hAnsi="Palatino Linotype" w:cs="Palatino Linotype"/>
          <w:b/>
          <w:color w:val="000000"/>
          <w:highlight w:val="white"/>
        </w:rPr>
        <w:t xml:space="preserve"> SUJETO OBLIGADO</w:t>
      </w:r>
      <w:r>
        <w:rPr>
          <w:rFonts w:ascii="Palatino Linotype" w:eastAsia="Palatino Linotype" w:hAnsi="Palatino Linotype" w:cs="Palatino Linotype"/>
          <w:color w:val="000000"/>
          <w:highlight w:val="white"/>
        </w:rPr>
        <w:t xml:space="preserve"> vía Sistema de Acceso a Información Mexiquense, SAIMEX, la presente resolución. </w:t>
      </w:r>
    </w:p>
    <w:p w:rsidR="00001A21" w:rsidRDefault="00EE6F9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rPr>
        <w:t>Notifíquese a</w:t>
      </w:r>
      <w:r>
        <w:rPr>
          <w:rFonts w:ascii="Palatino Linotype" w:eastAsia="Palatino Linotype" w:hAnsi="Palatino Linotype" w:cs="Palatino Linotype"/>
          <w:b/>
        </w:rPr>
        <w:t xml:space="preserve">l RECURRENTE </w:t>
      </w:r>
      <w:r>
        <w:rPr>
          <w:rFonts w:ascii="Palatino Linotype" w:eastAsia="Palatino Linotype" w:hAnsi="Palatino Linotype" w:cs="Palatino Linotype"/>
        </w:rPr>
        <w:t>la presente resolución vía SAIMEX.</w:t>
      </w:r>
    </w:p>
    <w:p w:rsidR="00001A21" w:rsidRDefault="00001A21">
      <w:pPr>
        <w:spacing w:line="360" w:lineRule="auto"/>
        <w:jc w:val="both"/>
        <w:rPr>
          <w:rFonts w:ascii="Palatino Linotype" w:eastAsia="Palatino Linotype" w:hAnsi="Palatino Linotype" w:cs="Palatino Linotype"/>
        </w:rPr>
      </w:pPr>
    </w:p>
    <w:p w:rsidR="00001A21" w:rsidRDefault="00EE6F9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CUARTO.</w:t>
      </w:r>
      <w:r>
        <w:rPr>
          <w:rFonts w:ascii="Palatino Linotype" w:eastAsia="Palatino Linotype" w:hAnsi="Palatino Linotype" w:cs="Palatino Linotype"/>
        </w:rPr>
        <w:t xml:space="preserve"> Se hace del conocimiento del RECURRENTE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D95EAC" w:rsidRPr="003C7186" w:rsidRDefault="00D95EAC" w:rsidP="00D95EAC">
      <w:pPr>
        <w:spacing w:line="360" w:lineRule="auto"/>
        <w:ind w:firstLine="1"/>
        <w:jc w:val="both"/>
        <w:rPr>
          <w:rFonts w:ascii="Palatino Linotype" w:hAnsi="Palatino Linotype"/>
        </w:rPr>
      </w:pPr>
      <w:bookmarkStart w:id="11" w:name="_heading=h.x34xeya4yfg9" w:colFirst="0" w:colLast="0"/>
      <w:bookmarkEnd w:id="11"/>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rsidR="00001A21" w:rsidRDefault="00001A21">
      <w:pPr>
        <w:spacing w:before="240" w:after="240" w:line="360" w:lineRule="auto"/>
        <w:jc w:val="both"/>
        <w:rPr>
          <w:rFonts w:ascii="Palatino Linotype" w:eastAsia="Palatino Linotype" w:hAnsi="Palatino Linotype" w:cs="Palatino Linotype"/>
        </w:rPr>
      </w:pPr>
    </w:p>
    <w:p w:rsidR="00001A21" w:rsidRDefault="00001A21">
      <w:pPr>
        <w:spacing w:before="240" w:after="240" w:line="360" w:lineRule="auto"/>
        <w:jc w:val="both"/>
        <w:rPr>
          <w:rFonts w:ascii="Palatino Linotype" w:eastAsia="Palatino Linotype" w:hAnsi="Palatino Linotype" w:cs="Palatino Linotype"/>
        </w:rPr>
      </w:pPr>
      <w:bookmarkStart w:id="12" w:name="_heading=h.9ias5ai4s98p" w:colFirst="0" w:colLast="0"/>
      <w:bookmarkEnd w:id="12"/>
    </w:p>
    <w:p w:rsidR="00001A21" w:rsidRDefault="00001A21">
      <w:pPr>
        <w:spacing w:before="240" w:after="240" w:line="360" w:lineRule="auto"/>
        <w:jc w:val="both"/>
        <w:rPr>
          <w:rFonts w:ascii="Palatino Linotype" w:eastAsia="Palatino Linotype" w:hAnsi="Palatino Linotype" w:cs="Palatino Linotype"/>
        </w:rPr>
      </w:pPr>
      <w:bookmarkStart w:id="13" w:name="_heading=h.fdu2t1nzes2m" w:colFirst="0" w:colLast="0"/>
      <w:bookmarkEnd w:id="13"/>
    </w:p>
    <w:p w:rsidR="00001A21" w:rsidRDefault="00001A21">
      <w:pPr>
        <w:spacing w:before="240" w:after="240" w:line="360" w:lineRule="auto"/>
        <w:jc w:val="both"/>
        <w:rPr>
          <w:rFonts w:ascii="Palatino Linotype" w:eastAsia="Palatino Linotype" w:hAnsi="Palatino Linotype" w:cs="Palatino Linotype"/>
        </w:rPr>
      </w:pPr>
      <w:bookmarkStart w:id="14" w:name="_heading=h.fklid5dt5yq6" w:colFirst="0" w:colLast="0"/>
      <w:bookmarkEnd w:id="14"/>
    </w:p>
    <w:p w:rsidR="00001A21" w:rsidRDefault="00001A21">
      <w:pPr>
        <w:spacing w:before="240" w:after="240" w:line="360" w:lineRule="auto"/>
        <w:jc w:val="both"/>
        <w:rPr>
          <w:rFonts w:ascii="Palatino Linotype" w:eastAsia="Palatino Linotype" w:hAnsi="Palatino Linotype" w:cs="Palatino Linotype"/>
        </w:rPr>
      </w:pPr>
      <w:bookmarkStart w:id="15" w:name="_heading=h.c50bx5cmxdv5" w:colFirst="0" w:colLast="0"/>
      <w:bookmarkEnd w:id="15"/>
    </w:p>
    <w:p w:rsidR="00001A21" w:rsidRDefault="00001A21">
      <w:pPr>
        <w:spacing w:before="240" w:after="240" w:line="360" w:lineRule="auto"/>
        <w:jc w:val="both"/>
        <w:rPr>
          <w:rFonts w:ascii="Palatino Linotype" w:eastAsia="Palatino Linotype" w:hAnsi="Palatino Linotype" w:cs="Palatino Linotype"/>
        </w:rPr>
      </w:pPr>
      <w:bookmarkStart w:id="16" w:name="_heading=h.atfn8cg9i3dy" w:colFirst="0" w:colLast="0"/>
      <w:bookmarkEnd w:id="16"/>
    </w:p>
    <w:p w:rsidR="00001A21" w:rsidRDefault="00001A21">
      <w:pPr>
        <w:spacing w:before="240" w:after="240" w:line="360" w:lineRule="auto"/>
        <w:jc w:val="both"/>
        <w:rPr>
          <w:rFonts w:ascii="Palatino Linotype" w:eastAsia="Palatino Linotype" w:hAnsi="Palatino Linotype" w:cs="Palatino Linotype"/>
        </w:rPr>
      </w:pPr>
      <w:bookmarkStart w:id="17" w:name="_heading=h.djb2sqpm7xrf" w:colFirst="0" w:colLast="0"/>
      <w:bookmarkEnd w:id="17"/>
    </w:p>
    <w:p w:rsidR="00001A21" w:rsidRDefault="00001A21">
      <w:pPr>
        <w:rPr>
          <w:rFonts w:ascii="Palatino Linotype" w:eastAsia="Palatino Linotype" w:hAnsi="Palatino Linotype" w:cs="Palatino Linotype"/>
          <w:color w:val="000000"/>
        </w:rPr>
      </w:pPr>
      <w:bookmarkStart w:id="18" w:name="_heading=h.17dp8vu" w:colFirst="0" w:colLast="0"/>
      <w:bookmarkEnd w:id="18"/>
    </w:p>
    <w:sectPr w:rsidR="00001A21" w:rsidSect="00C72ACF">
      <w:headerReference w:type="default" r:id="rId10"/>
      <w:footerReference w:type="default" r:id="rId11"/>
      <w:headerReference w:type="first" r:id="rId12"/>
      <w:footerReference w:type="first" r:id="rId13"/>
      <w:pgSz w:w="12240" w:h="15840"/>
      <w:pgMar w:top="2268" w:right="104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784" w:rsidRDefault="003A3784">
      <w:r>
        <w:separator/>
      </w:r>
    </w:p>
  </w:endnote>
  <w:endnote w:type="continuationSeparator" w:id="0">
    <w:p w:rsidR="003A3784" w:rsidRDefault="003A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21" w:rsidRDefault="00EE6F9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3267C9">
      <w:rPr>
        <w:rFonts w:ascii="Palatino Linotype" w:eastAsia="Palatino Linotype" w:hAnsi="Palatino Linotype" w:cs="Palatino Linotype"/>
        <w:b/>
        <w:noProof/>
        <w:color w:val="000000"/>
        <w:sz w:val="22"/>
        <w:szCs w:val="22"/>
      </w:rPr>
      <w:t>15</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267C9">
      <w:rPr>
        <w:rFonts w:ascii="Palatino Linotype" w:eastAsia="Palatino Linotype" w:hAnsi="Palatino Linotype" w:cs="Palatino Linotype"/>
        <w:b/>
        <w:noProof/>
        <w:color w:val="000000"/>
        <w:sz w:val="22"/>
        <w:szCs w:val="22"/>
      </w:rPr>
      <w:t>16</w:t>
    </w:r>
    <w:r>
      <w:rPr>
        <w:rFonts w:ascii="Palatino Linotype" w:eastAsia="Palatino Linotype" w:hAnsi="Palatino Linotype" w:cs="Palatino Linotype"/>
        <w:b/>
        <w:color w:val="000000"/>
        <w:sz w:val="22"/>
        <w:szCs w:val="22"/>
      </w:rPr>
      <w:fldChar w:fldCharType="end"/>
    </w:r>
  </w:p>
  <w:p w:rsidR="00001A21" w:rsidRDefault="00001A2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21" w:rsidRDefault="00EE6F9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267C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267C9">
      <w:rPr>
        <w:rFonts w:ascii="Palatino Linotype" w:eastAsia="Palatino Linotype" w:hAnsi="Palatino Linotype" w:cs="Palatino Linotype"/>
        <w:noProof/>
        <w:color w:val="000000"/>
        <w:sz w:val="22"/>
        <w:szCs w:val="22"/>
      </w:rPr>
      <w:t>16</w:t>
    </w:r>
    <w:r>
      <w:rPr>
        <w:rFonts w:ascii="Palatino Linotype" w:eastAsia="Palatino Linotype" w:hAnsi="Palatino Linotype" w:cs="Palatino Linotype"/>
        <w:color w:val="000000"/>
        <w:sz w:val="22"/>
        <w:szCs w:val="22"/>
      </w:rPr>
      <w:fldChar w:fldCharType="end"/>
    </w:r>
  </w:p>
  <w:p w:rsidR="00001A21" w:rsidRDefault="00001A21">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784" w:rsidRDefault="003A3784">
      <w:r>
        <w:separator/>
      </w:r>
    </w:p>
  </w:footnote>
  <w:footnote w:type="continuationSeparator" w:id="0">
    <w:p w:rsidR="003A3784" w:rsidRDefault="003A3784">
      <w:r>
        <w:continuationSeparator/>
      </w:r>
    </w:p>
  </w:footnote>
  <w:footnote w:id="1">
    <w:p w:rsidR="00001A21" w:rsidRDefault="00EE6F97">
      <w:pPr>
        <w:jc w:val="both"/>
        <w:rPr>
          <w:rFonts w:ascii="Palatino Linotype" w:eastAsia="Palatino Linotype" w:hAnsi="Palatino Linotype" w:cs="Palatino Linotype"/>
          <w:sz w:val="14"/>
          <w:szCs w:val="14"/>
        </w:rPr>
      </w:pPr>
      <w:r>
        <w:rPr>
          <w:vertAlign w:val="superscript"/>
        </w:rPr>
        <w:footnoteRef/>
      </w:r>
      <w:r>
        <w:rPr>
          <w:rFonts w:ascii="Palatino Linotype" w:eastAsia="Palatino Linotype" w:hAnsi="Palatino Linotype" w:cs="Palatino Linotype"/>
          <w:sz w:val="14"/>
          <w:szCs w:val="14"/>
        </w:rPr>
        <w:t xml:space="preserve"> BURGOA ORIHUELA Ignacio. </w:t>
      </w:r>
      <w:r>
        <w:rPr>
          <w:rFonts w:ascii="Palatino Linotype" w:eastAsia="Palatino Linotype" w:hAnsi="Palatino Linotype" w:cs="Palatino Linotype"/>
          <w:i/>
          <w:sz w:val="14"/>
          <w:szCs w:val="14"/>
        </w:rPr>
        <w:t>Diccionario De Derecho Constitucional, Garantías y Amparo</w:t>
      </w:r>
      <w:r>
        <w:rPr>
          <w:rFonts w:ascii="Palatino Linotype" w:eastAsia="Palatino Linotype" w:hAnsi="Palatino Linotype" w:cs="Palatino Linotype"/>
          <w:sz w:val="14"/>
          <w:szCs w:val="14"/>
        </w:rPr>
        <w:t>. Ed. Porrúa, S.A., México. 1992. p. 115.</w:t>
      </w:r>
    </w:p>
  </w:footnote>
  <w:footnote w:id="2">
    <w:p w:rsidR="00001A21" w:rsidRDefault="00EE6F97">
      <w:pPr>
        <w:pBdr>
          <w:top w:val="nil"/>
          <w:left w:val="nil"/>
          <w:bottom w:val="nil"/>
          <w:right w:val="nil"/>
          <w:between w:val="nil"/>
        </w:pBdr>
        <w:jc w:val="both"/>
        <w:rPr>
          <w:rFonts w:ascii="Palatino Linotype" w:eastAsia="Palatino Linotype" w:hAnsi="Palatino Linotype" w:cs="Palatino Linotype"/>
          <w:i/>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CIENFUEGOS SALGADO David. </w:t>
      </w:r>
      <w:r>
        <w:rPr>
          <w:rFonts w:ascii="Palatino Linotype" w:eastAsia="Palatino Linotype" w:hAnsi="Palatino Linotype" w:cs="Palatino Linotype"/>
          <w:i/>
          <w:color w:val="000000"/>
          <w:sz w:val="14"/>
          <w:szCs w:val="14"/>
        </w:rPr>
        <w:t xml:space="preserve">El Derecho de Petición en México. </w:t>
      </w:r>
      <w:r>
        <w:rPr>
          <w:rFonts w:ascii="Palatino Linotype" w:eastAsia="Palatino Linotype" w:hAnsi="Palatino Linotype" w:cs="Palatino Linotype"/>
          <w:color w:val="000000"/>
          <w:sz w:val="14"/>
          <w:szCs w:val="14"/>
        </w:rPr>
        <w:t>Ed. Instituto de Investigaciones Jurídica UNAM. México 2004. p. 31</w:t>
      </w:r>
    </w:p>
  </w:footnote>
  <w:footnote w:id="3">
    <w:p w:rsidR="00001A21" w:rsidRDefault="00EE6F97">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ROBLES HERNÁNDEZ José Guadalupe. </w:t>
      </w:r>
      <w:r>
        <w:rPr>
          <w:rFonts w:ascii="Palatino Linotype" w:eastAsia="Palatino Linotype" w:hAnsi="Palatino Linotype" w:cs="Palatino Linotype"/>
          <w:i/>
          <w:color w:val="000000"/>
          <w:sz w:val="14"/>
          <w:szCs w:val="14"/>
        </w:rPr>
        <w:t xml:space="preserve">Derecho de la Información y Comunicación Pública. </w:t>
      </w:r>
      <w:r>
        <w:rPr>
          <w:rFonts w:ascii="Palatino Linotype" w:eastAsia="Palatino Linotype" w:hAnsi="Palatino Linotype" w:cs="Palatino Linotype"/>
          <w:color w:val="000000"/>
          <w:sz w:val="14"/>
          <w:szCs w:val="14"/>
        </w:rPr>
        <w:t>Ed. Universidad de Occidente. México. 2004, p. 72.</w:t>
      </w:r>
    </w:p>
  </w:footnote>
  <w:footnote w:id="4">
    <w:p w:rsidR="00001A21" w:rsidRDefault="00EE6F97">
      <w:pPr>
        <w:jc w:val="both"/>
        <w:rPr>
          <w:rFonts w:ascii="Palatino Linotype" w:eastAsia="Palatino Linotype" w:hAnsi="Palatino Linotype" w:cs="Palatino Linotype"/>
          <w:sz w:val="14"/>
          <w:szCs w:val="14"/>
        </w:rPr>
      </w:pPr>
      <w:r>
        <w:rPr>
          <w:vertAlign w:val="superscript"/>
        </w:rPr>
        <w:footnoteRef/>
      </w:r>
      <w:r>
        <w:rPr>
          <w:rFonts w:ascii="Palatino Linotype" w:eastAsia="Palatino Linotype" w:hAnsi="Palatino Linotype" w:cs="Palatino Linotype"/>
          <w:sz w:val="14"/>
          <w:szCs w:val="14"/>
        </w:rPr>
        <w:t xml:space="preserve"> VILLANUEVA </w:t>
      </w:r>
      <w:proofErr w:type="spellStart"/>
      <w:r>
        <w:rPr>
          <w:rFonts w:ascii="Palatino Linotype" w:eastAsia="Palatino Linotype" w:hAnsi="Palatino Linotype" w:cs="Palatino Linotype"/>
          <w:sz w:val="14"/>
          <w:szCs w:val="14"/>
        </w:rPr>
        <w:t>VILLANUEVA</w:t>
      </w:r>
      <w:proofErr w:type="spellEnd"/>
      <w:r>
        <w:rPr>
          <w:rFonts w:ascii="Palatino Linotype" w:eastAsia="Palatino Linotype" w:hAnsi="Palatino Linotype" w:cs="Palatino Linotype"/>
          <w:sz w:val="14"/>
          <w:szCs w:val="14"/>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7650" w:type="dxa"/>
      <w:tblInd w:w="2510" w:type="dxa"/>
      <w:tblBorders>
        <w:top w:val="nil"/>
        <w:left w:val="nil"/>
        <w:bottom w:val="nil"/>
        <w:right w:val="nil"/>
        <w:insideH w:val="nil"/>
        <w:insideV w:val="nil"/>
      </w:tblBorders>
      <w:tblLayout w:type="fixed"/>
      <w:tblLook w:val="0400" w:firstRow="0" w:lastRow="0" w:firstColumn="0" w:lastColumn="0" w:noHBand="0" w:noVBand="1"/>
    </w:tblPr>
    <w:tblGrid>
      <w:gridCol w:w="3255"/>
      <w:gridCol w:w="4395"/>
    </w:tblGrid>
    <w:tr w:rsidR="00001A21" w:rsidTr="00C72ACF">
      <w:trPr>
        <w:trHeight w:val="138"/>
      </w:trPr>
      <w:tc>
        <w:tcPr>
          <w:tcW w:w="3255" w:type="dxa"/>
          <w:vAlign w:val="center"/>
        </w:tcPr>
        <w:p w:rsidR="00001A21" w:rsidRDefault="00EE6F97">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395" w:type="dxa"/>
          <w:vAlign w:val="center"/>
        </w:tcPr>
        <w:p w:rsidR="00001A21" w:rsidRDefault="00EE6F97">
          <w:pPr>
            <w:pBdr>
              <w:top w:val="nil"/>
              <w:left w:val="nil"/>
              <w:bottom w:val="nil"/>
              <w:right w:val="nil"/>
              <w:between w:val="nil"/>
            </w:pBdr>
            <w:tabs>
              <w:tab w:val="center" w:pos="4252"/>
            </w:tabs>
            <w:ind w:right="-913"/>
            <w:jc w:val="both"/>
            <w:rPr>
              <w:rFonts w:ascii="Palatino Linotype" w:eastAsia="Palatino Linotype" w:hAnsi="Palatino Linotype" w:cs="Palatino Linotype"/>
            </w:rPr>
          </w:pPr>
          <w:r>
            <w:rPr>
              <w:rFonts w:ascii="Palatino Linotype" w:eastAsia="Palatino Linotype" w:hAnsi="Palatino Linotype" w:cs="Palatino Linotype"/>
              <w:sz w:val="24"/>
              <w:szCs w:val="24"/>
            </w:rPr>
            <w:t>02703/INFOEM/IP/RR/2024</w:t>
          </w:r>
        </w:p>
      </w:tc>
    </w:tr>
    <w:tr w:rsidR="00001A21" w:rsidTr="00C72ACF">
      <w:trPr>
        <w:trHeight w:val="233"/>
      </w:trPr>
      <w:tc>
        <w:tcPr>
          <w:tcW w:w="3255" w:type="dxa"/>
          <w:vAlign w:val="center"/>
        </w:tcPr>
        <w:p w:rsidR="00001A21" w:rsidRDefault="00EE6F97">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395" w:type="dxa"/>
          <w:vAlign w:val="center"/>
        </w:tcPr>
        <w:p w:rsidR="00001A21" w:rsidRDefault="00EE6F97">
          <w:pPr>
            <w:pBdr>
              <w:top w:val="nil"/>
              <w:left w:val="nil"/>
              <w:bottom w:val="nil"/>
              <w:right w:val="nil"/>
              <w:between w:val="nil"/>
            </w:pBdr>
            <w:tabs>
              <w:tab w:val="center" w:pos="4252"/>
            </w:tabs>
            <w:ind w:right="-913"/>
            <w:jc w:val="both"/>
            <w:rPr>
              <w:rFonts w:ascii="Palatino Linotype" w:eastAsia="Palatino Linotype" w:hAnsi="Palatino Linotype" w:cs="Palatino Linotype"/>
            </w:rPr>
          </w:pPr>
          <w:r>
            <w:rPr>
              <w:rFonts w:ascii="Palatino Linotype" w:eastAsia="Palatino Linotype" w:hAnsi="Palatino Linotype" w:cs="Palatino Linotype"/>
            </w:rPr>
            <w:t>Instituto Hacendario del Estado de México</w:t>
          </w:r>
        </w:p>
      </w:tc>
    </w:tr>
    <w:tr w:rsidR="00001A21" w:rsidTr="00C72ACF">
      <w:trPr>
        <w:trHeight w:val="321"/>
      </w:trPr>
      <w:tc>
        <w:tcPr>
          <w:tcW w:w="3255" w:type="dxa"/>
          <w:vAlign w:val="center"/>
        </w:tcPr>
        <w:p w:rsidR="00001A21" w:rsidRDefault="00EE6F97">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395" w:type="dxa"/>
          <w:vAlign w:val="center"/>
        </w:tcPr>
        <w:p w:rsidR="00001A21" w:rsidRDefault="00EE6F97">
          <w:pPr>
            <w:pBdr>
              <w:top w:val="nil"/>
              <w:left w:val="nil"/>
              <w:bottom w:val="nil"/>
              <w:right w:val="nil"/>
              <w:between w:val="nil"/>
            </w:pBdr>
            <w:tabs>
              <w:tab w:val="center" w:pos="4252"/>
            </w:tabs>
            <w:ind w:right="-91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001A21" w:rsidRDefault="00EE6F97">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simplePos x="0" y="0"/>
          <wp:positionH relativeFrom="page">
            <wp:align>left</wp:align>
          </wp:positionH>
          <wp:positionV relativeFrom="page">
            <wp:align>bottom</wp:align>
          </wp:positionV>
          <wp:extent cx="7695210" cy="10020839"/>
          <wp:effectExtent l="0" t="0" r="127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7755" w:type="dxa"/>
      <w:tblInd w:w="2442" w:type="dxa"/>
      <w:tblBorders>
        <w:top w:val="nil"/>
        <w:left w:val="nil"/>
        <w:bottom w:val="nil"/>
        <w:right w:val="nil"/>
        <w:insideH w:val="nil"/>
        <w:insideV w:val="nil"/>
      </w:tblBorders>
      <w:tblLayout w:type="fixed"/>
      <w:tblLook w:val="0400" w:firstRow="0" w:lastRow="0" w:firstColumn="0" w:lastColumn="0" w:noHBand="0" w:noVBand="1"/>
    </w:tblPr>
    <w:tblGrid>
      <w:gridCol w:w="3255"/>
      <w:gridCol w:w="4500"/>
    </w:tblGrid>
    <w:tr w:rsidR="00001A21" w:rsidRPr="00C72ACF" w:rsidTr="00C72ACF">
      <w:trPr>
        <w:trHeight w:val="138"/>
      </w:trPr>
      <w:tc>
        <w:tcPr>
          <w:tcW w:w="3255" w:type="dxa"/>
          <w:vAlign w:val="center"/>
        </w:tcPr>
        <w:p w:rsidR="00001A21" w:rsidRPr="00C72ACF" w:rsidRDefault="00EE6F97">
          <w:pPr>
            <w:jc w:val="right"/>
            <w:rPr>
              <w:rFonts w:ascii="Palatino Linotype" w:eastAsia="Palatino Linotype" w:hAnsi="Palatino Linotype" w:cs="Palatino Linotype"/>
              <w:b/>
            </w:rPr>
          </w:pPr>
          <w:r w:rsidRPr="00C72ACF">
            <w:rPr>
              <w:rFonts w:ascii="Palatino Linotype" w:eastAsia="Palatino Linotype" w:hAnsi="Palatino Linotype" w:cs="Palatino Linotype"/>
              <w:b/>
            </w:rPr>
            <w:t>RECURSO DE REVISIÓN:</w:t>
          </w:r>
        </w:p>
      </w:tc>
      <w:tc>
        <w:tcPr>
          <w:tcW w:w="4500" w:type="dxa"/>
          <w:vAlign w:val="center"/>
        </w:tcPr>
        <w:p w:rsidR="00001A21" w:rsidRPr="00C72ACF" w:rsidRDefault="00EE6F97">
          <w:pPr>
            <w:pBdr>
              <w:top w:val="nil"/>
              <w:left w:val="nil"/>
              <w:bottom w:val="nil"/>
              <w:right w:val="nil"/>
              <w:between w:val="nil"/>
            </w:pBdr>
            <w:tabs>
              <w:tab w:val="center" w:pos="4524"/>
              <w:tab w:val="right" w:pos="8504"/>
            </w:tabs>
            <w:ind w:right="-635"/>
            <w:rPr>
              <w:rFonts w:ascii="Palatino Linotype" w:eastAsia="Palatino Linotype" w:hAnsi="Palatino Linotype" w:cs="Palatino Linotype"/>
            </w:rPr>
          </w:pPr>
          <w:r w:rsidRPr="00C72ACF">
            <w:rPr>
              <w:rFonts w:ascii="Palatino Linotype" w:eastAsia="Palatino Linotype" w:hAnsi="Palatino Linotype" w:cs="Palatino Linotype"/>
            </w:rPr>
            <w:t>02703/INFOEM/IP/RR/2024</w:t>
          </w:r>
        </w:p>
      </w:tc>
    </w:tr>
    <w:tr w:rsidR="00001A21" w:rsidRPr="00C72ACF" w:rsidTr="00C72ACF">
      <w:trPr>
        <w:trHeight w:val="233"/>
      </w:trPr>
      <w:tc>
        <w:tcPr>
          <w:tcW w:w="3255" w:type="dxa"/>
          <w:vAlign w:val="center"/>
        </w:tcPr>
        <w:p w:rsidR="00001A21" w:rsidRPr="00C72ACF" w:rsidRDefault="00EE6F97">
          <w:pPr>
            <w:jc w:val="right"/>
            <w:rPr>
              <w:rFonts w:ascii="Palatino Linotype" w:eastAsia="Palatino Linotype" w:hAnsi="Palatino Linotype" w:cs="Palatino Linotype"/>
              <w:b/>
            </w:rPr>
          </w:pPr>
          <w:r w:rsidRPr="00C72ACF">
            <w:rPr>
              <w:rFonts w:ascii="Palatino Linotype" w:eastAsia="Palatino Linotype" w:hAnsi="Palatino Linotype" w:cs="Palatino Linotype"/>
              <w:b/>
            </w:rPr>
            <w:t>RECURRENTE:</w:t>
          </w:r>
        </w:p>
      </w:tc>
      <w:tc>
        <w:tcPr>
          <w:tcW w:w="4500" w:type="dxa"/>
        </w:tcPr>
        <w:p w:rsidR="00001A21" w:rsidRPr="00C72ACF" w:rsidRDefault="00001A21">
          <w:pPr>
            <w:pBdr>
              <w:top w:val="nil"/>
              <w:left w:val="nil"/>
              <w:bottom w:val="nil"/>
              <w:right w:val="nil"/>
              <w:between w:val="nil"/>
            </w:pBdr>
            <w:tabs>
              <w:tab w:val="center" w:pos="4524"/>
              <w:tab w:val="right" w:pos="8504"/>
            </w:tabs>
            <w:ind w:right="-635"/>
            <w:rPr>
              <w:rFonts w:ascii="Palatino Linotype" w:eastAsia="Palatino Linotype" w:hAnsi="Palatino Linotype" w:cs="Palatino Linotype"/>
            </w:rPr>
          </w:pPr>
        </w:p>
      </w:tc>
    </w:tr>
    <w:tr w:rsidR="00001A21" w:rsidRPr="00C72ACF" w:rsidTr="00C72ACF">
      <w:trPr>
        <w:trHeight w:val="321"/>
      </w:trPr>
      <w:tc>
        <w:tcPr>
          <w:tcW w:w="3255" w:type="dxa"/>
          <w:vAlign w:val="center"/>
        </w:tcPr>
        <w:p w:rsidR="00001A21" w:rsidRPr="00C72ACF" w:rsidRDefault="00EE6F97">
          <w:pPr>
            <w:jc w:val="right"/>
            <w:rPr>
              <w:rFonts w:ascii="Palatino Linotype" w:eastAsia="Palatino Linotype" w:hAnsi="Palatino Linotype" w:cs="Palatino Linotype"/>
              <w:b/>
            </w:rPr>
          </w:pPr>
          <w:r w:rsidRPr="00C72ACF">
            <w:rPr>
              <w:rFonts w:ascii="Palatino Linotype" w:eastAsia="Palatino Linotype" w:hAnsi="Palatino Linotype" w:cs="Palatino Linotype"/>
              <w:b/>
            </w:rPr>
            <w:t>SUJETO OBLIGADO:</w:t>
          </w:r>
        </w:p>
      </w:tc>
      <w:tc>
        <w:tcPr>
          <w:tcW w:w="4500" w:type="dxa"/>
          <w:vAlign w:val="center"/>
        </w:tcPr>
        <w:p w:rsidR="00001A21" w:rsidRPr="00C72ACF" w:rsidRDefault="00EE6F97">
          <w:pPr>
            <w:pBdr>
              <w:top w:val="nil"/>
              <w:left w:val="nil"/>
              <w:bottom w:val="nil"/>
              <w:right w:val="nil"/>
              <w:between w:val="nil"/>
            </w:pBdr>
            <w:tabs>
              <w:tab w:val="center" w:pos="4524"/>
              <w:tab w:val="right" w:pos="8504"/>
            </w:tabs>
            <w:ind w:right="-635"/>
            <w:rPr>
              <w:rFonts w:ascii="Palatino Linotype" w:eastAsia="Palatino Linotype" w:hAnsi="Palatino Linotype" w:cs="Palatino Linotype"/>
            </w:rPr>
          </w:pPr>
          <w:r w:rsidRPr="00C72ACF">
            <w:rPr>
              <w:rFonts w:ascii="Palatino Linotype" w:eastAsia="Palatino Linotype" w:hAnsi="Palatino Linotype" w:cs="Palatino Linotype"/>
            </w:rPr>
            <w:t>Instituto Hacendario del Estado de México</w:t>
          </w:r>
        </w:p>
      </w:tc>
    </w:tr>
    <w:tr w:rsidR="00001A21" w:rsidRPr="00C72ACF" w:rsidTr="00C72ACF">
      <w:trPr>
        <w:trHeight w:val="321"/>
      </w:trPr>
      <w:tc>
        <w:tcPr>
          <w:tcW w:w="3255" w:type="dxa"/>
          <w:vAlign w:val="center"/>
        </w:tcPr>
        <w:p w:rsidR="00001A21" w:rsidRPr="00C72ACF" w:rsidRDefault="00EE6F97">
          <w:pPr>
            <w:jc w:val="right"/>
            <w:rPr>
              <w:rFonts w:ascii="Palatino Linotype" w:eastAsia="Palatino Linotype" w:hAnsi="Palatino Linotype" w:cs="Palatino Linotype"/>
              <w:b/>
            </w:rPr>
          </w:pPr>
          <w:r w:rsidRPr="00C72ACF">
            <w:rPr>
              <w:rFonts w:ascii="Palatino Linotype" w:eastAsia="Palatino Linotype" w:hAnsi="Palatino Linotype" w:cs="Palatino Linotype"/>
              <w:b/>
            </w:rPr>
            <w:t>COMISIONADA PONENTE:</w:t>
          </w:r>
        </w:p>
      </w:tc>
      <w:tc>
        <w:tcPr>
          <w:tcW w:w="4500" w:type="dxa"/>
          <w:vAlign w:val="center"/>
        </w:tcPr>
        <w:p w:rsidR="00001A21" w:rsidRPr="00C72ACF" w:rsidRDefault="00EE6F97">
          <w:pPr>
            <w:pBdr>
              <w:top w:val="nil"/>
              <w:left w:val="nil"/>
              <w:bottom w:val="nil"/>
              <w:right w:val="nil"/>
              <w:between w:val="nil"/>
            </w:pBdr>
            <w:tabs>
              <w:tab w:val="center" w:pos="4524"/>
              <w:tab w:val="right" w:pos="8504"/>
            </w:tabs>
            <w:ind w:left="33" w:right="-635"/>
            <w:rPr>
              <w:rFonts w:ascii="Palatino Linotype" w:eastAsia="Palatino Linotype" w:hAnsi="Palatino Linotype" w:cs="Palatino Linotype"/>
            </w:rPr>
          </w:pPr>
          <w:r w:rsidRPr="00C72ACF">
            <w:rPr>
              <w:rFonts w:ascii="Palatino Linotype" w:eastAsia="Palatino Linotype" w:hAnsi="Palatino Linotype" w:cs="Palatino Linotype"/>
            </w:rPr>
            <w:t>María del Rosario Mejía Ayala</w:t>
          </w:r>
        </w:p>
      </w:tc>
    </w:tr>
  </w:tbl>
  <w:p w:rsidR="00001A21" w:rsidRDefault="003A3784">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01.55pt;margin-top:-131.6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D6B48"/>
    <w:multiLevelType w:val="multilevel"/>
    <w:tmpl w:val="D02484C6"/>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36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80D3F03"/>
    <w:multiLevelType w:val="multilevel"/>
    <w:tmpl w:val="2834B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08C290D"/>
    <w:multiLevelType w:val="multilevel"/>
    <w:tmpl w:val="0BC87C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21"/>
    <w:rsid w:val="00001A21"/>
    <w:rsid w:val="003267C9"/>
    <w:rsid w:val="003A3784"/>
    <w:rsid w:val="00C72ACF"/>
    <w:rsid w:val="00D95EAC"/>
    <w:rsid w:val="00E7456A"/>
    <w:rsid w:val="00EE6F97"/>
    <w:rsid w:val="00F047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6E6B9F-9450-429C-AA07-70FB5DC1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3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rPr>
  </w:style>
  <w:style w:type="character" w:customStyle="1" w:styleId="m-698976158124685028gmail-apple-converted-space">
    <w:name w:val="m_-698976158124685028gmail-apple-converted-space"/>
    <w:basedOn w:val="Fuentedeprrafopredeter"/>
    <w:rsid w:val="005C082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rPr>
      <w:color w:val="000000"/>
      <w:sz w:val="22"/>
      <w:szCs w:val="22"/>
    </w:rPr>
    <w:tblPr>
      <w:tblStyleRowBandSize w:val="1"/>
      <w:tblStyleColBandSize w:val="1"/>
      <w:tblCellMar>
        <w:top w:w="0" w:type="dxa"/>
        <w:left w:w="108" w:type="dxa"/>
        <w:bottom w:w="0" w:type="dxa"/>
        <w:right w:w="108" w:type="dxa"/>
      </w:tblCellMar>
    </w:tblPr>
  </w:style>
  <w:style w:type="table" w:customStyle="1" w:styleId="a2">
    <w:basedOn w:val="TableNormal"/>
    <w:rPr>
      <w:color w:val="000000"/>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88909.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116061.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nJMM2Rskee47BiwXF37/8g/Zw==">CgMxLjAyCGguZ2pkZ3hzMgloLjMwajB6bGwyCWguMWZvYjl0ZTIJaC4zem55c2g3MgloLjJldDkycDAyCGgudHlqY3d0MgloLjNkeTZ2a20yCWguMXQzaDVzZjIJaC40ZDM0b2c4MgloLjJzOGV5bzEyCWguMTdkcDh2dTIOaC54MzR4ZXlhNHlmZzkyDmguOWlhczVhaTRzOThwMg5oLmZkdTJ0MW56ZXMybTIOaC5ma2xpZDVkdDV5cTYyDmguYzUwYng1Y214ZHY1Mg5oLmF0Zm44Y2c5aTNkeTIOaC5kamIyc3FwbTd4cmYyCWguMTdkcDh2dTgAciExQjFkcmJFZDJjNlpxcl83T1YzY3IzX195UVNEYTZfS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3641</Words>
  <Characters>20030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USUARIO</cp:lastModifiedBy>
  <cp:revision>4</cp:revision>
  <cp:lastPrinted>2024-06-27T21:22:00Z</cp:lastPrinted>
  <dcterms:created xsi:type="dcterms:W3CDTF">2024-05-30T19:19:00Z</dcterms:created>
  <dcterms:modified xsi:type="dcterms:W3CDTF">2024-06-27T21:22:00Z</dcterms:modified>
</cp:coreProperties>
</file>