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96" w:rsidRPr="00E924AF" w:rsidRDefault="000F0223">
      <w:pPr>
        <w:tabs>
          <w:tab w:val="left" w:pos="3465"/>
        </w:tabs>
        <w:spacing w:before="240" w:after="360" w:line="360" w:lineRule="auto"/>
        <w:jc w:val="both"/>
        <w:rPr>
          <w:rFonts w:ascii="Palatino Linotype" w:eastAsia="Palatino Linotype" w:hAnsi="Palatino Linotype" w:cs="Palatino Linotype"/>
          <w:color w:val="000000"/>
        </w:rPr>
      </w:pPr>
      <w:bookmarkStart w:id="0" w:name="_GoBack"/>
      <w:bookmarkEnd w:id="0"/>
      <w:r w:rsidRPr="00E924AF">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E924AF" w:rsidRPr="00E924AF">
        <w:rPr>
          <w:rFonts w:ascii="Palatino Linotype" w:eastAsia="Palatino Linotype" w:hAnsi="Palatino Linotype" w:cs="Palatino Linotype"/>
          <w:color w:val="000000"/>
        </w:rPr>
        <w:t>fecha diecinueve</w:t>
      </w:r>
      <w:r w:rsidRPr="00E924AF">
        <w:rPr>
          <w:rFonts w:ascii="Palatino Linotype" w:eastAsia="Palatino Linotype" w:hAnsi="Palatino Linotype" w:cs="Palatino Linotype"/>
          <w:color w:val="000000"/>
        </w:rPr>
        <w:t xml:space="preserve"> (</w:t>
      </w:r>
      <w:r w:rsidR="00E924AF" w:rsidRPr="00E924AF">
        <w:rPr>
          <w:rFonts w:ascii="Palatino Linotype" w:eastAsia="Palatino Linotype" w:hAnsi="Palatino Linotype" w:cs="Palatino Linotype"/>
          <w:color w:val="000000"/>
        </w:rPr>
        <w:t>19</w:t>
      </w:r>
      <w:r w:rsidRPr="00E924AF">
        <w:rPr>
          <w:rFonts w:ascii="Palatino Linotype" w:eastAsia="Palatino Linotype" w:hAnsi="Palatino Linotype" w:cs="Palatino Linotype"/>
          <w:color w:val="000000"/>
        </w:rPr>
        <w:t xml:space="preserve">) de junio de dos mil veinticuatro. </w:t>
      </w:r>
    </w:p>
    <w:p w:rsidR="009B0096" w:rsidRPr="00E924AF" w:rsidRDefault="000F0223">
      <w:pPr>
        <w:tabs>
          <w:tab w:val="left" w:pos="3465"/>
        </w:tabs>
        <w:spacing w:before="240" w:after="360" w:line="360" w:lineRule="auto"/>
        <w:jc w:val="both"/>
        <w:rPr>
          <w:rFonts w:ascii="Palatino Linotype" w:eastAsia="Palatino Linotype" w:hAnsi="Palatino Linotype" w:cs="Palatino Linotype"/>
          <w:b/>
          <w:color w:val="000000"/>
        </w:rPr>
      </w:pPr>
      <w:bookmarkStart w:id="1" w:name="_heading=h.gjdgxs" w:colFirst="0" w:colLast="0"/>
      <w:bookmarkEnd w:id="1"/>
      <w:r w:rsidRPr="00E924AF">
        <w:rPr>
          <w:rFonts w:ascii="Palatino Linotype" w:eastAsia="Palatino Linotype" w:hAnsi="Palatino Linotype" w:cs="Palatino Linotype"/>
          <w:b/>
          <w:color w:val="000000"/>
        </w:rPr>
        <w:t>VISTO</w:t>
      </w:r>
      <w:r w:rsidRPr="00E924AF">
        <w:rPr>
          <w:rFonts w:ascii="Palatino Linotype" w:eastAsia="Palatino Linotype" w:hAnsi="Palatino Linotype" w:cs="Palatino Linotype"/>
          <w:color w:val="000000"/>
        </w:rPr>
        <w:t xml:space="preserve"> el expediente electrónico formado con motivo del recurso de revisión</w:t>
      </w:r>
      <w:r w:rsidRPr="00E924AF">
        <w:rPr>
          <w:rFonts w:ascii="Palatino Linotype" w:eastAsia="Palatino Linotype" w:hAnsi="Palatino Linotype" w:cs="Palatino Linotype"/>
          <w:b/>
          <w:color w:val="FF0000"/>
        </w:rPr>
        <w:t xml:space="preserve"> </w:t>
      </w:r>
      <w:r w:rsidRPr="00E924AF">
        <w:rPr>
          <w:rFonts w:ascii="Palatino Linotype" w:eastAsia="Palatino Linotype" w:hAnsi="Palatino Linotype" w:cs="Palatino Linotype"/>
          <w:b/>
          <w:color w:val="000000"/>
        </w:rPr>
        <w:t xml:space="preserve">02828/INFOEM/IP/RR/2024, </w:t>
      </w:r>
      <w:r w:rsidRPr="00E924AF">
        <w:rPr>
          <w:rFonts w:ascii="Palatino Linotype" w:eastAsia="Palatino Linotype" w:hAnsi="Palatino Linotype" w:cs="Palatino Linotype"/>
          <w:color w:val="000000"/>
        </w:rPr>
        <w:t xml:space="preserve">promovido por </w:t>
      </w:r>
      <w:r w:rsidRPr="00E924AF">
        <w:rPr>
          <w:rFonts w:ascii="Palatino Linotype" w:eastAsia="Palatino Linotype" w:hAnsi="Palatino Linotype" w:cs="Palatino Linotype"/>
          <w:b/>
          <w:color w:val="000000"/>
        </w:rPr>
        <w:t>una o un usuario del Sistema de Acceso a la Información Mexiquense (SAIMEX)</w:t>
      </w:r>
      <w:r w:rsidR="00E924AF" w:rsidRPr="00E924AF">
        <w:rPr>
          <w:rFonts w:ascii="Palatino Linotype" w:eastAsia="Palatino Linotype" w:hAnsi="Palatino Linotype" w:cs="Palatino Linotype"/>
          <w:color w:val="000000"/>
        </w:rPr>
        <w:t xml:space="preserve"> quien no registró </w:t>
      </w:r>
      <w:r w:rsidRPr="00E924AF">
        <w:rPr>
          <w:rFonts w:ascii="Palatino Linotype" w:eastAsia="Palatino Linotype" w:hAnsi="Palatino Linotype" w:cs="Palatino Linotype"/>
          <w:color w:val="000000"/>
        </w:rPr>
        <w:t>nombre</w:t>
      </w:r>
      <w:r w:rsidR="00E924AF" w:rsidRPr="00E924AF">
        <w:rPr>
          <w:rFonts w:ascii="Palatino Linotype" w:eastAsia="Palatino Linotype" w:hAnsi="Palatino Linotype" w:cs="Palatino Linotype"/>
          <w:color w:val="000000"/>
        </w:rPr>
        <w:t xml:space="preserve"> alguno</w:t>
      </w:r>
      <w:r w:rsidRPr="00E924AF">
        <w:rPr>
          <w:rFonts w:ascii="Palatino Linotype" w:eastAsia="Palatino Linotype" w:hAnsi="Palatino Linotype" w:cs="Palatino Linotype"/>
          <w:color w:val="000000"/>
        </w:rPr>
        <w:t xml:space="preserve">, seudónimo o carácter para ser identificada, por lo que en adelante se le denominará </w:t>
      </w:r>
      <w:r w:rsidRPr="00E924AF">
        <w:rPr>
          <w:rFonts w:ascii="Palatino Linotype" w:eastAsia="Palatino Linotype" w:hAnsi="Palatino Linotype" w:cs="Palatino Linotype"/>
          <w:b/>
          <w:color w:val="000000"/>
        </w:rPr>
        <w:t>RECURRENTE</w:t>
      </w:r>
      <w:r w:rsidRPr="00E924AF">
        <w:rPr>
          <w:rFonts w:ascii="Palatino Linotype" w:eastAsia="Palatino Linotype" w:hAnsi="Palatino Linotype" w:cs="Palatino Linotype"/>
          <w:color w:val="000000"/>
        </w:rPr>
        <w:t>, en contra de la falta de respuesta del</w:t>
      </w:r>
      <w:r w:rsidRPr="00E924AF">
        <w:rPr>
          <w:rFonts w:ascii="Palatino Linotype" w:eastAsia="Palatino Linotype" w:hAnsi="Palatino Linotype" w:cs="Palatino Linotype"/>
        </w:rPr>
        <w:t xml:space="preserve"> </w:t>
      </w:r>
      <w:r w:rsidRPr="00E924AF">
        <w:rPr>
          <w:rFonts w:ascii="Palatino Linotype" w:eastAsia="Palatino Linotype" w:hAnsi="Palatino Linotype" w:cs="Palatino Linotype"/>
          <w:b/>
        </w:rPr>
        <w:t>Ayuntamiento de Ecatepec de Morelos</w:t>
      </w:r>
      <w:r w:rsidR="00E924AF" w:rsidRPr="00E924AF">
        <w:rPr>
          <w:rFonts w:ascii="Palatino Linotype" w:eastAsia="Palatino Linotype" w:hAnsi="Palatino Linotype" w:cs="Palatino Linotype"/>
          <w:b/>
        </w:rPr>
        <w:t>,</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color w:val="000000"/>
        </w:rPr>
        <w:t>en lo sucesivo el</w:t>
      </w:r>
      <w:r w:rsidRPr="00E924AF">
        <w:rPr>
          <w:rFonts w:ascii="Palatino Linotype" w:eastAsia="Palatino Linotype" w:hAnsi="Palatino Linotype" w:cs="Palatino Linotype"/>
          <w:b/>
          <w:color w:val="000000"/>
        </w:rPr>
        <w:t xml:space="preserve"> SUJETO OBLIGADO, </w:t>
      </w:r>
      <w:r w:rsidRPr="00E924AF">
        <w:rPr>
          <w:rFonts w:ascii="Palatino Linotype" w:eastAsia="Palatino Linotype" w:hAnsi="Palatino Linotype" w:cs="Palatino Linotype"/>
          <w:color w:val="000000"/>
        </w:rPr>
        <w:t xml:space="preserve">se procede a dictar la presente resolución, con base en los siguientes: </w:t>
      </w:r>
    </w:p>
    <w:p w:rsidR="009B0096" w:rsidRPr="00E924AF" w:rsidRDefault="000F0223">
      <w:pPr>
        <w:pStyle w:val="Ttulo1"/>
        <w:spacing w:line="360" w:lineRule="auto"/>
        <w:jc w:val="center"/>
        <w:rPr>
          <w:rFonts w:ascii="Palatino Linotype" w:eastAsia="Palatino Linotype" w:hAnsi="Palatino Linotype" w:cs="Palatino Linotype"/>
          <w:b/>
          <w:color w:val="000000"/>
          <w:sz w:val="24"/>
          <w:szCs w:val="24"/>
        </w:rPr>
      </w:pPr>
      <w:bookmarkStart w:id="2" w:name="_heading=h.30j0zll" w:colFirst="0" w:colLast="0"/>
      <w:bookmarkEnd w:id="2"/>
      <w:r w:rsidRPr="00E924AF">
        <w:rPr>
          <w:rFonts w:ascii="Palatino Linotype" w:eastAsia="Palatino Linotype" w:hAnsi="Palatino Linotype" w:cs="Palatino Linotype"/>
          <w:b/>
          <w:color w:val="000000"/>
          <w:sz w:val="24"/>
          <w:szCs w:val="24"/>
        </w:rPr>
        <w:t>A</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N</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T</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E</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C</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E</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D</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E</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N</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T</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E</w:t>
      </w:r>
      <w:r w:rsidR="00E924AF" w:rsidRPr="00E924AF">
        <w:rPr>
          <w:rFonts w:ascii="Palatino Linotype" w:eastAsia="Palatino Linotype" w:hAnsi="Palatino Linotype" w:cs="Palatino Linotype"/>
          <w:b/>
          <w:color w:val="000000"/>
          <w:sz w:val="24"/>
          <w:szCs w:val="24"/>
        </w:rPr>
        <w:t xml:space="preserve"> </w:t>
      </w:r>
      <w:r w:rsidRPr="00E924AF">
        <w:rPr>
          <w:rFonts w:ascii="Palatino Linotype" w:eastAsia="Palatino Linotype" w:hAnsi="Palatino Linotype" w:cs="Palatino Linotype"/>
          <w:b/>
          <w:color w:val="000000"/>
          <w:sz w:val="24"/>
          <w:szCs w:val="24"/>
        </w:rPr>
        <w:t>S</w:t>
      </w:r>
    </w:p>
    <w:p w:rsidR="009B0096" w:rsidRPr="00E924AF" w:rsidRDefault="000F0223">
      <w:pPr>
        <w:numPr>
          <w:ilvl w:val="0"/>
          <w:numId w:val="2"/>
        </w:numPr>
        <w:pBdr>
          <w:top w:val="nil"/>
          <w:left w:val="nil"/>
          <w:bottom w:val="nil"/>
          <w:right w:val="nil"/>
          <w:between w:val="nil"/>
        </w:pBdr>
        <w:tabs>
          <w:tab w:val="left" w:pos="426"/>
        </w:tabs>
        <w:spacing w:before="240" w:after="240" w:line="360" w:lineRule="auto"/>
        <w:ind w:left="0" w:firstLine="0"/>
        <w:jc w:val="both"/>
        <w:rPr>
          <w:color w:val="000000"/>
        </w:rPr>
      </w:pPr>
      <w:r w:rsidRPr="00E924AF">
        <w:rPr>
          <w:rFonts w:ascii="Palatino Linotype" w:eastAsia="Palatino Linotype" w:hAnsi="Palatino Linotype" w:cs="Palatino Linotype"/>
          <w:color w:val="000000"/>
        </w:rPr>
        <w:t xml:space="preserve">El </w:t>
      </w:r>
      <w:r w:rsidRPr="00E924AF">
        <w:rPr>
          <w:rFonts w:ascii="Palatino Linotype" w:eastAsia="Palatino Linotype" w:hAnsi="Palatino Linotype" w:cs="Palatino Linotype"/>
          <w:b/>
          <w:color w:val="000000"/>
        </w:rPr>
        <w:t>dieciocho (18) de abril de dos mil veinticuatro</w:t>
      </w:r>
      <w:r w:rsidRPr="00E924AF">
        <w:rPr>
          <w:rFonts w:ascii="Palatino Linotype" w:eastAsia="Palatino Linotype" w:hAnsi="Palatino Linotype" w:cs="Palatino Linotype"/>
          <w:color w:val="000000"/>
        </w:rPr>
        <w:t>, la particular presentó a través del SAIMEX,</w:t>
      </w:r>
      <w:r w:rsidRPr="00E924AF">
        <w:rPr>
          <w:rFonts w:ascii="Palatino Linotype" w:eastAsia="Palatino Linotype" w:hAnsi="Palatino Linotype" w:cs="Palatino Linotype"/>
          <w:b/>
          <w:color w:val="000000"/>
        </w:rPr>
        <w:t xml:space="preserve"> </w:t>
      </w:r>
      <w:r w:rsidRPr="00E924AF">
        <w:rPr>
          <w:rFonts w:ascii="Palatino Linotype" w:eastAsia="Palatino Linotype" w:hAnsi="Palatino Linotype" w:cs="Palatino Linotype"/>
          <w:color w:val="000000"/>
        </w:rPr>
        <w:t>la solicitud de información pública registrada con el número</w:t>
      </w:r>
      <w:r w:rsidRPr="00E924AF">
        <w:rPr>
          <w:rFonts w:ascii="Palatino Linotype" w:eastAsia="Palatino Linotype" w:hAnsi="Palatino Linotype" w:cs="Palatino Linotype"/>
          <w:b/>
          <w:color w:val="FF0000"/>
        </w:rPr>
        <w:t xml:space="preserve"> </w:t>
      </w:r>
      <w:r w:rsidRPr="00E924AF">
        <w:rPr>
          <w:rFonts w:ascii="Palatino Linotype" w:eastAsia="Palatino Linotype" w:hAnsi="Palatino Linotype" w:cs="Palatino Linotype"/>
          <w:b/>
          <w:color w:val="000000"/>
        </w:rPr>
        <w:t>00349/ECATEPEC/IP/2024,</w:t>
      </w:r>
      <w:r w:rsidRPr="00E924AF">
        <w:rPr>
          <w:rFonts w:ascii="Palatino Linotype" w:eastAsia="Palatino Linotype" w:hAnsi="Palatino Linotype" w:cs="Palatino Linotype"/>
          <w:color w:val="000000"/>
        </w:rPr>
        <w:t xml:space="preserve"> </w:t>
      </w:r>
      <w:r w:rsidR="00E924AF">
        <w:rPr>
          <w:rFonts w:ascii="Palatino Linotype" w:eastAsia="Palatino Linotype" w:hAnsi="Palatino Linotype" w:cs="Palatino Linotype"/>
          <w:color w:val="000000"/>
        </w:rPr>
        <w:t xml:space="preserve">en la que </w:t>
      </w:r>
      <w:r w:rsidRPr="00E924AF">
        <w:rPr>
          <w:rFonts w:ascii="Palatino Linotype" w:eastAsia="Palatino Linotype" w:hAnsi="Palatino Linotype" w:cs="Palatino Linotype"/>
          <w:color w:val="000000"/>
        </w:rPr>
        <w:t>requirió:</w:t>
      </w:r>
    </w:p>
    <w:p w:rsidR="009B0096" w:rsidRPr="00E924AF" w:rsidRDefault="000F0223">
      <w:pPr>
        <w:spacing w:line="276" w:lineRule="auto"/>
        <w:ind w:left="567" w:right="567"/>
        <w:jc w:val="both"/>
        <w:rPr>
          <w:rFonts w:ascii="Palatino Linotype" w:eastAsia="Palatino Linotype" w:hAnsi="Palatino Linotype" w:cs="Palatino Linotype"/>
          <w:i/>
          <w:color w:val="000000"/>
        </w:rPr>
      </w:pPr>
      <w:r w:rsidRPr="00E924AF">
        <w:rPr>
          <w:rFonts w:ascii="Palatino Linotype" w:eastAsia="Palatino Linotype" w:hAnsi="Palatino Linotype" w:cs="Palatino Linotype"/>
          <w:i/>
          <w:color w:val="000000"/>
        </w:rPr>
        <w:t xml:space="preserve">“En relación con el Consejo Consultivo Municipal de Turismo, previsto en el Artículo 17 Fracción V, de la Ley General de Turismo, solicito la siguiente información del periodo del 1 de enero al 31 de diciembre de 2023: 1.- Productos elaborados por el Consejo Consultivo Municipal de Turismo (por ejemplo, propuestas, programas, recomendaciones, opiniones, posicionamientos, observaciones, denuncias) 2.- Informes de actividades y/o resultados elaborados por el Consejo Consultivo Municipal de Turismo” </w:t>
      </w:r>
      <w:r w:rsidRPr="00E924AF">
        <w:rPr>
          <w:rFonts w:ascii="Palatino Linotype" w:eastAsia="Palatino Linotype" w:hAnsi="Palatino Linotype" w:cs="Palatino Linotype"/>
          <w:color w:val="000000"/>
        </w:rPr>
        <w:t>(Sic)</w:t>
      </w:r>
    </w:p>
    <w:p w:rsidR="009B0096" w:rsidRPr="00E924AF" w:rsidRDefault="009B0096">
      <w:p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284"/>
        </w:tabs>
        <w:spacing w:line="360" w:lineRule="auto"/>
        <w:ind w:left="0" w:firstLine="0"/>
        <w:jc w:val="both"/>
        <w:rPr>
          <w:color w:val="000000"/>
        </w:rPr>
      </w:pPr>
      <w:r w:rsidRPr="00E924AF">
        <w:rPr>
          <w:rFonts w:ascii="Palatino Linotype" w:eastAsia="Palatino Linotype" w:hAnsi="Palatino Linotype" w:cs="Palatino Linotype"/>
          <w:color w:val="000000"/>
        </w:rPr>
        <w:lastRenderedPageBreak/>
        <w:t xml:space="preserve">De las constancias que obran en el expediente, se aprecia que la entonces </w:t>
      </w:r>
      <w:r w:rsidRPr="00E924AF">
        <w:rPr>
          <w:rFonts w:ascii="Palatino Linotype" w:eastAsia="Palatino Linotype" w:hAnsi="Palatino Linotype" w:cs="Palatino Linotype"/>
          <w:b/>
          <w:color w:val="000000"/>
        </w:rPr>
        <w:t>SOLICITANTE</w:t>
      </w:r>
      <w:r w:rsidRPr="00E924AF">
        <w:rPr>
          <w:rFonts w:ascii="Palatino Linotype" w:eastAsia="Palatino Linotype" w:hAnsi="Palatino Linotype" w:cs="Palatino Linotype"/>
          <w:color w:val="000000"/>
        </w:rPr>
        <w:t xml:space="preserve"> señaló como modalidad de entrega de la información:</w:t>
      </w:r>
      <w:r w:rsidRPr="00E924AF">
        <w:rPr>
          <w:rFonts w:ascii="Palatino Linotype" w:eastAsia="Palatino Linotype" w:hAnsi="Palatino Linotype" w:cs="Palatino Linotype"/>
          <w:b/>
          <w:color w:val="000000"/>
        </w:rPr>
        <w:t xml:space="preserve"> </w:t>
      </w:r>
      <w:r w:rsidRPr="00E924AF">
        <w:rPr>
          <w:rFonts w:ascii="Palatino Linotype" w:eastAsia="Palatino Linotype" w:hAnsi="Palatino Linotype" w:cs="Palatino Linotype"/>
          <w:b/>
          <w:i/>
          <w:color w:val="000000"/>
        </w:rPr>
        <w:t>A través del SAIMEX</w:t>
      </w:r>
      <w:r w:rsidRPr="00E924AF">
        <w:rPr>
          <w:rFonts w:ascii="Palatino Linotype" w:eastAsia="Palatino Linotype" w:hAnsi="Palatino Linotype" w:cs="Palatino Linotype"/>
          <w:color w:val="000000"/>
        </w:rPr>
        <w:t>.</w:t>
      </w:r>
    </w:p>
    <w:p w:rsidR="009B0096" w:rsidRPr="00E924AF" w:rsidRDefault="009B009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u w:val="single"/>
        </w:rPr>
      </w:pPr>
    </w:p>
    <w:p w:rsidR="009B0096" w:rsidRPr="00E924AF" w:rsidRDefault="000F0223">
      <w:pPr>
        <w:numPr>
          <w:ilvl w:val="0"/>
          <w:numId w:val="2"/>
        </w:numPr>
        <w:pBdr>
          <w:top w:val="nil"/>
          <w:left w:val="nil"/>
          <w:bottom w:val="nil"/>
          <w:right w:val="nil"/>
          <w:between w:val="nil"/>
        </w:pBdr>
        <w:tabs>
          <w:tab w:val="left" w:pos="0"/>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El </w:t>
      </w:r>
      <w:r w:rsidRPr="00E924AF">
        <w:rPr>
          <w:rFonts w:ascii="Palatino Linotype" w:eastAsia="Palatino Linotype" w:hAnsi="Palatino Linotype" w:cs="Palatino Linotype"/>
          <w:b/>
          <w:color w:val="000000"/>
        </w:rPr>
        <w:t>SUJETO OBLIGADO</w:t>
      </w:r>
      <w:r w:rsidRPr="00E924AF">
        <w:rPr>
          <w:rFonts w:ascii="Palatino Linotype" w:eastAsia="Palatino Linotype" w:hAnsi="Palatino Linotype" w:cs="Palatino Linotype"/>
          <w:color w:val="000000"/>
        </w:rPr>
        <w:t xml:space="preserve"> no emitió respuesta, según consta en el Sistema de Acceso a la Información Mexiquense (SAIMEX).</w:t>
      </w:r>
    </w:p>
    <w:p w:rsidR="009B0096" w:rsidRPr="00E924AF" w:rsidRDefault="009B0096">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Derivado de la falta de respuesta por parte del </w:t>
      </w:r>
      <w:r w:rsidRPr="00E924AF">
        <w:rPr>
          <w:rFonts w:ascii="Palatino Linotype" w:eastAsia="Palatino Linotype" w:hAnsi="Palatino Linotype" w:cs="Palatino Linotype"/>
          <w:b/>
          <w:color w:val="000000"/>
        </w:rPr>
        <w:t>SUJETO OBLIGADO</w:t>
      </w:r>
      <w:r w:rsidRPr="00E924AF">
        <w:rPr>
          <w:rFonts w:ascii="Palatino Linotype" w:eastAsia="Palatino Linotype" w:hAnsi="Palatino Linotype" w:cs="Palatino Linotype"/>
          <w:color w:val="000000"/>
        </w:rPr>
        <w:t xml:space="preserve">, el </w:t>
      </w:r>
      <w:r w:rsidRPr="00E924AF">
        <w:rPr>
          <w:rFonts w:ascii="Palatino Linotype" w:eastAsia="Palatino Linotype" w:hAnsi="Palatino Linotype" w:cs="Palatino Linotype"/>
          <w:b/>
          <w:color w:val="000000"/>
        </w:rPr>
        <w:t>catorce (14) de mayo de dos mil veinticuatro</w:t>
      </w:r>
      <w:r w:rsidRPr="00E924AF">
        <w:rPr>
          <w:rFonts w:ascii="Palatino Linotype" w:eastAsia="Palatino Linotype" w:hAnsi="Palatino Linotype" w:cs="Palatino Linotype"/>
          <w:color w:val="000000"/>
        </w:rPr>
        <w:t>, la particular interpuso el recurso de revisión</w:t>
      </w:r>
      <w:r w:rsidRPr="00E924AF">
        <w:rPr>
          <w:rFonts w:ascii="Palatino Linotype" w:eastAsia="Palatino Linotype" w:hAnsi="Palatino Linotype" w:cs="Palatino Linotype"/>
          <w:b/>
          <w:color w:val="FF0000"/>
        </w:rPr>
        <w:t xml:space="preserve"> </w:t>
      </w:r>
      <w:r w:rsidRPr="00E924AF">
        <w:rPr>
          <w:rFonts w:ascii="Palatino Linotype" w:eastAsia="Palatino Linotype" w:hAnsi="Palatino Linotype" w:cs="Palatino Linotype"/>
          <w:b/>
          <w:color w:val="000000"/>
        </w:rPr>
        <w:t xml:space="preserve"> 02828/INFOEM/IP/RR/2024;</w:t>
      </w:r>
      <w:r w:rsidRPr="00E924AF">
        <w:rPr>
          <w:rFonts w:ascii="Palatino Linotype" w:eastAsia="Palatino Linotype" w:hAnsi="Palatino Linotype" w:cs="Palatino Linotype"/>
          <w:color w:val="000000"/>
        </w:rPr>
        <w:t xml:space="preserve"> impugnación en la que refirió lo siguiente:</w:t>
      </w:r>
    </w:p>
    <w:p w:rsidR="009B0096" w:rsidRPr="00E924AF" w:rsidRDefault="000F0223">
      <w:pPr>
        <w:numPr>
          <w:ilvl w:val="0"/>
          <w:numId w:val="3"/>
        </w:numPr>
        <w:tabs>
          <w:tab w:val="left" w:pos="426"/>
          <w:tab w:val="left" w:pos="567"/>
        </w:tabs>
        <w:spacing w:line="360" w:lineRule="auto"/>
        <w:ind w:right="909"/>
        <w:jc w:val="both"/>
        <w:rPr>
          <w:rFonts w:ascii="Palatino Linotype" w:eastAsia="Palatino Linotype" w:hAnsi="Palatino Linotype" w:cs="Palatino Linotype"/>
          <w:b/>
          <w:color w:val="000000"/>
          <w:sz w:val="22"/>
        </w:rPr>
      </w:pPr>
      <w:r w:rsidRPr="00E924AF">
        <w:rPr>
          <w:rFonts w:ascii="Palatino Linotype" w:eastAsia="Palatino Linotype" w:hAnsi="Palatino Linotype" w:cs="Palatino Linotype"/>
          <w:b/>
          <w:color w:val="000000"/>
          <w:sz w:val="22"/>
        </w:rPr>
        <w:t>Acto impugnado:</w:t>
      </w:r>
    </w:p>
    <w:p w:rsidR="009B0096" w:rsidRPr="00E924AF" w:rsidRDefault="000F0223">
      <w:pPr>
        <w:tabs>
          <w:tab w:val="left" w:pos="426"/>
          <w:tab w:val="left" w:pos="567"/>
        </w:tabs>
        <w:spacing w:line="360" w:lineRule="auto"/>
        <w:ind w:right="909"/>
        <w:jc w:val="both"/>
        <w:rPr>
          <w:rFonts w:ascii="Palatino Linotype" w:eastAsia="Palatino Linotype" w:hAnsi="Palatino Linotype" w:cs="Palatino Linotype"/>
          <w:color w:val="000000"/>
          <w:sz w:val="22"/>
        </w:rPr>
      </w:pPr>
      <w:r w:rsidRPr="00E924AF">
        <w:rPr>
          <w:rFonts w:ascii="Palatino Linotype" w:eastAsia="Palatino Linotype" w:hAnsi="Palatino Linotype" w:cs="Palatino Linotype"/>
          <w:i/>
          <w:sz w:val="22"/>
        </w:rPr>
        <w:tab/>
      </w:r>
      <w:r w:rsidRPr="00E924AF">
        <w:rPr>
          <w:rFonts w:ascii="Palatino Linotype" w:eastAsia="Palatino Linotype" w:hAnsi="Palatino Linotype" w:cs="Palatino Linotype"/>
          <w:i/>
          <w:sz w:val="22"/>
        </w:rPr>
        <w:tab/>
      </w:r>
      <w:r w:rsidRPr="00E924AF">
        <w:rPr>
          <w:rFonts w:ascii="Palatino Linotype" w:eastAsia="Palatino Linotype" w:hAnsi="Palatino Linotype" w:cs="Palatino Linotype"/>
          <w:i/>
          <w:color w:val="000000"/>
          <w:sz w:val="22"/>
        </w:rPr>
        <w:t>“sin respuesta”</w:t>
      </w:r>
      <w:r w:rsidRPr="00E924AF">
        <w:rPr>
          <w:rFonts w:ascii="Palatino Linotype" w:eastAsia="Palatino Linotype" w:hAnsi="Palatino Linotype" w:cs="Palatino Linotype"/>
          <w:color w:val="000000"/>
          <w:sz w:val="22"/>
        </w:rPr>
        <w:t xml:space="preserve"> (Sic).</w:t>
      </w:r>
    </w:p>
    <w:p w:rsidR="009B0096" w:rsidRPr="00E924AF" w:rsidRDefault="000F0223">
      <w:pPr>
        <w:numPr>
          <w:ilvl w:val="0"/>
          <w:numId w:val="3"/>
        </w:numPr>
        <w:tabs>
          <w:tab w:val="left" w:pos="0"/>
        </w:tabs>
        <w:spacing w:line="360" w:lineRule="auto"/>
        <w:ind w:right="909"/>
        <w:jc w:val="both"/>
        <w:rPr>
          <w:rFonts w:ascii="Palatino Linotype" w:eastAsia="Palatino Linotype" w:hAnsi="Palatino Linotype" w:cs="Palatino Linotype"/>
          <w:color w:val="000000"/>
          <w:sz w:val="22"/>
        </w:rPr>
      </w:pPr>
      <w:r w:rsidRPr="00E924AF">
        <w:rPr>
          <w:rFonts w:ascii="Palatino Linotype" w:eastAsia="Palatino Linotype" w:hAnsi="Palatino Linotype" w:cs="Palatino Linotype"/>
          <w:b/>
          <w:color w:val="000000"/>
          <w:sz w:val="22"/>
        </w:rPr>
        <w:t>Razones o motivos de inconformidad:</w:t>
      </w:r>
      <w:r w:rsidRPr="00E924AF">
        <w:rPr>
          <w:rFonts w:ascii="Palatino Linotype" w:eastAsia="Palatino Linotype" w:hAnsi="Palatino Linotype" w:cs="Palatino Linotype"/>
          <w:color w:val="000000"/>
          <w:sz w:val="22"/>
        </w:rPr>
        <w:t xml:space="preserve"> </w:t>
      </w:r>
    </w:p>
    <w:p w:rsidR="009B0096" w:rsidRPr="00E924AF" w:rsidRDefault="000F0223">
      <w:pPr>
        <w:tabs>
          <w:tab w:val="left" w:pos="0"/>
        </w:tabs>
        <w:spacing w:line="360" w:lineRule="auto"/>
        <w:ind w:right="909"/>
        <w:jc w:val="both"/>
        <w:rPr>
          <w:rFonts w:ascii="Palatino Linotype" w:eastAsia="Palatino Linotype" w:hAnsi="Palatino Linotype" w:cs="Palatino Linotype"/>
          <w:color w:val="000000"/>
          <w:sz w:val="22"/>
        </w:rPr>
      </w:pPr>
      <w:r w:rsidRPr="00E924AF">
        <w:rPr>
          <w:rFonts w:ascii="Palatino Linotype" w:eastAsia="Palatino Linotype" w:hAnsi="Palatino Linotype" w:cs="Palatino Linotype"/>
          <w:i/>
          <w:sz w:val="22"/>
        </w:rPr>
        <w:tab/>
      </w:r>
      <w:r w:rsidRPr="00E924AF">
        <w:rPr>
          <w:rFonts w:ascii="Palatino Linotype" w:eastAsia="Palatino Linotype" w:hAnsi="Palatino Linotype" w:cs="Palatino Linotype"/>
          <w:i/>
          <w:color w:val="000000"/>
          <w:sz w:val="22"/>
        </w:rPr>
        <w:t>“sin respuesta”</w:t>
      </w:r>
      <w:r w:rsidRPr="00E924AF">
        <w:rPr>
          <w:rFonts w:ascii="Palatino Linotype" w:eastAsia="Palatino Linotype" w:hAnsi="Palatino Linotype" w:cs="Palatino Linotype"/>
          <w:color w:val="000000"/>
          <w:sz w:val="22"/>
        </w:rPr>
        <w:t xml:space="preserve"> (Sic)</w:t>
      </w:r>
    </w:p>
    <w:p w:rsidR="009B0096" w:rsidRPr="00E924AF" w:rsidRDefault="009B0096">
      <w:pPr>
        <w:tabs>
          <w:tab w:val="left" w:pos="0"/>
        </w:tabs>
        <w:spacing w:line="360" w:lineRule="auto"/>
        <w:ind w:right="616"/>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Se registró el recurso de revisión bajo el número de expediente al rubro indicado, asimismo, con fundamento en lo dispuesto por el artículo 185, fracción I, de la Ley de Transparencia y Acceso a la Información Pública del Estado de México y Municipios</w:t>
      </w:r>
      <w:r w:rsidRPr="00E924AF">
        <w:rPr>
          <w:rFonts w:ascii="Palatino Linotype" w:eastAsia="Palatino Linotype" w:hAnsi="Palatino Linotype" w:cs="Palatino Linotype"/>
          <w:b/>
          <w:color w:val="000000"/>
        </w:rPr>
        <w:t xml:space="preserve"> </w:t>
      </w:r>
      <w:r w:rsidRPr="00E924AF">
        <w:rPr>
          <w:rFonts w:ascii="Palatino Linotype" w:eastAsia="Palatino Linotype" w:hAnsi="Palatino Linotype" w:cs="Palatino Linotype"/>
          <w:color w:val="000000"/>
        </w:rPr>
        <w:t xml:space="preserve">se </w:t>
      </w:r>
      <w:r w:rsidRPr="00E924AF">
        <w:rPr>
          <w:rFonts w:ascii="Palatino Linotype" w:eastAsia="Palatino Linotype" w:hAnsi="Palatino Linotype" w:cs="Palatino Linotype"/>
        </w:rPr>
        <w:t>turna</w:t>
      </w:r>
      <w:r w:rsidRPr="00E924AF">
        <w:rPr>
          <w:rFonts w:ascii="Palatino Linotype" w:eastAsia="Palatino Linotype" w:hAnsi="Palatino Linotype" w:cs="Palatino Linotype"/>
          <w:color w:val="000000"/>
        </w:rPr>
        <w:t xml:space="preserve"> a la </w:t>
      </w:r>
      <w:r w:rsidRPr="00E924AF">
        <w:rPr>
          <w:rFonts w:ascii="Palatino Linotype" w:eastAsia="Palatino Linotype" w:hAnsi="Palatino Linotype" w:cs="Palatino Linotype"/>
          <w:b/>
          <w:color w:val="000000"/>
        </w:rPr>
        <w:t xml:space="preserve">Comisionada María del Rosario Mejía Ayala, </w:t>
      </w:r>
      <w:r w:rsidRPr="00E924AF">
        <w:rPr>
          <w:rFonts w:ascii="Palatino Linotype" w:eastAsia="Palatino Linotype" w:hAnsi="Palatino Linotype" w:cs="Palatino Linotype"/>
        </w:rPr>
        <w:t>para</w:t>
      </w:r>
      <w:r w:rsidRPr="00E924AF">
        <w:rPr>
          <w:rFonts w:ascii="Palatino Linotype" w:eastAsia="Palatino Linotype" w:hAnsi="Palatino Linotype" w:cs="Palatino Linotype"/>
          <w:color w:val="000000"/>
        </w:rPr>
        <w:t xml:space="preserve"> su análisis.</w:t>
      </w:r>
    </w:p>
    <w:p w:rsidR="009B0096" w:rsidRPr="00E924AF" w:rsidRDefault="009B0096">
      <w:pPr>
        <w:tabs>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La Ponente, con fundamento en lo dispuesto por el artículo 185, fracción II, de la ley de la materia, a través del acuerdo de admisión de </w:t>
      </w:r>
      <w:r w:rsidRPr="00E924AF">
        <w:rPr>
          <w:rFonts w:ascii="Palatino Linotype" w:eastAsia="Palatino Linotype" w:hAnsi="Palatino Linotype" w:cs="Palatino Linotype"/>
          <w:b/>
          <w:color w:val="000000"/>
        </w:rPr>
        <w:t>diecisiete (17) de mayo de dos mil veinticuatro</w:t>
      </w:r>
      <w:r w:rsidRPr="00E924AF">
        <w:rPr>
          <w:rFonts w:ascii="Palatino Linotype" w:eastAsia="Palatino Linotype" w:hAnsi="Palatino Linotype" w:cs="Palatino Linotype"/>
          <w:color w:val="000000"/>
        </w:rPr>
        <w:t xml:space="preserve">, puso a disposición de las partes el expediente electrónico vía Sistema de Acceso a la Información Mexiquense a efecto de que en un plazo máximo de siete días </w:t>
      </w:r>
      <w:r w:rsidRPr="00E924AF">
        <w:rPr>
          <w:rFonts w:ascii="Palatino Linotype" w:eastAsia="Palatino Linotype" w:hAnsi="Palatino Linotype" w:cs="Palatino Linotype"/>
        </w:rPr>
        <w:t>manifestara</w:t>
      </w:r>
      <w:r w:rsidRPr="00E924AF">
        <w:rPr>
          <w:rFonts w:ascii="Palatino Linotype" w:eastAsia="Palatino Linotype" w:hAnsi="Palatino Linotype" w:cs="Palatino Linotype"/>
          <w:color w:val="000000"/>
        </w:rPr>
        <w:t xml:space="preserve"> lo que a su derecho </w:t>
      </w:r>
      <w:r w:rsidRPr="00E924AF">
        <w:rPr>
          <w:rFonts w:ascii="Palatino Linotype" w:eastAsia="Palatino Linotype" w:hAnsi="Palatino Linotype" w:cs="Palatino Linotype"/>
        </w:rPr>
        <w:t>conviniera</w:t>
      </w:r>
      <w:r w:rsidRPr="00E924AF">
        <w:rPr>
          <w:rFonts w:ascii="Palatino Linotype" w:eastAsia="Palatino Linotype" w:hAnsi="Palatino Linotype" w:cs="Palatino Linotype"/>
          <w:color w:val="000000"/>
        </w:rPr>
        <w:t xml:space="preserve">, </w:t>
      </w:r>
      <w:r w:rsidRPr="00E924AF">
        <w:rPr>
          <w:rFonts w:ascii="Palatino Linotype" w:eastAsia="Palatino Linotype" w:hAnsi="Palatino Linotype" w:cs="Palatino Linotype"/>
        </w:rPr>
        <w:t>ofreciera</w:t>
      </w:r>
      <w:r w:rsidRPr="00E924AF">
        <w:rPr>
          <w:rFonts w:ascii="Palatino Linotype" w:eastAsia="Palatino Linotype" w:hAnsi="Palatino Linotype" w:cs="Palatino Linotype"/>
          <w:color w:val="000000"/>
        </w:rPr>
        <w:t xml:space="preserve"> pruebas y alegatos según </w:t>
      </w:r>
      <w:r w:rsidRPr="00E924AF">
        <w:rPr>
          <w:rFonts w:ascii="Palatino Linotype" w:eastAsia="Palatino Linotype" w:hAnsi="Palatino Linotype" w:cs="Palatino Linotype"/>
          <w:color w:val="000000"/>
        </w:rPr>
        <w:lastRenderedPageBreak/>
        <w:t xml:space="preserve">corresponda a los casos concretos, de esta forma para que el </w:t>
      </w:r>
      <w:r w:rsidRPr="00E924AF">
        <w:rPr>
          <w:rFonts w:ascii="Palatino Linotype" w:eastAsia="Palatino Linotype" w:hAnsi="Palatino Linotype" w:cs="Palatino Linotype"/>
          <w:b/>
          <w:color w:val="000000"/>
        </w:rPr>
        <w:t>SUJETO OBLIGADO</w:t>
      </w:r>
      <w:r w:rsidRPr="00E924AF">
        <w:rPr>
          <w:rFonts w:ascii="Palatino Linotype" w:eastAsia="Palatino Linotype" w:hAnsi="Palatino Linotype" w:cs="Palatino Linotype"/>
          <w:color w:val="000000"/>
        </w:rPr>
        <w:t xml:space="preserve"> </w:t>
      </w:r>
      <w:r w:rsidRPr="00E924AF">
        <w:rPr>
          <w:rFonts w:ascii="Palatino Linotype" w:eastAsia="Palatino Linotype" w:hAnsi="Palatino Linotype" w:cs="Palatino Linotype"/>
        </w:rPr>
        <w:t>presentará</w:t>
      </w:r>
      <w:r w:rsidRPr="00E924AF">
        <w:rPr>
          <w:rFonts w:ascii="Palatino Linotype" w:eastAsia="Palatino Linotype" w:hAnsi="Palatino Linotype" w:cs="Palatino Linotype"/>
          <w:color w:val="000000"/>
        </w:rPr>
        <w:t xml:space="preserve"> el informe justificado procedente, situación que no aconteció por ninguna de las partes. </w:t>
      </w:r>
    </w:p>
    <w:p w:rsidR="009B0096" w:rsidRPr="00E924AF" w:rsidRDefault="009B0096">
      <w:pPr>
        <w:spacing w:line="360" w:lineRule="auto"/>
        <w:jc w:val="both"/>
        <w:rPr>
          <w:rFonts w:ascii="Palatino Linotype" w:eastAsia="Palatino Linotype" w:hAnsi="Palatino Linotype" w:cs="Palatino Linotype"/>
          <w:i/>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De las constancias que obran en el expediente electrónico SAIMEX, se advierte que la </w:t>
      </w:r>
      <w:r w:rsidRPr="00E924AF">
        <w:rPr>
          <w:rFonts w:ascii="Palatino Linotype" w:eastAsia="Palatino Linotype" w:hAnsi="Palatino Linotype" w:cs="Palatino Linotype"/>
          <w:b/>
        </w:rPr>
        <w:t>RECURRENTE</w:t>
      </w:r>
      <w:r w:rsidRPr="00E924AF">
        <w:rPr>
          <w:rFonts w:ascii="Palatino Linotype" w:eastAsia="Palatino Linotype" w:hAnsi="Palatino Linotype" w:cs="Palatino Linotype"/>
        </w:rPr>
        <w:t xml:space="preserve"> no realizó manifestaciones, ni presentó pruebas o alegatos que a su derecho conviniera; por su parte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no rindió informe justificado.</w:t>
      </w:r>
    </w:p>
    <w:p w:rsidR="009B0096" w:rsidRPr="00E924AF" w:rsidRDefault="009B0096">
      <w:pPr>
        <w:spacing w:line="360" w:lineRule="auto"/>
        <w:jc w:val="both"/>
        <w:rPr>
          <w:rFonts w:ascii="Palatino Linotype" w:eastAsia="Palatino Linotype" w:hAnsi="Palatino Linotype" w:cs="Palatino Linotype"/>
          <w:i/>
        </w:rPr>
      </w:pP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La Comisionada Ponente decretó el cierre de instrucción mediante acuerdo de </w:t>
      </w:r>
      <w:r w:rsidRPr="00E924AF">
        <w:rPr>
          <w:rFonts w:ascii="Palatino Linotype" w:eastAsia="Palatino Linotype" w:hAnsi="Palatino Linotype" w:cs="Palatino Linotype"/>
          <w:b/>
          <w:color w:val="000000"/>
        </w:rPr>
        <w:t>seis (06) de junio de dos mil veinticuatro</w:t>
      </w:r>
      <w:r w:rsidRPr="00E924AF">
        <w:rPr>
          <w:rFonts w:ascii="Palatino Linotype" w:eastAsia="Palatino Linotype" w:hAnsi="Palatino Linotype" w:cs="Palatino Linotype"/>
          <w:color w:val="000000"/>
        </w:rPr>
        <w:t>, por lo que, ordenó turnar el expediente a resolución, misma que ahora se pronuncia; y----------------------------------------------------</w:t>
      </w:r>
      <w:r w:rsidRPr="00E924AF">
        <w:rPr>
          <w:rFonts w:ascii="Palatino Linotype" w:eastAsia="Palatino Linotype" w:hAnsi="Palatino Linotype" w:cs="Palatino Linotype"/>
        </w:rPr>
        <w:t>-</w:t>
      </w:r>
    </w:p>
    <w:p w:rsidR="009B0096" w:rsidRPr="00E924AF" w:rsidRDefault="009B0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0096" w:rsidRPr="00E924AF" w:rsidRDefault="009B0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B0096" w:rsidRPr="00E924AF" w:rsidRDefault="000F0223">
      <w:pPr>
        <w:keepNext/>
        <w:keepLines/>
        <w:spacing w:line="360" w:lineRule="auto"/>
        <w:jc w:val="center"/>
        <w:rPr>
          <w:rFonts w:ascii="Palatino Linotype" w:eastAsia="Palatino Linotype" w:hAnsi="Palatino Linotype" w:cs="Palatino Linotype"/>
          <w:b/>
        </w:rPr>
      </w:pPr>
      <w:bookmarkStart w:id="3" w:name="_heading=h.1fob9te" w:colFirst="0" w:colLast="0"/>
      <w:bookmarkEnd w:id="3"/>
      <w:r w:rsidRPr="00E924AF">
        <w:rPr>
          <w:rFonts w:ascii="Palatino Linotype" w:eastAsia="Palatino Linotype" w:hAnsi="Palatino Linotype" w:cs="Palatino Linotype"/>
          <w:b/>
        </w:rPr>
        <w:t>C O N S I D E R A N D O</w:t>
      </w:r>
    </w:p>
    <w:p w:rsidR="009B0096" w:rsidRPr="00E924AF" w:rsidRDefault="009B0096">
      <w:pPr>
        <w:keepNext/>
        <w:keepLines/>
        <w:spacing w:line="360" w:lineRule="auto"/>
        <w:jc w:val="center"/>
        <w:rPr>
          <w:rFonts w:ascii="Palatino Linotype" w:eastAsia="Palatino Linotype" w:hAnsi="Palatino Linotype" w:cs="Palatino Linotype"/>
          <w:b/>
        </w:rPr>
      </w:pPr>
    </w:p>
    <w:p w:rsidR="009B0096" w:rsidRPr="00E924AF" w:rsidRDefault="000F0223">
      <w:pPr>
        <w:keepNext/>
        <w:keepLines/>
        <w:spacing w:line="360" w:lineRule="auto"/>
        <w:rPr>
          <w:rFonts w:ascii="Palatino Linotype" w:eastAsia="Palatino Linotype" w:hAnsi="Palatino Linotype" w:cs="Palatino Linotype"/>
          <w:b/>
        </w:rPr>
      </w:pPr>
      <w:bookmarkStart w:id="4" w:name="_heading=h.3znysh7" w:colFirst="0" w:colLast="0"/>
      <w:bookmarkEnd w:id="4"/>
      <w:r w:rsidRPr="00E924AF">
        <w:rPr>
          <w:rFonts w:ascii="Palatino Linotype" w:eastAsia="Palatino Linotype" w:hAnsi="Palatino Linotype" w:cs="Palatino Linotype"/>
          <w:b/>
        </w:rPr>
        <w:t>PRIMERO. De la competencia.</w:t>
      </w: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w:t>
      </w:r>
      <w:r w:rsidRPr="00E924AF">
        <w:rPr>
          <w:rFonts w:ascii="Palatino Linotype" w:eastAsia="Palatino Linotype" w:hAnsi="Palatino Linotype" w:cs="Palatino Linotype"/>
          <w:color w:val="000000"/>
        </w:rPr>
        <w:lastRenderedPageBreak/>
        <w:t>Acceso a la Información Pública del Estado de México y Municipios; y 7, 9 fracciones I y XXIV, y 11 del Reglamento Interior del Instituto de Transparencia, Acceso a la Información Pública y Protección de Datos Personales del Estado de México y Municipios.</w:t>
      </w:r>
    </w:p>
    <w:p w:rsidR="009B0096" w:rsidRPr="00E924AF" w:rsidRDefault="009B009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9B0096" w:rsidRPr="00E924AF" w:rsidRDefault="000F0223">
      <w:pPr>
        <w:tabs>
          <w:tab w:val="left" w:pos="0"/>
        </w:tabs>
        <w:spacing w:line="360" w:lineRule="auto"/>
        <w:jc w:val="both"/>
        <w:rPr>
          <w:rFonts w:ascii="Palatino Linotype" w:eastAsia="Palatino Linotype" w:hAnsi="Palatino Linotype" w:cs="Palatino Linotype"/>
          <w:b/>
        </w:rPr>
      </w:pPr>
      <w:r w:rsidRPr="00E924AF">
        <w:rPr>
          <w:rFonts w:ascii="Palatino Linotype" w:eastAsia="Palatino Linotype" w:hAnsi="Palatino Linotype" w:cs="Palatino Linotype"/>
          <w:b/>
        </w:rPr>
        <w:t>SEGUNDO. De la oportunidad y procedencia.</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Por ende, se constituye la figura jurídica de la </w:t>
      </w:r>
      <w:r w:rsidRPr="00E924AF">
        <w:rPr>
          <w:rFonts w:ascii="Palatino Linotype" w:eastAsia="Palatino Linotype" w:hAnsi="Palatino Linotype" w:cs="Palatino Linotype"/>
          <w:i/>
        </w:rPr>
        <w:t>negativa ficta</w:t>
      </w:r>
      <w:r w:rsidRPr="00E924AF">
        <w:rPr>
          <w:rFonts w:ascii="Palatino Linotype" w:eastAsia="Palatino Linotype" w:hAnsi="Palatino Linotype" w:cs="Palatino Linotype"/>
        </w:rPr>
        <w:t>, cuya esencia es atribuir un efecto negativo al silencio de la autoridad administrativa frente a las instancias y solicitudes que hagan los particulares, lo cual encuentra sustento en lo que establece el artículo 178, segundo párrafo, de Ley de Transparencia y Acceso a la Información Pública del Estado de México y Municipios</w:t>
      </w:r>
      <w:r w:rsidRPr="00E924AF">
        <w:rPr>
          <w:rFonts w:ascii="Palatino Linotype" w:eastAsia="Palatino Linotype" w:hAnsi="Palatino Linotype" w:cs="Palatino Linotype"/>
          <w:highlight w:val="white"/>
        </w:rPr>
        <w:t xml:space="preserve">, que dispone; ante la falta de respuesta del </w:t>
      </w:r>
      <w:r w:rsidRPr="00E924AF">
        <w:rPr>
          <w:rFonts w:ascii="Palatino Linotype" w:eastAsia="Palatino Linotype" w:hAnsi="Palatino Linotype" w:cs="Palatino Linotype"/>
          <w:b/>
          <w:highlight w:val="white"/>
        </w:rPr>
        <w:t>SUJETO OBLIGADO,</w:t>
      </w:r>
      <w:r w:rsidRPr="00E924AF">
        <w:rPr>
          <w:rFonts w:ascii="Palatino Linotype" w:eastAsia="Palatino Linotype" w:hAnsi="Palatino Linotype" w:cs="Palatino Linotype"/>
          <w:highlight w:val="white"/>
        </w:rPr>
        <w:t xml:space="preserve"> dentro de los plazos establecidos en esta Ley, a una solicitud de acceso a la información pública, el recurso </w:t>
      </w:r>
      <w:r w:rsidRPr="00E924AF">
        <w:rPr>
          <w:rFonts w:ascii="Palatino Linotype" w:eastAsia="Palatino Linotype" w:hAnsi="Palatino Linotype" w:cs="Palatino Linotype"/>
          <w:b/>
          <w:highlight w:val="white"/>
        </w:rPr>
        <w:t xml:space="preserve">podrá ser interpuesto en cualquier momento. </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 xml:space="preserve">Por lo que, tratándose de la </w:t>
      </w:r>
      <w:r w:rsidRPr="00E924AF">
        <w:rPr>
          <w:rFonts w:ascii="Palatino Linotype" w:eastAsia="Palatino Linotype" w:hAnsi="Palatino Linotype" w:cs="Palatino Linotype"/>
          <w:i/>
        </w:rPr>
        <w:t>negativa ficta</w:t>
      </w:r>
      <w:r w:rsidRPr="00E924AF">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E924AF">
        <w:rPr>
          <w:rFonts w:ascii="Palatino Linotype" w:eastAsia="Palatino Linotype" w:hAnsi="Palatino Linotype" w:cs="Palatino Linotype"/>
          <w:i/>
        </w:rPr>
        <w:t>negativa ficta</w:t>
      </w:r>
      <w:r w:rsidRPr="00E924AF">
        <w:rPr>
          <w:rFonts w:ascii="Palatino Linotype" w:eastAsia="Palatino Linotype" w:hAnsi="Palatino Linotype" w:cs="Palatino Linotype"/>
        </w:rPr>
        <w:t>, que señala:</w:t>
      </w:r>
    </w:p>
    <w:p w:rsidR="009B0096" w:rsidRPr="00E924AF" w:rsidRDefault="000F0223">
      <w:pPr>
        <w:tabs>
          <w:tab w:val="left" w:pos="7655"/>
        </w:tabs>
        <w:spacing w:line="276" w:lineRule="auto"/>
        <w:ind w:left="567" w:right="567"/>
        <w:jc w:val="center"/>
        <w:rPr>
          <w:rFonts w:ascii="Palatino Linotype" w:eastAsia="Palatino Linotype" w:hAnsi="Palatino Linotype" w:cs="Palatino Linotype"/>
          <w:b/>
          <w:sz w:val="22"/>
        </w:rPr>
      </w:pPr>
      <w:r w:rsidRPr="00E924AF">
        <w:rPr>
          <w:rFonts w:ascii="Palatino Linotype" w:eastAsia="Palatino Linotype" w:hAnsi="Palatino Linotype" w:cs="Palatino Linotype"/>
          <w:b/>
          <w:sz w:val="22"/>
        </w:rPr>
        <w:t>Criterio 0001-15</w:t>
      </w:r>
    </w:p>
    <w:p w:rsidR="009B0096" w:rsidRPr="00E924AF" w:rsidRDefault="000F0223">
      <w:pPr>
        <w:tabs>
          <w:tab w:val="left" w:pos="7655"/>
        </w:tabs>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NEGATIVA FICTA. PLAZO PARA INTERPONER EL RECURSO DE REVISIÓN TRATÁNDOSE DE.</w:t>
      </w:r>
      <w:r w:rsidRPr="00E924AF">
        <w:rPr>
          <w:rFonts w:ascii="Palatino Linotype" w:eastAsia="Palatino Linotype" w:hAnsi="Palatino Linotype" w:cs="Palatino Linotype"/>
          <w:i/>
          <w:sz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9B0096" w:rsidRPr="00E924AF" w:rsidRDefault="009B0096">
      <w:pPr>
        <w:tabs>
          <w:tab w:val="left" w:pos="7655"/>
        </w:tabs>
        <w:spacing w:line="360" w:lineRule="auto"/>
        <w:ind w:right="567"/>
        <w:jc w:val="both"/>
        <w:rPr>
          <w:rFonts w:ascii="Palatino Linotype" w:eastAsia="Palatino Linotype" w:hAnsi="Palatino Linotype" w:cs="Palatino Linotype"/>
          <w:i/>
          <w:sz w:val="22"/>
        </w:rPr>
      </w:pPr>
    </w:p>
    <w:p w:rsidR="009B0096" w:rsidRPr="00E924AF" w:rsidRDefault="000F0223">
      <w:pPr>
        <w:numPr>
          <w:ilvl w:val="0"/>
          <w:numId w:val="2"/>
        </w:numPr>
        <w:spacing w:line="360" w:lineRule="auto"/>
        <w:ind w:left="0" w:firstLine="0"/>
        <w:jc w:val="both"/>
      </w:pPr>
      <w:bookmarkStart w:id="5" w:name="_heading=h.2et92p0" w:colFirst="0" w:colLast="0"/>
      <w:bookmarkEnd w:id="5"/>
      <w:r w:rsidRPr="00E924AF">
        <w:rPr>
          <w:rFonts w:ascii="Palatino Linotype" w:eastAsia="Palatino Linotype" w:hAnsi="Palatino Linotype" w:cs="Palatino Linotype"/>
        </w:rPr>
        <w:t xml:space="preserve">Lo anterior, se explica porque la </w:t>
      </w:r>
      <w:r w:rsidRPr="00E924AF">
        <w:rPr>
          <w:rFonts w:ascii="Palatino Linotype" w:eastAsia="Palatino Linotype" w:hAnsi="Palatino Linotype" w:cs="Palatino Linotype"/>
          <w:b/>
          <w:u w:val="single"/>
        </w:rPr>
        <w:t>posible ausencia</w:t>
      </w:r>
      <w:r w:rsidRPr="00E924AF">
        <w:rPr>
          <w:rFonts w:ascii="Palatino Linotype" w:eastAsia="Palatino Linotype" w:hAnsi="Palatino Linotype" w:cs="Palatino Linotype"/>
        </w:rPr>
        <w:t xml:space="preserve"> de una respuesta en la solicitud constituye un acto que vulnera el derecho de manera continua y actualizable </w:t>
      </w:r>
      <w:r w:rsidRPr="00E924AF">
        <w:rPr>
          <w:rFonts w:ascii="Palatino Linotype" w:eastAsia="Palatino Linotype" w:hAnsi="Palatino Linotype" w:cs="Palatino Linotype"/>
        </w:rPr>
        <w:lastRenderedPageBreak/>
        <w:t xml:space="preserve">cada día, en tanto no se emita la respuesta a la que esté impuesto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Por otro lado, </w:t>
      </w:r>
      <w:r w:rsidRPr="00E924AF">
        <w:rPr>
          <w:rFonts w:ascii="Palatino Linotype" w:eastAsia="Palatino Linotype" w:hAnsi="Palatino Linotype" w:cs="Palatino Linotype"/>
          <w:color w:val="000000"/>
        </w:rPr>
        <w:t xml:space="preserve">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sidRPr="00E924AF">
        <w:rPr>
          <w:rFonts w:ascii="Palatino Linotype" w:eastAsia="Palatino Linotype" w:hAnsi="Palatino Linotype" w:cs="Palatino Linotype"/>
          <w:b/>
          <w:color w:val="000000"/>
        </w:rPr>
        <w:t>no señaló su nombre, ni se tiene certeza de su identidad</w:t>
      </w:r>
      <w:r w:rsidRPr="00E924AF">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Esto </w:t>
      </w:r>
      <w:r w:rsidRPr="00E924AF">
        <w:rPr>
          <w:rFonts w:ascii="Palatino Linotype" w:eastAsia="Palatino Linotype" w:hAnsi="Palatino Linotype" w:cs="Palatino Linotype"/>
          <w:color w:val="000000"/>
        </w:rPr>
        <w:t>es así, ya que de conformidad con los artículos 6, apartado A, fracciones III y IV de la Constitución Política de los Estados Unidos Mexicanos; 5, párrafos vigésimo segundo, vigésimo tercero y vigésimo cuarto,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 xml:space="preserve">Por </w:t>
      </w:r>
      <w:r w:rsidRPr="00E924AF">
        <w:rPr>
          <w:rFonts w:ascii="Palatino Linotype" w:eastAsia="Palatino Linotype" w:hAnsi="Palatino Linotype" w:cs="Palatino Linotype"/>
          <w:color w:val="000000"/>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Asimismo, como lo establece la Convención Americana en su artículo 13, el derecho de acceso a la información es un derecho humano universal y en consecuencia, toda persona tiene derecho a solicitar acceso a la información.</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rsidR="00E924AF" w:rsidRDefault="00E924AF" w:rsidP="00E924AF">
      <w:pPr>
        <w:pStyle w:val="Prrafodelista"/>
      </w:pPr>
    </w:p>
    <w:p w:rsidR="00E924AF" w:rsidRPr="00E924AF" w:rsidRDefault="00E924AF" w:rsidP="00E924AF">
      <w:pPr>
        <w:spacing w:line="360" w:lineRule="auto"/>
        <w:jc w:val="both"/>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Luego </w:t>
      </w:r>
      <w:r w:rsidRPr="00E924AF">
        <w:rPr>
          <w:rFonts w:ascii="Palatino Linotype" w:eastAsia="Palatino Linotype" w:hAnsi="Palatino Linotype" w:cs="Palatino Linotype"/>
          <w:color w:val="000000"/>
        </w:rPr>
        <w:t>entonces</w:t>
      </w:r>
      <w:r w:rsidRPr="00E924AF">
        <w:rPr>
          <w:rFonts w:ascii="Palatino Linotype" w:eastAsia="Palatino Linotype" w:hAnsi="Palatino Linotype" w:cs="Palatino Linotype"/>
        </w:rPr>
        <w:t xml:space="preserve">, </w:t>
      </w:r>
      <w:r w:rsidRPr="00E924AF">
        <w:rPr>
          <w:rFonts w:ascii="Palatino Linotype" w:eastAsia="Palatino Linotype" w:hAnsi="Palatino Linotype" w:cs="Palatino Linotype"/>
          <w:color w:val="000000"/>
        </w:rPr>
        <w:t xml:space="preserve">el nombre de la </w:t>
      </w:r>
      <w:r w:rsidRPr="00E924AF">
        <w:rPr>
          <w:rFonts w:ascii="Palatino Linotype" w:eastAsia="Palatino Linotype" w:hAnsi="Palatino Linotype" w:cs="Palatino Linotype"/>
          <w:b/>
          <w:color w:val="000000"/>
        </w:rPr>
        <w:t>SOLICITANTE</w:t>
      </w:r>
      <w:r w:rsidRPr="00E924AF">
        <w:rPr>
          <w:rFonts w:ascii="Palatino Linotype" w:eastAsia="Palatino Linotype" w:hAnsi="Palatino Linotype" w:cs="Palatino Linotype"/>
          <w:color w:val="000000"/>
        </w:rPr>
        <w:t xml:space="preserve"> y subsecuente </w:t>
      </w:r>
      <w:r w:rsidRPr="00E924AF">
        <w:rPr>
          <w:rFonts w:ascii="Palatino Linotype" w:eastAsia="Palatino Linotype" w:hAnsi="Palatino Linotype" w:cs="Palatino Linotype"/>
          <w:b/>
          <w:color w:val="000000"/>
        </w:rPr>
        <w:t>RECURRENTE</w:t>
      </w:r>
      <w:r w:rsidRPr="00E924AF">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pBdr>
          <w:top w:val="nil"/>
          <w:left w:val="nil"/>
          <w:bottom w:val="nil"/>
          <w:right w:val="nil"/>
          <w:between w:val="nil"/>
        </w:pBdr>
        <w:spacing w:line="360" w:lineRule="auto"/>
        <w:ind w:left="0" w:right="48" w:firstLine="0"/>
        <w:jc w:val="both"/>
        <w:rPr>
          <w:color w:val="000000"/>
        </w:rPr>
      </w:pPr>
      <w:r w:rsidRPr="00E924AF">
        <w:rPr>
          <w:rFonts w:ascii="Palatino Linotype" w:eastAsia="Palatino Linotype" w:hAnsi="Palatino Linotype" w:cs="Palatino Linotype"/>
          <w:color w:val="000000"/>
        </w:rPr>
        <w:lastRenderedPageBreak/>
        <w:t>Dicho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B0096" w:rsidRPr="00E924AF" w:rsidRDefault="000F0223">
      <w:pPr>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rPr>
        <w:tab/>
      </w:r>
    </w:p>
    <w:p w:rsidR="009B0096" w:rsidRPr="00E924AF" w:rsidRDefault="000F0223">
      <w:pPr>
        <w:keepNext/>
        <w:keepLines/>
        <w:spacing w:line="360" w:lineRule="auto"/>
        <w:rPr>
          <w:rFonts w:ascii="Palatino Linotype" w:eastAsia="Palatino Linotype" w:hAnsi="Palatino Linotype" w:cs="Palatino Linotype"/>
          <w:b/>
        </w:rPr>
      </w:pPr>
      <w:bookmarkStart w:id="6" w:name="_heading=h.tyjcwt" w:colFirst="0" w:colLast="0"/>
      <w:bookmarkEnd w:id="6"/>
      <w:r w:rsidRPr="00E924AF">
        <w:rPr>
          <w:rFonts w:ascii="Palatino Linotype" w:eastAsia="Palatino Linotype" w:hAnsi="Palatino Linotype" w:cs="Palatino Linotype"/>
          <w:b/>
        </w:rPr>
        <w:t xml:space="preserve">TERCERO. Del planteamiento de la </w:t>
      </w:r>
      <w:r w:rsidRPr="00E924AF">
        <w:rPr>
          <w:rFonts w:ascii="Palatino Linotype" w:eastAsia="Palatino Linotype" w:hAnsi="Palatino Linotype" w:cs="Palatino Linotype"/>
          <w:b/>
          <w:i/>
        </w:rPr>
        <w:t>Litis</w:t>
      </w:r>
      <w:r w:rsidRPr="00E924AF">
        <w:rPr>
          <w:rFonts w:ascii="Palatino Linotype" w:eastAsia="Palatino Linotype" w:hAnsi="Palatino Linotype" w:cs="Palatino Linotype"/>
          <w:b/>
        </w:rPr>
        <w:t xml:space="preserve">. </w:t>
      </w:r>
    </w:p>
    <w:p w:rsidR="009B0096" w:rsidRPr="00E924AF" w:rsidRDefault="000F0223">
      <w:pPr>
        <w:numPr>
          <w:ilvl w:val="0"/>
          <w:numId w:val="2"/>
        </w:numPr>
        <w:spacing w:line="360" w:lineRule="auto"/>
        <w:ind w:left="0" w:firstLine="0"/>
        <w:jc w:val="both"/>
      </w:pPr>
      <w:bookmarkStart w:id="7" w:name="_heading=h.3dy6vkm" w:colFirst="0" w:colLast="0"/>
      <w:bookmarkEnd w:id="7"/>
      <w:r w:rsidRPr="00E924AF">
        <w:rPr>
          <w:rFonts w:ascii="Palatino Linotype" w:eastAsia="Palatino Linotype" w:hAnsi="Palatino Linotype" w:cs="Palatino Linotype"/>
        </w:rPr>
        <w:t xml:space="preserve">En relación con el Consejo Consultivo Municipal de Turismo, se requirieron los productos elaborados por éste tales como propuestas, programas, recomendaciones, opiniones, posicionamientos, observaciones y denuncias; así como los informes de actividades y/o resultados, generados del uno (01) de enero al treinta y uno de diciembre de dos mil veintitrés.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no respondió a la solicitud de información. </w:t>
      </w:r>
    </w:p>
    <w:p w:rsidR="009B0096" w:rsidRPr="00E924AF" w:rsidRDefault="009B0096">
      <w:pPr>
        <w:spacing w:line="360" w:lineRule="auto"/>
        <w:jc w:val="both"/>
        <w:rPr>
          <w:rFonts w:ascii="Palatino Linotype" w:eastAsia="Palatino Linotype" w:hAnsi="Palatino Linotype" w:cs="Palatino Linotype"/>
          <w:i/>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Derivado de la falta de respuesta por parte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la particular interpuso el Recurso de Revisión, ante este Órgano Garante para hacer valer su derecho de acceso a la información pública, en el que manifestó en sus motivos de inconformidad, la </w:t>
      </w:r>
      <w:r w:rsidRPr="00E924AF">
        <w:rPr>
          <w:rFonts w:ascii="Palatino Linotype" w:eastAsia="Palatino Linotype" w:hAnsi="Palatino Linotype" w:cs="Palatino Linotype"/>
          <w:b/>
        </w:rPr>
        <w:t>falta de respuesta</w:t>
      </w:r>
      <w:r w:rsidRPr="00E924AF">
        <w:rPr>
          <w:rFonts w:ascii="Palatino Linotype" w:eastAsia="Palatino Linotype" w:hAnsi="Palatino Linotype" w:cs="Palatino Linotype"/>
        </w:rPr>
        <w:t xml:space="preserve"> a su solicitud de información.</w:t>
      </w:r>
    </w:p>
    <w:p w:rsidR="009B0096" w:rsidRPr="00E924AF" w:rsidRDefault="009B0096">
      <w:pPr>
        <w:spacing w:line="360" w:lineRule="auto"/>
        <w:jc w:val="both"/>
        <w:rPr>
          <w:rFonts w:ascii="Palatino Linotype" w:eastAsia="Palatino Linotype" w:hAnsi="Palatino Linotype" w:cs="Palatino Linotype"/>
          <w:i/>
        </w:rPr>
      </w:pPr>
    </w:p>
    <w:p w:rsidR="009B0096" w:rsidRPr="00E924AF" w:rsidRDefault="000F0223">
      <w:pPr>
        <w:numPr>
          <w:ilvl w:val="0"/>
          <w:numId w:val="2"/>
        </w:numPr>
        <w:tabs>
          <w:tab w:val="left" w:pos="284"/>
        </w:tabs>
        <w:spacing w:line="360" w:lineRule="auto"/>
        <w:ind w:left="0" w:firstLine="0"/>
        <w:jc w:val="both"/>
      </w:pPr>
      <w:r w:rsidRPr="00E924AF">
        <w:rPr>
          <w:rFonts w:ascii="Palatino Linotype" w:eastAsia="Palatino Linotype" w:hAnsi="Palatino Linotype" w:cs="Palatino Linotype"/>
        </w:rPr>
        <w:t>Por lo tanto, el presente recurso de revisión se circunscribe en determinar si se actualiza las causales de procedencia</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rPr>
        <w:t xml:space="preserve">contenidas en el artículo 179, fracciones I, VII y XI, de la </w:t>
      </w:r>
      <w:r w:rsidRPr="00E924AF">
        <w:rPr>
          <w:rFonts w:ascii="Palatino Linotype" w:eastAsia="Palatino Linotype" w:hAnsi="Palatino Linotype" w:cs="Palatino Linotype"/>
          <w:b/>
        </w:rPr>
        <w:t>Ley de Transparencia y Acceso a la Información Pública del Estado de México y Municipios</w:t>
      </w:r>
      <w:r w:rsidRPr="00E924AF">
        <w:rPr>
          <w:rFonts w:ascii="Palatino Linotype" w:eastAsia="Palatino Linotype" w:hAnsi="Palatino Linotype" w:cs="Palatino Linotype"/>
        </w:rPr>
        <w:t>.</w:t>
      </w:r>
    </w:p>
    <w:p w:rsidR="009B0096" w:rsidRPr="00E924AF" w:rsidRDefault="009B0096">
      <w:pPr>
        <w:spacing w:line="360" w:lineRule="auto"/>
        <w:ind w:left="720"/>
        <w:rPr>
          <w:rFonts w:ascii="Palatino Linotype" w:eastAsia="Palatino Linotype" w:hAnsi="Palatino Linotype" w:cs="Palatino Linotype"/>
          <w:i/>
        </w:rPr>
      </w:pPr>
    </w:p>
    <w:p w:rsidR="009B0096" w:rsidRPr="00E924AF" w:rsidRDefault="000F0223">
      <w:pPr>
        <w:keepNext/>
        <w:keepLines/>
        <w:tabs>
          <w:tab w:val="left" w:pos="284"/>
        </w:tabs>
        <w:spacing w:line="360" w:lineRule="auto"/>
        <w:rPr>
          <w:rFonts w:ascii="Palatino Linotype" w:eastAsia="Palatino Linotype" w:hAnsi="Palatino Linotype" w:cs="Palatino Linotype"/>
          <w:b/>
        </w:rPr>
      </w:pPr>
      <w:bookmarkStart w:id="8" w:name="_heading=h.1t3h5sf" w:colFirst="0" w:colLast="0"/>
      <w:bookmarkEnd w:id="8"/>
      <w:r w:rsidRPr="00E924AF">
        <w:rPr>
          <w:rFonts w:ascii="Palatino Linotype" w:eastAsia="Palatino Linotype" w:hAnsi="Palatino Linotype" w:cs="Palatino Linotype"/>
          <w:b/>
        </w:rPr>
        <w:lastRenderedPageBreak/>
        <w:t>CUARTO. Del estudio y resolución del asunto.</w:t>
      </w:r>
    </w:p>
    <w:p w:rsidR="009B0096" w:rsidRPr="00E924AF" w:rsidRDefault="000F0223">
      <w:pPr>
        <w:keepNext/>
        <w:keepLines/>
        <w:spacing w:line="360" w:lineRule="auto"/>
        <w:jc w:val="both"/>
        <w:rPr>
          <w:rFonts w:ascii="Palatino Linotype" w:eastAsia="Palatino Linotype" w:hAnsi="Palatino Linotype" w:cs="Palatino Linotype"/>
          <w:b/>
        </w:rPr>
      </w:pPr>
      <w:bookmarkStart w:id="9" w:name="_heading=h.4d34og8" w:colFirst="0" w:colLast="0"/>
      <w:bookmarkEnd w:id="9"/>
      <w:r w:rsidRPr="00E924AF">
        <w:rPr>
          <w:rFonts w:ascii="Palatino Linotype" w:eastAsia="Palatino Linotype" w:hAnsi="Palatino Linotype" w:cs="Palatino Linotype"/>
          <w:b/>
        </w:rPr>
        <w:t>I. Del derecho de acceso a la información.</w:t>
      </w:r>
    </w:p>
    <w:p w:rsidR="009B0096" w:rsidRPr="00E924AF" w:rsidRDefault="000F0223">
      <w:pPr>
        <w:numPr>
          <w:ilvl w:val="0"/>
          <w:numId w:val="2"/>
        </w:numPr>
        <w:spacing w:line="360" w:lineRule="auto"/>
        <w:ind w:left="0" w:firstLine="0"/>
        <w:jc w:val="both"/>
        <w:rPr>
          <w:color w:val="000000"/>
        </w:rPr>
      </w:pPr>
      <w:bookmarkStart w:id="10" w:name="_heading=h.2s8eyo1" w:colFirst="0" w:colLast="0"/>
      <w:bookmarkEnd w:id="10"/>
      <w:r w:rsidRPr="00E924AF">
        <w:rPr>
          <w:rFonts w:ascii="Palatino Linotype" w:eastAsia="Palatino Linotype" w:hAnsi="Palatino Linotype" w:cs="Palatino Linotype"/>
        </w:rPr>
        <w:t>E</w:t>
      </w:r>
      <w:r w:rsidRPr="00E924AF">
        <w:rPr>
          <w:rFonts w:ascii="Palatino Linotype" w:eastAsia="Palatino Linotype" w:hAnsi="Palatino Linotype" w:cs="Palatino Linotype"/>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9B0096" w:rsidRPr="00E924AF" w:rsidRDefault="009B0096">
      <w:pPr>
        <w:spacing w:line="360" w:lineRule="auto"/>
        <w:ind w:right="49"/>
        <w:jc w:val="both"/>
        <w:rPr>
          <w:rFonts w:ascii="Palatino Linotype" w:eastAsia="Palatino Linotype" w:hAnsi="Palatino Linotype" w:cs="Palatino Linotype"/>
          <w:color w:val="000000"/>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Definiendo el Derecho de Acceso a la Información Pública como: </w:t>
      </w:r>
      <w:r w:rsidRPr="00E924AF">
        <w:rPr>
          <w:rFonts w:ascii="Palatino Linotype" w:eastAsia="Palatino Linotype" w:hAnsi="Palatino Linotype" w:cs="Palatino Linotype"/>
          <w:i/>
          <w:color w:val="000000"/>
        </w:rPr>
        <w:t>La igualdad de oportunidades para recibir, buscar e impartir información</w:t>
      </w:r>
      <w:r w:rsidRPr="00E924AF">
        <w:rPr>
          <w:rFonts w:ascii="Palatino Linotype" w:eastAsia="Palatino Linotype" w:hAnsi="Palatino Linotype" w:cs="Palatino Linotype"/>
          <w:i/>
          <w:color w:val="000000"/>
          <w:vertAlign w:val="superscript"/>
        </w:rPr>
        <w:footnoteReference w:id="1"/>
      </w:r>
      <w:r w:rsidRPr="00E924AF">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924AF">
        <w:rPr>
          <w:rFonts w:ascii="Palatino Linotype" w:eastAsia="Palatino Linotype" w:hAnsi="Palatino Linotype" w:cs="Palatino Linotype"/>
          <w:i/>
          <w:color w:val="000000"/>
          <w:vertAlign w:val="superscript"/>
        </w:rPr>
        <w:footnoteReference w:id="2"/>
      </w:r>
      <w:r w:rsidRPr="00E924AF">
        <w:rPr>
          <w:rFonts w:ascii="Palatino Linotype" w:eastAsia="Palatino Linotype" w:hAnsi="Palatino Linotype" w:cs="Palatino Linotype"/>
          <w:color w:val="000000"/>
        </w:rPr>
        <w:t>que se constituye como una herramienta fundamental para ejercer</w:t>
      </w:r>
      <w:r w:rsidRPr="00E924AF">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924AF">
        <w:rPr>
          <w:rFonts w:ascii="Palatino Linotype" w:eastAsia="Palatino Linotype" w:hAnsi="Palatino Linotype" w:cs="Palatino Linotype"/>
          <w:i/>
          <w:color w:val="000000"/>
          <w:vertAlign w:val="superscript"/>
        </w:rPr>
        <w:footnoteReference w:id="3"/>
      </w:r>
      <w:r w:rsidRPr="00E924AF">
        <w:rPr>
          <w:rFonts w:ascii="Palatino Linotype" w:eastAsia="Palatino Linotype" w:hAnsi="Palatino Linotype" w:cs="Palatino Linotype"/>
          <w:color w:val="000000"/>
        </w:rPr>
        <w:t>fomentando</w:t>
      </w:r>
      <w:r w:rsidRPr="00E924AF">
        <w:rPr>
          <w:rFonts w:ascii="Palatino Linotype" w:eastAsia="Palatino Linotype" w:hAnsi="Palatino Linotype" w:cs="Palatino Linotype"/>
          <w:i/>
          <w:color w:val="000000"/>
        </w:rPr>
        <w:t xml:space="preserve"> la transparencia de las actividades estatales y </w:t>
      </w:r>
      <w:r w:rsidRPr="00E924AF">
        <w:rPr>
          <w:rFonts w:ascii="Palatino Linotype" w:eastAsia="Palatino Linotype" w:hAnsi="Palatino Linotype" w:cs="Palatino Linotype"/>
          <w:color w:val="000000"/>
        </w:rPr>
        <w:t>promoviendo</w:t>
      </w:r>
      <w:r w:rsidRPr="00E924AF">
        <w:rPr>
          <w:rFonts w:ascii="Palatino Linotype" w:eastAsia="Palatino Linotype" w:hAnsi="Palatino Linotype" w:cs="Palatino Linotype"/>
          <w:i/>
          <w:color w:val="000000"/>
        </w:rPr>
        <w:t xml:space="preserve"> la responsabilidad de los funcionarios sobre su gestión pública,</w:t>
      </w:r>
      <w:r w:rsidRPr="00E924AF">
        <w:rPr>
          <w:rFonts w:ascii="Palatino Linotype" w:eastAsia="Palatino Linotype" w:hAnsi="Palatino Linotype" w:cs="Palatino Linotype"/>
          <w:i/>
          <w:color w:val="000000"/>
          <w:vertAlign w:val="superscript"/>
        </w:rPr>
        <w:footnoteReference w:id="4"/>
      </w:r>
      <w:r w:rsidRPr="00E924AF">
        <w:rPr>
          <w:rFonts w:ascii="Palatino Linotype" w:eastAsia="Palatino Linotype" w:hAnsi="Palatino Linotype" w:cs="Palatino Linotype"/>
          <w:color w:val="000000"/>
        </w:rPr>
        <w:t>que permite</w:t>
      </w:r>
      <w:r w:rsidRPr="00E924A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sz w:val="22"/>
        </w:rPr>
        <w:t xml:space="preserve"> </w:t>
      </w: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Artículo 1.-</w:t>
      </w:r>
      <w:r w:rsidRPr="00E924AF">
        <w:rPr>
          <w:rFonts w:ascii="Palatino Linotype" w:eastAsia="Palatino Linotype" w:hAnsi="Palatino Linotype" w:cs="Palatino Linotype"/>
          <w:i/>
          <w:sz w:val="22"/>
        </w:rPr>
        <w:t xml:space="preserve"> </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Todas las</w:t>
      </w:r>
      <w:r w:rsidRPr="00E924AF">
        <w:rPr>
          <w:rFonts w:ascii="Palatino Linotype" w:eastAsia="Palatino Linotype" w:hAnsi="Palatino Linotype" w:cs="Palatino Linotype"/>
          <w:sz w:val="22"/>
        </w:rPr>
        <w:t xml:space="preserve"> </w:t>
      </w:r>
      <w:r w:rsidRPr="00E924AF">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B0096" w:rsidRPr="00E924AF" w:rsidRDefault="000F0223">
      <w:pPr>
        <w:spacing w:line="276" w:lineRule="auto"/>
        <w:ind w:left="567" w:right="567"/>
        <w:jc w:val="both"/>
        <w:rPr>
          <w:rFonts w:ascii="Palatino Linotype" w:eastAsia="Palatino Linotype" w:hAnsi="Palatino Linotype" w:cs="Palatino Linotype"/>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sz w:val="22"/>
        </w:rPr>
        <w:t>”.</w:t>
      </w:r>
    </w:p>
    <w:p w:rsidR="009B0096" w:rsidRPr="00E924AF" w:rsidRDefault="000F0223">
      <w:pPr>
        <w:spacing w:line="276" w:lineRule="auto"/>
        <w:ind w:left="567" w:right="567"/>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(Énfasis Añadido)</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24AF" w:rsidRPr="00E924AF" w:rsidRDefault="00E924AF" w:rsidP="00E924AF">
      <w:pPr>
        <w:spacing w:line="360" w:lineRule="auto"/>
        <w:jc w:val="both"/>
      </w:pPr>
    </w:p>
    <w:p w:rsidR="009B0096" w:rsidRPr="00E924AF" w:rsidRDefault="000F0223">
      <w:pPr>
        <w:numPr>
          <w:ilvl w:val="0"/>
          <w:numId w:val="2"/>
        </w:numPr>
        <w:tabs>
          <w:tab w:val="left" w:pos="0"/>
        </w:tabs>
        <w:spacing w:line="360" w:lineRule="auto"/>
        <w:ind w:left="0" w:firstLine="0"/>
        <w:jc w:val="both"/>
      </w:pPr>
      <w:r w:rsidRPr="00E924AF">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B0096" w:rsidRPr="00E924AF" w:rsidRDefault="000F0223">
      <w:pPr>
        <w:spacing w:line="276" w:lineRule="auto"/>
        <w:ind w:left="567" w:right="567"/>
        <w:jc w:val="center"/>
        <w:rPr>
          <w:rFonts w:ascii="Palatino Linotype" w:eastAsia="Palatino Linotype" w:hAnsi="Palatino Linotype" w:cs="Palatino Linotype"/>
          <w:b/>
          <w:i/>
          <w:sz w:val="22"/>
        </w:rPr>
      </w:pP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Constitución Política de los Estados Unidos Mexicanos</w:t>
      </w:r>
    </w:p>
    <w:p w:rsidR="009B0096" w:rsidRPr="00E924AF" w:rsidRDefault="000F0223">
      <w:pPr>
        <w:spacing w:line="276" w:lineRule="auto"/>
        <w:ind w:left="567" w:right="567"/>
        <w:jc w:val="both"/>
        <w:rPr>
          <w:rFonts w:ascii="Palatino Linotype" w:eastAsia="Palatino Linotype" w:hAnsi="Palatino Linotype" w:cs="Palatino Linotype"/>
          <w:b/>
          <w:i/>
          <w:sz w:val="22"/>
        </w:rPr>
      </w:pPr>
      <w:r w:rsidRPr="00E924AF">
        <w:rPr>
          <w:rFonts w:ascii="Palatino Linotype" w:eastAsia="Palatino Linotype" w:hAnsi="Palatino Linotype" w:cs="Palatino Linotype"/>
          <w:b/>
          <w:i/>
          <w:sz w:val="22"/>
        </w:rPr>
        <w:t>“Artículo 6.</w:t>
      </w:r>
      <w:r w:rsidRPr="00E924AF">
        <w:rPr>
          <w:rFonts w:ascii="Palatino Linotype" w:eastAsia="Palatino Linotype" w:hAnsi="Palatino Linotype" w:cs="Palatino Linotype"/>
          <w:i/>
          <w:sz w:val="22"/>
        </w:rPr>
        <w:t xml:space="preserve"> …</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Para efectos de lo dispuesto en el presente artículo se observará lo siguiente:</w:t>
      </w:r>
    </w:p>
    <w:p w:rsidR="009B0096" w:rsidRPr="00E924AF" w:rsidRDefault="000F0223">
      <w:pPr>
        <w:spacing w:line="276" w:lineRule="auto"/>
        <w:ind w:left="567" w:right="567"/>
        <w:jc w:val="both"/>
        <w:rPr>
          <w:rFonts w:ascii="Palatino Linotype" w:eastAsia="Palatino Linotype" w:hAnsi="Palatino Linotype" w:cs="Palatino Linotype"/>
          <w:b/>
          <w:i/>
          <w:sz w:val="22"/>
        </w:rPr>
      </w:pPr>
      <w:r w:rsidRPr="00E924AF">
        <w:rPr>
          <w:rFonts w:ascii="Palatino Linotype" w:eastAsia="Palatino Linotype" w:hAnsi="Palatino Linotype" w:cs="Palatino Linotype"/>
          <w:b/>
          <w:i/>
          <w:sz w:val="22"/>
        </w:rPr>
        <w:lastRenderedPageBreak/>
        <w:t>A</w:t>
      </w: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Para el ejercicio del derecho de acceso a la información</w:t>
      </w:r>
      <w:r w:rsidRPr="00E924AF">
        <w:rPr>
          <w:rFonts w:ascii="Palatino Linotype" w:eastAsia="Palatino Linotype" w:hAnsi="Palatino Linotype" w:cs="Palatino Linotype"/>
          <w:i/>
          <w:sz w:val="22"/>
        </w:rPr>
        <w:t xml:space="preserve">, la Federación y </w:t>
      </w:r>
      <w:r w:rsidRPr="00E924AF">
        <w:rPr>
          <w:rFonts w:ascii="Palatino Linotype" w:eastAsia="Palatino Linotype" w:hAnsi="Palatino Linotype" w:cs="Palatino Linotype"/>
          <w:b/>
          <w:i/>
          <w:sz w:val="22"/>
        </w:rPr>
        <w:t>las entidades federativas, en el ámbito de sus respectivas competencias, se regirán por los siguientes principios y bases:</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 xml:space="preserve">I. </w:t>
      </w:r>
      <w:r w:rsidRPr="00E924AF">
        <w:rPr>
          <w:rFonts w:ascii="Palatino Linotype" w:eastAsia="Palatino Linotype" w:hAnsi="Palatino Linotype" w:cs="Palatino Linotype"/>
          <w:b/>
          <w:i/>
          <w:sz w:val="22"/>
        </w:rPr>
        <w:tab/>
        <w:t>Toda la información en posesión de cualquier</w:t>
      </w: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autoridad</w:t>
      </w:r>
      <w:r w:rsidRPr="00E924AF">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924AF">
        <w:rPr>
          <w:rFonts w:ascii="Palatino Linotype" w:eastAsia="Palatino Linotype" w:hAnsi="Palatino Linotype" w:cs="Palatino Linotype"/>
          <w:b/>
          <w:i/>
          <w:sz w:val="22"/>
        </w:rPr>
        <w:t>municipal</w:t>
      </w: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es pública</w:t>
      </w:r>
      <w:r w:rsidRPr="00E924AF">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E924AF">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E924AF">
        <w:rPr>
          <w:rFonts w:ascii="Palatino Linotype" w:eastAsia="Palatino Linotype" w:hAnsi="Palatino Linotype" w:cs="Palatino Linotype"/>
          <w:i/>
          <w:sz w:val="22"/>
        </w:rPr>
        <w:t>, la ley determinará los supuestos específicos bajo los cuales procederá la declaración de inexistencia de la información.”</w:t>
      </w:r>
    </w:p>
    <w:p w:rsidR="009B0096" w:rsidRPr="00E924AF" w:rsidRDefault="000F0223">
      <w:pPr>
        <w:pBdr>
          <w:top w:val="nil"/>
          <w:left w:val="nil"/>
          <w:bottom w:val="nil"/>
          <w:right w:val="nil"/>
          <w:between w:val="nil"/>
        </w:pBdr>
        <w:tabs>
          <w:tab w:val="left" w:pos="567"/>
        </w:tabs>
        <w:spacing w:line="276" w:lineRule="auto"/>
        <w:ind w:left="567" w:right="567"/>
        <w:jc w:val="both"/>
        <w:rPr>
          <w:rFonts w:ascii="Palatino Linotype" w:eastAsia="Palatino Linotype" w:hAnsi="Palatino Linotype" w:cs="Palatino Linotype"/>
          <w:b/>
          <w:i/>
          <w:color w:val="000000"/>
          <w:sz w:val="22"/>
        </w:rPr>
      </w:pPr>
      <w:r w:rsidRPr="00E924AF">
        <w:rPr>
          <w:rFonts w:ascii="Palatino Linotype" w:eastAsia="Palatino Linotype" w:hAnsi="Palatino Linotype" w:cs="Palatino Linotype"/>
          <w:b/>
          <w:i/>
          <w:color w:val="000000"/>
          <w:sz w:val="22"/>
        </w:rPr>
        <w:t>(Énfasis añadido)</w:t>
      </w:r>
    </w:p>
    <w:p w:rsidR="009B0096" w:rsidRPr="00E924AF" w:rsidRDefault="009B0096">
      <w:pPr>
        <w:pBdr>
          <w:top w:val="nil"/>
          <w:left w:val="nil"/>
          <w:bottom w:val="nil"/>
          <w:right w:val="nil"/>
          <w:between w:val="nil"/>
        </w:pBdr>
        <w:tabs>
          <w:tab w:val="left" w:pos="567"/>
        </w:tabs>
        <w:spacing w:line="276" w:lineRule="auto"/>
        <w:ind w:left="567" w:right="567"/>
        <w:jc w:val="both"/>
        <w:rPr>
          <w:rFonts w:ascii="Palatino Linotype" w:eastAsia="Palatino Linotype" w:hAnsi="Palatino Linotype" w:cs="Palatino Linotype"/>
          <w:b/>
          <w:i/>
          <w:color w:val="000000"/>
          <w:sz w:val="22"/>
        </w:rPr>
      </w:pPr>
    </w:p>
    <w:p w:rsidR="009B0096" w:rsidRPr="00E924AF" w:rsidRDefault="000F0223">
      <w:pPr>
        <w:spacing w:line="276" w:lineRule="auto"/>
        <w:ind w:left="567" w:right="567"/>
        <w:jc w:val="center"/>
        <w:rPr>
          <w:rFonts w:ascii="Palatino Linotype" w:eastAsia="Palatino Linotype" w:hAnsi="Palatino Linotype" w:cs="Palatino Linotype"/>
          <w:b/>
          <w:i/>
          <w:sz w:val="22"/>
        </w:rPr>
      </w:pPr>
      <w:r w:rsidRPr="00E924AF">
        <w:rPr>
          <w:rFonts w:ascii="Palatino Linotype" w:eastAsia="Palatino Linotype" w:hAnsi="Palatino Linotype" w:cs="Palatino Linotype"/>
          <w:b/>
          <w:i/>
          <w:sz w:val="22"/>
        </w:rPr>
        <w:t>Constitución Política del Estado Libre y Soberano de México</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5</w:t>
      </w:r>
      <w:r w:rsidRPr="00E924AF">
        <w:rPr>
          <w:rFonts w:ascii="Palatino Linotype" w:eastAsia="Palatino Linotype" w:hAnsi="Palatino Linotype" w:cs="Palatino Linotype"/>
          <w:i/>
          <w:sz w:val="22"/>
        </w:rPr>
        <w:t>.- …</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Este derecho se regirá por los principios y bases siguientes</w:t>
      </w: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I. Toda la información en posesión de cualquier autoridad, entidad, órgano y organismos de los</w:t>
      </w:r>
      <w:r w:rsidRPr="00E924AF">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E924AF">
        <w:rPr>
          <w:rFonts w:ascii="Palatino Linotype" w:eastAsia="Palatino Linotype" w:hAnsi="Palatino Linotype" w:cs="Palatino Linotype"/>
          <w:b/>
          <w:i/>
          <w:sz w:val="22"/>
        </w:rPr>
        <w:t>municipales</w:t>
      </w:r>
      <w:r w:rsidRPr="00E924AF">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924AF">
        <w:rPr>
          <w:rFonts w:ascii="Palatino Linotype" w:eastAsia="Palatino Linotype" w:hAnsi="Palatino Linotype" w:cs="Palatino Linotype"/>
          <w:b/>
          <w:i/>
          <w:sz w:val="22"/>
        </w:rPr>
        <w:t>es pública</w:t>
      </w:r>
      <w:r w:rsidRPr="00E924AF">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E924AF">
        <w:rPr>
          <w:rFonts w:ascii="Palatino Linotype" w:eastAsia="Palatino Linotype" w:hAnsi="Palatino Linotype" w:cs="Palatino Linotype"/>
          <w:b/>
          <w:i/>
          <w:sz w:val="22"/>
        </w:rPr>
        <w:t xml:space="preserve">En </w:t>
      </w:r>
      <w:r w:rsidRPr="00E924AF">
        <w:rPr>
          <w:rFonts w:ascii="Palatino Linotype" w:eastAsia="Palatino Linotype" w:hAnsi="Palatino Linotype" w:cs="Palatino Linotype"/>
          <w:b/>
          <w:i/>
          <w:sz w:val="22"/>
        </w:rPr>
        <w:lastRenderedPageBreak/>
        <w:t>la interpretación de este derecho deberá prevalecer el principio de máxima publicidad</w:t>
      </w: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Los sujetos obligados deberán documentar todo acto que derive del ejercicio de sus facultades, competencias o funciones</w:t>
      </w:r>
      <w:r w:rsidRPr="00E924AF">
        <w:rPr>
          <w:rFonts w:ascii="Palatino Linotype" w:eastAsia="Palatino Linotype" w:hAnsi="Palatino Linotype" w:cs="Palatino Linotype"/>
          <w:i/>
          <w:sz w:val="22"/>
        </w:rPr>
        <w:t>, la ley determinará los supuestos específicos bajo los cuales procederá la declaración de inexistencia de la información.”</w:t>
      </w:r>
    </w:p>
    <w:p w:rsidR="009B0096" w:rsidRPr="00E924AF" w:rsidRDefault="000F0223">
      <w:pPr>
        <w:pBdr>
          <w:top w:val="nil"/>
          <w:left w:val="nil"/>
          <w:bottom w:val="nil"/>
          <w:right w:val="nil"/>
          <w:between w:val="nil"/>
        </w:pBdr>
        <w:tabs>
          <w:tab w:val="left" w:pos="567"/>
        </w:tabs>
        <w:spacing w:line="276" w:lineRule="auto"/>
        <w:ind w:left="567" w:right="567"/>
        <w:jc w:val="both"/>
        <w:rPr>
          <w:rFonts w:ascii="Palatino Linotype" w:eastAsia="Palatino Linotype" w:hAnsi="Palatino Linotype" w:cs="Palatino Linotype"/>
          <w:color w:val="000000"/>
          <w:sz w:val="22"/>
        </w:rPr>
      </w:pPr>
      <w:r w:rsidRPr="00E924AF">
        <w:rPr>
          <w:rFonts w:ascii="Palatino Linotype" w:eastAsia="Palatino Linotype" w:hAnsi="Palatino Linotype" w:cs="Palatino Linotype"/>
          <w:color w:val="000000"/>
          <w:sz w:val="22"/>
        </w:rPr>
        <w:t>(Énfasis añadido)</w:t>
      </w:r>
    </w:p>
    <w:p w:rsidR="009B0096" w:rsidRPr="00E924AF" w:rsidRDefault="009B0096">
      <w:pPr>
        <w:spacing w:line="360" w:lineRule="auto"/>
        <w:ind w:left="567" w:right="567"/>
        <w:jc w:val="both"/>
        <w:rPr>
          <w:rFonts w:ascii="Palatino Linotype" w:eastAsia="Palatino Linotype" w:hAnsi="Palatino Linotype" w:cs="Palatino Linotype"/>
          <w:i/>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E924AF">
        <w:rPr>
          <w:rFonts w:ascii="Palatino Linotype" w:eastAsia="Palatino Linotype" w:hAnsi="Palatino Linotype" w:cs="Palatino Linotype"/>
          <w:i/>
        </w:rPr>
        <w:t>por los principios de simplicidad, rapidez gratuidad del procedimiento, auxilio y orientación a los particulares</w:t>
      </w:r>
      <w:r w:rsidRPr="00E924AF">
        <w:rPr>
          <w:rFonts w:ascii="Palatino Linotype" w:eastAsia="Palatino Linotype" w:hAnsi="Palatino Linotype" w:cs="Palatino Linotype"/>
        </w:rPr>
        <w:t>, contemplando el derecho de las personas con discapacidad y hablantes de lengua indígena.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El Derecho de Acceso a la Información se garantiza y respeta oportunamente, y según lo que dispone la Ley, las </w:t>
      </w:r>
      <w:r w:rsidRPr="00E924AF">
        <w:rPr>
          <w:rFonts w:ascii="Palatino Linotype" w:eastAsia="Palatino Linotype" w:hAnsi="Palatino Linotype" w:cs="Palatino Linotype"/>
          <w:i/>
        </w:rPr>
        <w:t>solicitudes de acceso a la información</w:t>
      </w:r>
      <w:r w:rsidRPr="00E924AF">
        <w:rPr>
          <w:rFonts w:ascii="Palatino Linotype" w:eastAsia="Palatino Linotype" w:hAnsi="Palatino Linotype" w:cs="Palatino Linotype"/>
        </w:rPr>
        <w:t>.</w:t>
      </w:r>
    </w:p>
    <w:p w:rsidR="009B0096" w:rsidRPr="00E924AF" w:rsidRDefault="009B0096">
      <w:pPr>
        <w:pBdr>
          <w:top w:val="nil"/>
          <w:left w:val="nil"/>
          <w:bottom w:val="nil"/>
          <w:right w:val="nil"/>
          <w:between w:val="nil"/>
        </w:pBdr>
        <w:spacing w:line="360" w:lineRule="auto"/>
        <w:rPr>
          <w:rFonts w:ascii="Palatino Linotype" w:eastAsia="Palatino Linotype" w:hAnsi="Palatino Linotype" w:cs="Palatino Linotype"/>
          <w:color w:val="000000"/>
        </w:rPr>
      </w:pPr>
    </w:p>
    <w:p w:rsidR="009B0096" w:rsidRPr="00E924AF" w:rsidRDefault="000F0223">
      <w:pPr>
        <w:keepNext/>
        <w:keepLines/>
        <w:tabs>
          <w:tab w:val="left" w:pos="426"/>
        </w:tabs>
        <w:spacing w:line="360" w:lineRule="auto"/>
        <w:jc w:val="both"/>
        <w:rPr>
          <w:rFonts w:ascii="Palatino Linotype" w:eastAsia="Palatino Linotype" w:hAnsi="Palatino Linotype" w:cs="Palatino Linotype"/>
          <w:b/>
        </w:rPr>
      </w:pPr>
      <w:bookmarkStart w:id="11" w:name="_heading=h.17dp8vu" w:colFirst="0" w:colLast="0"/>
      <w:bookmarkEnd w:id="11"/>
      <w:r w:rsidRPr="00E924AF">
        <w:rPr>
          <w:rFonts w:ascii="Palatino Linotype" w:eastAsia="Palatino Linotype" w:hAnsi="Palatino Linotype" w:cs="Palatino Linotype"/>
          <w:b/>
        </w:rPr>
        <w:t xml:space="preserve">II. Del deber de las autoridades de promover, respetar, proteger y garantizar el derecho de acceso a la información pública. </w:t>
      </w: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Con fundamento en el artículo 150 de la Ley de Transparencia y Acceso a la Información Pública del Estado de México y Municipios, la solicitud de información es la garantía primaria del Derecho de Acceso a la información Pública, además, establece que se regirá por los principios de simplicidad, rapidez gratuidad del procedimiento, auxilio y orientación a los particulares, contemplando el derecho de las personas con discapacidad y hablantes de lengua indígena.</w:t>
      </w:r>
    </w:p>
    <w:p w:rsidR="009B0096" w:rsidRPr="00E924AF" w:rsidRDefault="009B0096">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Hay que mencionar además que el artículo 21 de la Ley de Transparencia del Estado de México establece que todo procedimiento en materia de derecho de acceso </w:t>
      </w:r>
      <w:r w:rsidRPr="00E924AF">
        <w:rPr>
          <w:rFonts w:ascii="Palatino Linotype" w:eastAsia="Palatino Linotype" w:hAnsi="Palatino Linotype" w:cs="Palatino Linotype"/>
          <w:color w:val="000000"/>
        </w:rPr>
        <w:lastRenderedPageBreak/>
        <w:t>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rsidR="009B0096" w:rsidRPr="00E924AF" w:rsidRDefault="009B009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rsidR="009B0096" w:rsidRPr="00E924AF" w:rsidRDefault="000F0223">
      <w:pPr>
        <w:pBdr>
          <w:top w:val="nil"/>
          <w:left w:val="nil"/>
          <w:bottom w:val="nil"/>
          <w:right w:val="nil"/>
          <w:between w:val="nil"/>
        </w:pBdr>
        <w:spacing w:line="276" w:lineRule="auto"/>
        <w:ind w:left="851" w:right="567"/>
        <w:jc w:val="both"/>
        <w:rPr>
          <w:rFonts w:ascii="Palatino Linotype" w:eastAsia="Palatino Linotype" w:hAnsi="Palatino Linotype" w:cs="Palatino Linotype"/>
          <w:b/>
          <w:i/>
          <w:color w:val="000000"/>
          <w:sz w:val="22"/>
        </w:rPr>
      </w:pPr>
      <w:r w:rsidRPr="00E924AF">
        <w:rPr>
          <w:rFonts w:ascii="Palatino Linotype" w:eastAsia="Palatino Linotype" w:hAnsi="Palatino Linotype" w:cs="Palatino Linotype"/>
          <w:i/>
          <w:color w:val="000000"/>
          <w:sz w:val="22"/>
        </w:rPr>
        <w:t>“</w:t>
      </w:r>
      <w:r w:rsidRPr="00E924AF">
        <w:rPr>
          <w:rFonts w:ascii="Palatino Linotype" w:eastAsia="Palatino Linotype" w:hAnsi="Palatino Linotype" w:cs="Palatino Linotype"/>
          <w:b/>
          <w:i/>
          <w:color w:val="000000"/>
          <w:sz w:val="22"/>
        </w:rPr>
        <w:t>Artículo 163.</w:t>
      </w:r>
      <w:r w:rsidRPr="00E924AF">
        <w:rPr>
          <w:rFonts w:ascii="Palatino Linotype" w:eastAsia="Palatino Linotype" w:hAnsi="Palatino Linotype" w:cs="Palatino Linotype"/>
          <w:i/>
          <w:color w:val="000000"/>
          <w:sz w:val="22"/>
        </w:rPr>
        <w:t xml:space="preserve"> La Unidad de Transparencia deberá notificar la respuesta a la solicitud al interesado en el menor tiempo posible, que no podrá exceder de quince días hábiles, contados a partir del día siguiente a la presentación de aquélla. </w:t>
      </w:r>
    </w:p>
    <w:p w:rsidR="009B0096" w:rsidRPr="00E924AF" w:rsidRDefault="000F0223">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w:t>
      </w:r>
    </w:p>
    <w:p w:rsidR="009B0096" w:rsidRPr="00E924AF" w:rsidRDefault="009B0096">
      <w:pPr>
        <w:pBdr>
          <w:top w:val="nil"/>
          <w:left w:val="nil"/>
          <w:bottom w:val="nil"/>
          <w:right w:val="nil"/>
          <w:between w:val="nil"/>
        </w:pBdr>
        <w:spacing w:line="276" w:lineRule="auto"/>
        <w:ind w:left="851" w:right="567"/>
        <w:jc w:val="both"/>
        <w:rPr>
          <w:rFonts w:ascii="Palatino Linotype" w:eastAsia="Palatino Linotype" w:hAnsi="Palatino Linotype" w:cs="Palatino Linotype"/>
          <w:b/>
          <w:i/>
          <w:color w:val="000000"/>
          <w:sz w:val="22"/>
        </w:rPr>
      </w:pPr>
    </w:p>
    <w:p w:rsidR="009B0096" w:rsidRPr="00E924AF" w:rsidRDefault="000F0223">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w:t>
      </w:r>
      <w:r w:rsidRPr="00E924AF">
        <w:rPr>
          <w:rFonts w:ascii="Palatino Linotype" w:eastAsia="Palatino Linotype" w:hAnsi="Palatino Linotype" w:cs="Palatino Linotype"/>
          <w:b/>
          <w:i/>
          <w:color w:val="000000"/>
          <w:sz w:val="22"/>
        </w:rPr>
        <w:t>Artículo 166.</w:t>
      </w:r>
      <w:r w:rsidRPr="00E924AF">
        <w:rPr>
          <w:rFonts w:ascii="Palatino Linotype" w:eastAsia="Palatino Linotype" w:hAnsi="Palatino Linotype" w:cs="Palatino Linotype"/>
          <w:i/>
          <w:color w:val="000000"/>
          <w:sz w:val="22"/>
        </w:rPr>
        <w:t xml:space="preserve"> La obligación de acceso a la información pública se tendrá por cumplida cuando el solicitante tenga a su disposición la información requerida, o cuando realice la consulta de la misma en el lugar en el que ésta se localice.”</w:t>
      </w:r>
    </w:p>
    <w:p w:rsidR="009B0096" w:rsidRPr="00E924AF" w:rsidRDefault="009B0096">
      <w:pPr>
        <w:spacing w:line="360" w:lineRule="auto"/>
        <w:ind w:right="567"/>
        <w:jc w:val="both"/>
        <w:rPr>
          <w:rFonts w:ascii="Palatino Linotype" w:eastAsia="Palatino Linotype" w:hAnsi="Palatino Linotype" w:cs="Palatino Linotype"/>
          <w:i/>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En este caso, la solicitud de información que formuló la particular como parte de su derecho de acceso a la información pública, no fue atendida, dado que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fue omiso en emitir una respuesta.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Por tanto, en cumplimiento a las obligaciones que la Constitución Federal , la Constitución Estatal y la Ley de la materia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w:t>
      </w:r>
      <w:r w:rsidRPr="00E924AF">
        <w:rPr>
          <w:rFonts w:ascii="Palatino Linotype" w:eastAsia="Palatino Linotype" w:hAnsi="Palatino Linotype" w:cs="Palatino Linotype"/>
        </w:rPr>
        <w:lastRenderedPageBreak/>
        <w:t xml:space="preserve">de la revisión del expediente electrónico formado en el SAIMEX,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fue omiso en dar respuesta a la solicitud. </w:t>
      </w:r>
    </w:p>
    <w:p w:rsidR="009B0096" w:rsidRPr="00E924AF" w:rsidRDefault="000F0223">
      <w:pPr>
        <w:spacing w:line="360" w:lineRule="auto"/>
        <w:jc w:val="center"/>
        <w:rPr>
          <w:rFonts w:ascii="Palatino Linotype" w:eastAsia="Palatino Linotype" w:hAnsi="Palatino Linotype" w:cs="Palatino Linotype"/>
        </w:rPr>
      </w:pPr>
      <w:r w:rsidRPr="00E924AF">
        <w:t xml:space="preserve"> </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Por lo tanto, al no haber atendido ninguno de los deberes establecidos por la norma para la atención de las solicitudes de acceso a la información y la no haber respondido de ninguna manera a la solicitud, la falta de respuesta implica un incumplimiento al deber de atender las solicitudes y en consecuencia una afectación al Derecho.</w:t>
      </w:r>
    </w:p>
    <w:p w:rsidR="00E924AF" w:rsidRDefault="00E924AF" w:rsidP="00E924AF">
      <w:pPr>
        <w:pStyle w:val="Prrafodelista"/>
      </w:pPr>
    </w:p>
    <w:p w:rsidR="009B0096" w:rsidRPr="00E924AF" w:rsidRDefault="000F0223">
      <w:pPr>
        <w:numPr>
          <w:ilvl w:val="0"/>
          <w:numId w:val="2"/>
        </w:numPr>
        <w:spacing w:line="360" w:lineRule="auto"/>
        <w:ind w:left="0" w:right="49" w:firstLine="0"/>
        <w:jc w:val="both"/>
        <w:rPr>
          <w:color w:val="000000"/>
        </w:rPr>
      </w:pPr>
      <w:r w:rsidRPr="00E924AF">
        <w:rPr>
          <w:rFonts w:ascii="Palatino Linotype" w:eastAsia="Palatino Linotype" w:hAnsi="Palatino Linotype" w:cs="Palatino Linotype"/>
        </w:rPr>
        <w:t xml:space="preserve">No sobra decir que al actuar de esta forma,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incumple con el primer mandato contenido en el párrafo tercero del artículo primero de la Constitución Política de los Estados Unidos Mexicanos que establece el deber de todas las autoridades, </w:t>
      </w:r>
      <w:r w:rsidRPr="00E924AF">
        <w:rPr>
          <w:rFonts w:ascii="Palatino Linotype" w:eastAsia="Palatino Linotype" w:hAnsi="Palatino Linotype" w:cs="Palatino Linotype"/>
          <w:i/>
        </w:rPr>
        <w:t xml:space="preserve">en el ámbito de sus atribuciones, </w:t>
      </w:r>
      <w:r w:rsidRPr="00E924AF">
        <w:rPr>
          <w:rFonts w:ascii="Palatino Linotype" w:eastAsia="Palatino Linotype" w:hAnsi="Palatino Linotype" w:cs="Palatino Linotype"/>
          <w:b/>
          <w:i/>
        </w:rPr>
        <w:t>de promover</w:t>
      </w:r>
      <w:r w:rsidRPr="00E924AF">
        <w:rPr>
          <w:rFonts w:ascii="Palatino Linotype" w:eastAsia="Palatino Linotype" w:hAnsi="Palatino Linotype" w:cs="Palatino Linotype"/>
          <w:i/>
        </w:rPr>
        <w:t xml:space="preserve">, </w:t>
      </w:r>
      <w:r w:rsidRPr="00E924AF">
        <w:rPr>
          <w:rFonts w:ascii="Palatino Linotype" w:eastAsia="Palatino Linotype" w:hAnsi="Palatino Linotype" w:cs="Palatino Linotype"/>
          <w:b/>
          <w:i/>
        </w:rPr>
        <w:t>respetar, proteger y</w:t>
      </w:r>
      <w:r w:rsidRPr="00E924AF">
        <w:rPr>
          <w:rFonts w:ascii="Palatino Linotype" w:eastAsia="Palatino Linotype" w:hAnsi="Palatino Linotype" w:cs="Palatino Linotype"/>
          <w:i/>
        </w:rPr>
        <w:t xml:space="preserve"> </w:t>
      </w:r>
      <w:r w:rsidRPr="00E924AF">
        <w:rPr>
          <w:rFonts w:ascii="Palatino Linotype" w:eastAsia="Palatino Linotype" w:hAnsi="Palatino Linotype" w:cs="Palatino Linotype"/>
          <w:b/>
          <w:i/>
        </w:rPr>
        <w:t>garantizar</w:t>
      </w:r>
      <w:r w:rsidRPr="00E924AF">
        <w:rPr>
          <w:rFonts w:ascii="Palatino Linotype" w:eastAsia="Palatino Linotype" w:hAnsi="Palatino Linotype" w:cs="Palatino Linotype"/>
          <w:i/>
        </w:rPr>
        <w:t xml:space="preserve"> los derechos humanos.</w:t>
      </w:r>
      <w:r w:rsidRPr="00E924AF">
        <w:rPr>
          <w:rFonts w:ascii="Palatino Linotype" w:eastAsia="Palatino Linotype" w:hAnsi="Palatino Linotype" w:cs="Palatino Linotype"/>
        </w:rPr>
        <w:t xml:space="preserve"> Por lo tanto, la falta de respuesta a una solicitud de acceso a la información constituye un incumplimiento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a su deber de garantizar el derecho, lo que constituye una vulneración al mismo.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A su vez, la </w:t>
      </w:r>
      <w:r w:rsidRPr="00E924AF">
        <w:rPr>
          <w:rFonts w:ascii="Palatino Linotype" w:eastAsia="Palatino Linotype" w:hAnsi="Palatino Linotype" w:cs="Palatino Linotype"/>
          <w:b/>
        </w:rPr>
        <w:t xml:space="preserve">Ley de Transparencia y Acceso a la Información Pública del Estado de México y Municipios, </w:t>
      </w:r>
      <w:r w:rsidRPr="00E924AF">
        <w:rPr>
          <w:rFonts w:ascii="Palatino Linotype" w:eastAsia="Palatino Linotype" w:hAnsi="Palatino Linotype" w:cs="Palatino Linotype"/>
        </w:rPr>
        <w:t>cuyo objeto es establecer principios, bases generales y procedimientos para tutelar y garantizar la transparencia y el derecho humano de acceso a la información pública en posesión de los sujetos obligados; en su artículo 176</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rPr>
        <w:t xml:space="preserve">establece que </w:t>
      </w:r>
      <w:r w:rsidRPr="00E924AF">
        <w:rPr>
          <w:rFonts w:ascii="Palatino Linotype" w:eastAsia="Palatino Linotype" w:hAnsi="Palatino Linotype" w:cs="Palatino Linotype"/>
          <w:b/>
          <w:i/>
          <w:u w:val="single"/>
        </w:rPr>
        <w:t>el recurso de revisión es la garantía secundaria</w:t>
      </w:r>
      <w:r w:rsidRPr="00E924AF">
        <w:rPr>
          <w:rFonts w:ascii="Palatino Linotype" w:eastAsia="Palatino Linotype" w:hAnsi="Palatino Linotype" w:cs="Palatino Linotype"/>
          <w:b/>
          <w:i/>
        </w:rPr>
        <w:t xml:space="preserve"> mediante la cual se pretende reparar cualquier posible afectación al derecho de acceso a la información pública</w:t>
      </w:r>
      <w:r w:rsidRPr="00E924AF">
        <w:rPr>
          <w:rFonts w:ascii="Palatino Linotype" w:eastAsia="Palatino Linotype" w:hAnsi="Palatino Linotype" w:cs="Palatino Linotype"/>
        </w:rPr>
        <w:t xml:space="preserve">, siendo éste el medio a través del cual, este Órgano Garante después de realizar el análisis al procedimiento de acceso a la información, podrá determinar la </w:t>
      </w:r>
      <w:r w:rsidRPr="00E924AF">
        <w:rPr>
          <w:rFonts w:ascii="Palatino Linotype" w:eastAsia="Palatino Linotype" w:hAnsi="Palatino Linotype" w:cs="Palatino Linotype"/>
        </w:rPr>
        <w:lastRenderedPageBreak/>
        <w:t xml:space="preserve">posible afectación y de ser el caso ordenar la reparación a la violación del derecho en cuestión.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rPr>
          <w:color w:val="000000"/>
        </w:rPr>
      </w:pPr>
      <w:r w:rsidRPr="00E924AF">
        <w:rPr>
          <w:rFonts w:ascii="Palatino Linotype" w:eastAsia="Palatino Linotype" w:hAnsi="Palatino Linotype" w:cs="Palatino Linotype"/>
        </w:rPr>
        <w:t xml:space="preserve">De acuerdo a lo dispuesto por el artículo 53 fracción II de la Ley de la materia, las unidades de transparencia tienen entre sus principales funciones la de recibir, tramitar y dar respuesta a las solicitudes de accesos a la información: </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53.</w:t>
      </w:r>
      <w:r w:rsidRPr="00E924AF">
        <w:rPr>
          <w:rFonts w:ascii="Palatino Linotype" w:eastAsia="Palatino Linotype" w:hAnsi="Palatino Linotype" w:cs="Palatino Linotype"/>
          <w:i/>
          <w:sz w:val="22"/>
        </w:rPr>
        <w:t xml:space="preserve"> Las Unidades de Transparencia tendrán las siguientes funciones:</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u w:val="single"/>
        </w:rPr>
        <w:t>II. Recibir, tramitar y dar respuesta a las solicitudes de acceso a la información</w:t>
      </w:r>
      <w:r w:rsidRPr="00E924AF">
        <w:rPr>
          <w:rFonts w:ascii="Palatino Linotype" w:eastAsia="Palatino Linotype" w:hAnsi="Palatino Linotype" w:cs="Palatino Linotype"/>
          <w:i/>
          <w:sz w:val="22"/>
        </w:rPr>
        <w:t>;</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IV. Realizar, con efectividad, los trámites internos necesarios para la atención de las solicitudes de acceso a la información;</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XII. Fomentar la transparencia y accesibilidad al interior del sujeto obligado;</w:t>
      </w:r>
    </w:p>
    <w:p w:rsidR="009B0096" w:rsidRPr="00E924AF" w:rsidRDefault="000F0223">
      <w:pPr>
        <w:spacing w:line="276" w:lineRule="auto"/>
        <w:ind w:left="567" w:right="616"/>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616"/>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(Énfasis añadido)</w:t>
      </w:r>
    </w:p>
    <w:p w:rsidR="009B0096" w:rsidRPr="00E924AF" w:rsidRDefault="009B0096">
      <w:pPr>
        <w:spacing w:line="360" w:lineRule="auto"/>
        <w:ind w:left="567" w:right="616"/>
        <w:jc w:val="both"/>
        <w:rPr>
          <w:rFonts w:ascii="Palatino Linotype" w:eastAsia="Palatino Linotype" w:hAnsi="Palatino Linotype" w:cs="Palatino Linotype"/>
          <w:i/>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Por otro lado, los servidores públicos habilitados son los encargados dentro de las diversas unidades administrativas o áreas del sujeto obligado, de apoyar, gestionar y entregar la información o datos personales que se ubiquen en la misma, a sus respectivas unidades de transparencia, así sus funciones se encuentran contempladas en el artículo 59 de la Ley de Transparencia del Estado de México:</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 xml:space="preserve">Artículo 59. </w:t>
      </w:r>
      <w:r w:rsidRPr="00E924AF">
        <w:rPr>
          <w:rFonts w:ascii="Palatino Linotype" w:eastAsia="Palatino Linotype" w:hAnsi="Palatino Linotype" w:cs="Palatino Linotype"/>
          <w:i/>
          <w:sz w:val="22"/>
        </w:rPr>
        <w:t xml:space="preserve">Los servidores públicos habilitados tendrán las funciones siguientes: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I.</w:t>
      </w:r>
      <w:r w:rsidRPr="00E924AF">
        <w:rPr>
          <w:rFonts w:ascii="Palatino Linotype" w:eastAsia="Palatino Linotype" w:hAnsi="Palatino Linotype" w:cs="Palatino Linotype"/>
          <w:i/>
          <w:sz w:val="22"/>
        </w:rPr>
        <w:t xml:space="preserve"> Localizar la información que le solicite la Unidad de Transparencia;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II.</w:t>
      </w:r>
      <w:r w:rsidRPr="00E924AF">
        <w:rPr>
          <w:rFonts w:ascii="Palatino Linotype" w:eastAsia="Palatino Linotype" w:hAnsi="Palatino Linotype" w:cs="Palatino Linotype"/>
          <w:i/>
          <w:sz w:val="22"/>
        </w:rPr>
        <w:t xml:space="preserve"> Proporcionar la información que obre en los archivos y que le sea solicitada por la Unidad de Transparencia;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III.</w:t>
      </w:r>
      <w:r w:rsidRPr="00E924AF">
        <w:rPr>
          <w:rFonts w:ascii="Palatino Linotype" w:eastAsia="Palatino Linotype" w:hAnsi="Palatino Linotype" w:cs="Palatino Linotype"/>
          <w:i/>
          <w:sz w:val="22"/>
        </w:rPr>
        <w:t xml:space="preserve"> Apoyar a la Unidad de Transparencia en lo que esta le solicite para el cumplimiento de sus funciones;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lastRenderedPageBreak/>
        <w:t>IV.</w:t>
      </w:r>
      <w:r w:rsidRPr="00E924AF">
        <w:rPr>
          <w:rFonts w:ascii="Palatino Linotype" w:eastAsia="Palatino Linotype" w:hAnsi="Palatino Linotype" w:cs="Palatino Linotype"/>
          <w:i/>
          <w:sz w:val="22"/>
        </w:rPr>
        <w:t xml:space="preserve"> Proporcionar a la Unidad de Transparencia, las modificaciones a la información pública de oficio que obre en su poder;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V.</w:t>
      </w:r>
      <w:r w:rsidRPr="00E924AF">
        <w:rPr>
          <w:rFonts w:ascii="Palatino Linotype" w:eastAsia="Palatino Linotype" w:hAnsi="Palatino Linotype" w:cs="Palatino Linotype"/>
          <w:i/>
          <w:sz w:val="22"/>
        </w:rPr>
        <w:t xml:space="preserve"> Integrar y presentar al responsable de la Unidad de Transparencia la propuesta de clasificación de información, la cual tendrá los fundamentos y argumentos en que se basa dicha propuesta; </w:t>
      </w:r>
    </w:p>
    <w:p w:rsidR="009B0096" w:rsidRPr="00E924AF"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VI.</w:t>
      </w:r>
      <w:r w:rsidRPr="00E924AF">
        <w:rPr>
          <w:rFonts w:ascii="Palatino Linotype" w:eastAsia="Palatino Linotype" w:hAnsi="Palatino Linotype" w:cs="Palatino Linotype"/>
          <w:i/>
          <w:sz w:val="22"/>
        </w:rPr>
        <w:t xml:space="preserve"> Verificar, una vez analizado el contenido de la información, que no se encuentre en los supuestos de información clasificada; y </w:t>
      </w:r>
    </w:p>
    <w:p w:rsidR="009B0096" w:rsidRDefault="000F0223">
      <w:pPr>
        <w:spacing w:line="276" w:lineRule="auto"/>
        <w:ind w:left="851"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VII.</w:t>
      </w:r>
      <w:r w:rsidRPr="00E924AF">
        <w:rPr>
          <w:rFonts w:ascii="Palatino Linotype" w:eastAsia="Palatino Linotype" w:hAnsi="Palatino Linotype" w:cs="Palatino Linotype"/>
          <w:i/>
          <w:sz w:val="22"/>
        </w:rPr>
        <w:t xml:space="preserve"> Dar cuenta a la Unidad de Transparencia del vencimiento de los plazos de reserva.”</w:t>
      </w:r>
    </w:p>
    <w:p w:rsidR="00E924AF" w:rsidRPr="00E924AF" w:rsidRDefault="00E924AF">
      <w:pPr>
        <w:spacing w:line="276" w:lineRule="auto"/>
        <w:ind w:left="851" w:right="567"/>
        <w:jc w:val="both"/>
        <w:rPr>
          <w:rFonts w:ascii="Palatino Linotype" w:eastAsia="Palatino Linotype" w:hAnsi="Palatino Linotype" w:cs="Palatino Linotype"/>
          <w:i/>
          <w:sz w:val="22"/>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En el presente asunto, de las constancias que obran en el expediente digital formado en el SAIMEX, se advierte que si bien la Unidad de Transparencia turnó la solicitud de información </w:t>
      </w:r>
      <w:r w:rsidRPr="00E924AF">
        <w:rPr>
          <w:rFonts w:ascii="Palatino Linotype" w:eastAsia="Palatino Linotype" w:hAnsi="Palatino Linotype" w:cs="Palatino Linotype"/>
          <w:b/>
        </w:rPr>
        <w:t>00349/ECATEPEC/IP/2024</w:t>
      </w:r>
      <w:r w:rsidRPr="00E924AF">
        <w:rPr>
          <w:rFonts w:ascii="Palatino Linotype" w:eastAsia="Palatino Linotype" w:hAnsi="Palatino Linotype" w:cs="Palatino Linotype"/>
        </w:rPr>
        <w:t xml:space="preserve"> a la Dirección de Desarrollo Económico, ésta no atendió ni respondió el turno. Se comparten las siguientes capturas de imagen como referencia: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spacing w:line="360" w:lineRule="auto"/>
        <w:jc w:val="center"/>
        <w:rPr>
          <w:rFonts w:ascii="Palatino Linotype" w:eastAsia="Palatino Linotype" w:hAnsi="Palatino Linotype" w:cs="Palatino Linotype"/>
        </w:rPr>
      </w:pPr>
      <w:r w:rsidRPr="00E924AF">
        <w:rPr>
          <w:rFonts w:ascii="Palatino Linotype" w:eastAsia="Palatino Linotype" w:hAnsi="Palatino Linotype" w:cs="Palatino Linotype"/>
          <w:noProof/>
        </w:rPr>
        <w:drawing>
          <wp:inline distT="0" distB="0" distL="0" distR="0">
            <wp:extent cx="4952186" cy="2681064"/>
            <wp:effectExtent l="12700" t="12700" r="12700" b="127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52186" cy="2681064"/>
                    </a:xfrm>
                    <a:prstGeom prst="rect">
                      <a:avLst/>
                    </a:prstGeom>
                    <a:ln w="12700">
                      <a:solidFill>
                        <a:srgbClr val="000000"/>
                      </a:solidFill>
                      <a:prstDash val="solid"/>
                    </a:ln>
                  </pic:spPr>
                </pic:pic>
              </a:graphicData>
            </a:graphic>
          </wp:inline>
        </w:drawing>
      </w:r>
    </w:p>
    <w:p w:rsidR="009B0096" w:rsidRPr="00E924AF" w:rsidRDefault="000F0223">
      <w:pPr>
        <w:spacing w:line="360" w:lineRule="auto"/>
        <w:jc w:val="center"/>
        <w:rPr>
          <w:rFonts w:ascii="Palatino Linotype" w:eastAsia="Palatino Linotype" w:hAnsi="Palatino Linotype" w:cs="Palatino Linotype"/>
        </w:rPr>
      </w:pPr>
      <w:r w:rsidRPr="00E924AF">
        <w:rPr>
          <w:rFonts w:ascii="Palatino Linotype" w:eastAsia="Palatino Linotype" w:hAnsi="Palatino Linotype" w:cs="Palatino Linotype"/>
          <w:noProof/>
        </w:rPr>
        <w:drawing>
          <wp:inline distT="0" distB="0" distL="0" distR="0">
            <wp:extent cx="5038884" cy="663568"/>
            <wp:effectExtent l="12700" t="12700" r="12700" b="127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38884" cy="663568"/>
                    </a:xfrm>
                    <a:prstGeom prst="rect">
                      <a:avLst/>
                    </a:prstGeom>
                    <a:ln w="12700">
                      <a:solidFill>
                        <a:srgbClr val="000000"/>
                      </a:solidFill>
                      <a:prstDash val="solid"/>
                    </a:ln>
                  </pic:spPr>
                </pic:pic>
              </a:graphicData>
            </a:graphic>
          </wp:inline>
        </w:drawing>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 xml:space="preserve">Establecido lo anterior, resulta evidente que las razones o motivos de inconformidad hechos valer en el recurso de revisión resultan </w:t>
      </w:r>
      <w:r w:rsidRPr="00E924AF">
        <w:rPr>
          <w:rFonts w:ascii="Palatino Linotype" w:eastAsia="Palatino Linotype" w:hAnsi="Palatino Linotype" w:cs="Palatino Linotype"/>
          <w:b/>
        </w:rPr>
        <w:t>fundadas y procedentes</w:t>
      </w:r>
      <w:r w:rsidRPr="00E924AF">
        <w:rPr>
          <w:rFonts w:ascii="Palatino Linotype" w:eastAsia="Palatino Linotype" w:hAnsi="Palatino Linotype" w:cs="Palatino Linotype"/>
        </w:rPr>
        <w:t xml:space="preserve">, debido a que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fue omiso en responder la solicitud de información en cuestión, es decir, </w:t>
      </w:r>
      <w:r w:rsidRPr="00E924AF">
        <w:rPr>
          <w:rFonts w:ascii="Palatino Linotype" w:eastAsia="Palatino Linotype" w:hAnsi="Palatino Linotype" w:cs="Palatino Linotype"/>
          <w:b/>
        </w:rPr>
        <w:t>no proporcionó respuesta alguna</w:t>
      </w:r>
      <w:r w:rsidRPr="00E924AF">
        <w:rPr>
          <w:rFonts w:ascii="Palatino Linotype" w:eastAsia="Palatino Linotype" w:hAnsi="Palatino Linotype" w:cs="Palatino Linotype"/>
        </w:rPr>
        <w:t xml:space="preserve">, negando así el acceso a cualquier tipo de información sin ofrecer mayores explicaciones, es decir, no fundó ni motivó su omisión, su falta de actuación en relación a sus obligaciones de garantizar el acceso a la información pública.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rPr>
          <w:color w:val="000000"/>
        </w:rPr>
      </w:pPr>
      <w:r w:rsidRPr="00E924AF">
        <w:rPr>
          <w:rFonts w:ascii="Palatino Linotype" w:eastAsia="Palatino Linotype" w:hAnsi="Palatino Linotype" w:cs="Palatino Linotype"/>
        </w:rPr>
        <w:t xml:space="preserve">Este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cumple con su alto deber de repararlo ordenando, en consecuencia, que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responda a la solicitud de acceso a la información pública. </w:t>
      </w:r>
    </w:p>
    <w:p w:rsidR="009B0096" w:rsidRPr="00E924AF" w:rsidRDefault="009B0096">
      <w:pPr>
        <w:spacing w:line="360" w:lineRule="auto"/>
        <w:ind w:right="49"/>
        <w:jc w:val="both"/>
        <w:rPr>
          <w:rFonts w:ascii="Palatino Linotype" w:eastAsia="Palatino Linotype" w:hAnsi="Palatino Linotype" w:cs="Palatino Linotype"/>
          <w:color w:val="000000"/>
        </w:rPr>
      </w:pPr>
    </w:p>
    <w:p w:rsidR="009B0096" w:rsidRPr="00E924AF" w:rsidRDefault="000F0223">
      <w:pPr>
        <w:keepNext/>
        <w:keepLines/>
        <w:spacing w:line="360" w:lineRule="auto"/>
        <w:rPr>
          <w:rFonts w:ascii="Palatino Linotype" w:eastAsia="Palatino Linotype" w:hAnsi="Palatino Linotype" w:cs="Palatino Linotype"/>
          <w:b/>
        </w:rPr>
      </w:pPr>
      <w:bookmarkStart w:id="12" w:name="_heading=h.3rdcrjn" w:colFirst="0" w:colLast="0"/>
      <w:bookmarkEnd w:id="12"/>
      <w:r w:rsidRPr="00E924AF">
        <w:rPr>
          <w:rFonts w:ascii="Palatino Linotype" w:eastAsia="Palatino Linotype" w:hAnsi="Palatino Linotype" w:cs="Palatino Linotype"/>
          <w:b/>
        </w:rPr>
        <w:t>III. Sobre la respuesta que se emita a la solicitud.</w:t>
      </w: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En cumplimiento a esta resolución,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deberá dar atención a la solicitud de información, sin que sea materia de este recurso</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rPr>
        <w:t>analizar o</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rPr>
        <w:t xml:space="preserve">prejuzgar si la información que le fue solicitada se encuentra en sus archivos o le corresponde generarla, puesto que el silencio administrativo que hizo patente al omitir dar respuesta, trae como consecuencia que se le ordene dar atención a la </w:t>
      </w:r>
      <w:r w:rsidRPr="00E924AF">
        <w:rPr>
          <w:rFonts w:ascii="Palatino Linotype" w:eastAsia="Palatino Linotype" w:hAnsi="Palatino Linotype" w:cs="Palatino Linotype"/>
        </w:rPr>
        <w:lastRenderedPageBreak/>
        <w:t>solicitud, lo cual deberá llevar a cabo en ejercicio de sus competencias, atribuciones y funciones y con arreglo a lo dispuesto por la ley de la materia.</w:t>
      </w:r>
    </w:p>
    <w:p w:rsidR="009B0096" w:rsidRPr="00E924AF" w:rsidRDefault="009B0096">
      <w:pPr>
        <w:spacing w:line="360" w:lineRule="auto"/>
        <w:ind w:right="49"/>
        <w:jc w:val="both"/>
        <w:rPr>
          <w:rFonts w:ascii="Palatino Linotype" w:eastAsia="Palatino Linotype" w:hAnsi="Palatino Linotype" w:cs="Palatino Linotype"/>
          <w:b/>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En este caso,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deberá de sustanciar todo el procedimiento de acceso a la información pública verificando si la información que le ha sido requerida corresponde al ejercicio de sus facultades, competencias o funciones.</w:t>
      </w:r>
    </w:p>
    <w:p w:rsidR="009B0096" w:rsidRPr="00E924AF" w:rsidRDefault="009B0096">
      <w:pPr>
        <w:spacing w:line="360" w:lineRule="auto"/>
        <w:ind w:right="49"/>
        <w:jc w:val="both"/>
        <w:rPr>
          <w:rFonts w:ascii="Palatino Linotype" w:eastAsia="Palatino Linotype" w:hAnsi="Palatino Linotype" w:cs="Palatino Linotype"/>
          <w:b/>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lastRenderedPageBreak/>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Es importante también señalar que, la respuesta que dará en cumplimiento a la presente resolución </w:t>
      </w:r>
      <w:r w:rsidRPr="00E924AF">
        <w:rPr>
          <w:rFonts w:ascii="Palatino Linotype" w:eastAsia="Palatino Linotype" w:hAnsi="Palatino Linotype" w:cs="Palatino Linotype"/>
          <w:b/>
        </w:rPr>
        <w:t xml:space="preserve">deberá ajustarse a lo dispuesto a los criterios y precedentes que este Órgano Garante ha resuelto y aprobado; </w:t>
      </w:r>
      <w:r w:rsidRPr="00E924AF">
        <w:rPr>
          <w:rFonts w:ascii="Palatino Linotype" w:eastAsia="Palatino Linotype" w:hAnsi="Palatino Linotype" w:cs="Palatino Linotype"/>
        </w:rPr>
        <w:t xml:space="preserve">es decir, por lo que constituye una alta responsabilidad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proporcionar la información que atienda la presente, ajustándose a la normatividad establecida y a los distintos asuntos de los cuales este órgano colegiado ha conocido. </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Por lo que tratándose del tema o temas que se requieran en la solicitud,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deberá en todo momento ajustarse además de la normatividad aplicable a los asuntos y, a las resoluciones aprobadas.</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 xml:space="preserve">En consecuencia, para responder a la solicitud de acceso a la información en cuestión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deberá de verificar si ésta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Una vez que la información sea localizada, los servidores públicos habilitados deberán de valorar si se entrega en su totalidad, en versión pública o si es susceptible de clasificarse, según lo que se describe en la sección siguiente.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No obstante, también debe considerarse que aun cuando la información requerida corresponda a alguna función, facultad o competencia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es posible que esta información no se localice, bien porque no se haya generado o porque no se encuentre disponible, en el momento de su búsqueda.</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rsidR="009B0096" w:rsidRPr="00E924AF" w:rsidRDefault="000F0223">
      <w:pPr>
        <w:tabs>
          <w:tab w:val="left" w:pos="8080"/>
        </w:tabs>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lastRenderedPageBreak/>
        <w:t>“</w:t>
      </w:r>
      <w:r w:rsidRPr="00E924AF">
        <w:rPr>
          <w:rFonts w:ascii="Palatino Linotype" w:eastAsia="Palatino Linotype" w:hAnsi="Palatino Linotype" w:cs="Palatino Linotype"/>
          <w:b/>
          <w:i/>
          <w:sz w:val="22"/>
        </w:rPr>
        <w:t>Artículo 19.</w:t>
      </w:r>
      <w:r w:rsidRPr="00E924AF">
        <w:rPr>
          <w:rFonts w:ascii="Palatino Linotype" w:eastAsia="Palatino Linotype" w:hAnsi="Palatino Linotype" w:cs="Palatino Linotype"/>
          <w:i/>
          <w:sz w:val="22"/>
        </w:rPr>
        <w:t xml:space="preserve"> Se presume que la información debe existir si se refiere a las facultades, competencias y funciones que los ordenamientos jurídicos aplicables otorgan a los sujetos obligados.</w:t>
      </w:r>
    </w:p>
    <w:p w:rsidR="009B0096" w:rsidRPr="00E924AF" w:rsidRDefault="009B0096">
      <w:pPr>
        <w:tabs>
          <w:tab w:val="left" w:pos="8080"/>
        </w:tabs>
        <w:spacing w:line="276" w:lineRule="auto"/>
        <w:ind w:left="567" w:right="567"/>
        <w:jc w:val="both"/>
        <w:rPr>
          <w:rFonts w:ascii="Palatino Linotype" w:eastAsia="Palatino Linotype" w:hAnsi="Palatino Linotype" w:cs="Palatino Linotype"/>
          <w:i/>
          <w:sz w:val="22"/>
        </w:rPr>
      </w:pPr>
    </w:p>
    <w:p w:rsidR="009B0096" w:rsidRPr="00E924AF" w:rsidRDefault="000F0223">
      <w:pPr>
        <w:tabs>
          <w:tab w:val="left" w:pos="8080"/>
        </w:tabs>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 xml:space="preserve"> En los casos en que ciertas facultades, competencias o funciones no se hayan ejercido, se debe motivar la respuesta en función de las causas que motiven tal circunstancia. </w:t>
      </w:r>
    </w:p>
    <w:p w:rsidR="009B0096" w:rsidRPr="00E924AF" w:rsidRDefault="009B0096">
      <w:pPr>
        <w:tabs>
          <w:tab w:val="left" w:pos="8080"/>
        </w:tabs>
        <w:spacing w:line="276" w:lineRule="auto"/>
        <w:ind w:left="567" w:right="567"/>
        <w:jc w:val="both"/>
        <w:rPr>
          <w:rFonts w:ascii="Palatino Linotype" w:eastAsia="Palatino Linotype" w:hAnsi="Palatino Linotype" w:cs="Palatino Linotype"/>
          <w:i/>
          <w:sz w:val="22"/>
        </w:rPr>
      </w:pPr>
    </w:p>
    <w:p w:rsidR="009B0096" w:rsidRPr="00E924AF" w:rsidRDefault="000F0223">
      <w:pPr>
        <w:tabs>
          <w:tab w:val="left" w:pos="8080"/>
        </w:tabs>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El primer supuesto, que corresponde a lo señalado en su segundo párrafo, alude a actos no realizados y contemplados en alguna hipótesis jurídica: </w:t>
      </w:r>
    </w:p>
    <w:p w:rsidR="009B0096" w:rsidRPr="00E924AF" w:rsidRDefault="000F0223">
      <w:pPr>
        <w:numPr>
          <w:ilvl w:val="0"/>
          <w:numId w:val="4"/>
        </w:numPr>
        <w:spacing w:line="360" w:lineRule="auto"/>
        <w:ind w:left="1134" w:right="709"/>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 xml:space="preserve">Cuya realización dependa de que un tercero demande la emisión de un acto de autoridad, la expedición de una licencia, por ejemplo; </w:t>
      </w:r>
    </w:p>
    <w:p w:rsidR="009B0096" w:rsidRPr="00E924AF" w:rsidRDefault="000F0223">
      <w:pPr>
        <w:numPr>
          <w:ilvl w:val="0"/>
          <w:numId w:val="4"/>
        </w:numPr>
        <w:spacing w:line="360" w:lineRule="auto"/>
        <w:ind w:left="1134" w:right="709"/>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De un acontecimiento de realización probable, la Cuenta Pública correspondiente a un ejercicio fiscal en curso; o</w:t>
      </w:r>
    </w:p>
    <w:p w:rsidR="009B0096" w:rsidRPr="00E924AF" w:rsidRDefault="000F0223">
      <w:pPr>
        <w:numPr>
          <w:ilvl w:val="0"/>
          <w:numId w:val="4"/>
        </w:numPr>
        <w:spacing w:line="360" w:lineRule="auto"/>
        <w:ind w:left="1134" w:right="709"/>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Una facultad potestativa, la firma de convenios de colaboración.</w:t>
      </w:r>
    </w:p>
    <w:p w:rsidR="009B0096" w:rsidRPr="00E924AF" w:rsidRDefault="009B0096">
      <w:pPr>
        <w:spacing w:line="360" w:lineRule="auto"/>
        <w:ind w:right="709"/>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 En estos casos,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El segundo supuesto, que corresponde a lo señalado en su último párrafo del artículo antes referido, alude a: </w:t>
      </w:r>
    </w:p>
    <w:p w:rsidR="009B0096" w:rsidRPr="00E924AF" w:rsidRDefault="000F0223">
      <w:pPr>
        <w:tabs>
          <w:tab w:val="left" w:pos="7655"/>
        </w:tabs>
        <w:spacing w:line="360" w:lineRule="auto"/>
        <w:ind w:left="851" w:right="709" w:hanging="284"/>
        <w:jc w:val="both"/>
        <w:rPr>
          <w:rFonts w:ascii="Palatino Linotype" w:eastAsia="Palatino Linotype" w:hAnsi="Palatino Linotype" w:cs="Palatino Linotype"/>
          <w:sz w:val="22"/>
        </w:rPr>
      </w:pPr>
      <w:r w:rsidRPr="00E924AF">
        <w:rPr>
          <w:rFonts w:ascii="Palatino Linotype" w:eastAsia="Palatino Linotype" w:hAnsi="Palatino Linotype" w:cs="Palatino Linotype"/>
          <w:b/>
        </w:rPr>
        <w:t>1</w:t>
      </w:r>
      <w:r w:rsidRPr="00E924AF">
        <w:rPr>
          <w:rFonts w:ascii="Palatino Linotype" w:eastAsia="Palatino Linotype" w:hAnsi="Palatino Linotype" w:cs="Palatino Linotype"/>
          <w:b/>
          <w:sz w:val="22"/>
        </w:rPr>
        <w:t xml:space="preserve">. </w:t>
      </w:r>
      <w:r w:rsidRPr="00E924AF">
        <w:rPr>
          <w:rFonts w:ascii="Palatino Linotype" w:eastAsia="Palatino Linotype" w:hAnsi="Palatino Linotype" w:cs="Palatino Linotype"/>
          <w:sz w:val="22"/>
        </w:rPr>
        <w:t xml:space="preserve"> Actos realizados sobre los cuales: </w:t>
      </w:r>
    </w:p>
    <w:p w:rsidR="009B0096" w:rsidRPr="00E924AF" w:rsidRDefault="000F0223">
      <w:pPr>
        <w:numPr>
          <w:ilvl w:val="0"/>
          <w:numId w:val="1"/>
        </w:numPr>
        <w:tabs>
          <w:tab w:val="left" w:pos="7655"/>
        </w:tabs>
        <w:spacing w:line="360" w:lineRule="auto"/>
        <w:ind w:left="1418" w:right="709" w:hanging="284"/>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lastRenderedPageBreak/>
        <w:t xml:space="preserve">No se generó, poseyó o administró el documento que registre la información solicitada; </w:t>
      </w:r>
    </w:p>
    <w:p w:rsidR="009B0096" w:rsidRPr="00E924AF" w:rsidRDefault="000F0223">
      <w:pPr>
        <w:tabs>
          <w:tab w:val="left" w:pos="7655"/>
        </w:tabs>
        <w:spacing w:line="360" w:lineRule="auto"/>
        <w:ind w:left="1418" w:right="709" w:hanging="284"/>
        <w:jc w:val="both"/>
        <w:rPr>
          <w:rFonts w:ascii="Palatino Linotype" w:eastAsia="Palatino Linotype" w:hAnsi="Palatino Linotype" w:cs="Palatino Linotype"/>
          <w:sz w:val="22"/>
        </w:rPr>
      </w:pPr>
      <w:r w:rsidRPr="00E924AF">
        <w:rPr>
          <w:rFonts w:ascii="Palatino Linotype" w:eastAsia="Palatino Linotype" w:hAnsi="Palatino Linotype" w:cs="Palatino Linotype"/>
          <w:b/>
          <w:sz w:val="22"/>
        </w:rPr>
        <w:t>b)</w:t>
      </w:r>
      <w:r w:rsidRPr="00E924AF">
        <w:rPr>
          <w:rFonts w:ascii="Palatino Linotype" w:eastAsia="Palatino Linotype" w:hAnsi="Palatino Linotype" w:cs="Palatino Linotype"/>
          <w:sz w:val="22"/>
        </w:rPr>
        <w:t xml:space="preserve"> Habiendo sido generada, poseída o administrada, no se cuenta con la información solicitada.</w:t>
      </w:r>
    </w:p>
    <w:p w:rsidR="009B0096" w:rsidRPr="00E924AF" w:rsidRDefault="000F0223">
      <w:pPr>
        <w:tabs>
          <w:tab w:val="left" w:pos="7655"/>
        </w:tabs>
        <w:spacing w:line="360" w:lineRule="auto"/>
        <w:ind w:left="851" w:right="567" w:hanging="284"/>
        <w:jc w:val="both"/>
        <w:rPr>
          <w:rFonts w:ascii="Palatino Linotype" w:eastAsia="Palatino Linotype" w:hAnsi="Palatino Linotype" w:cs="Palatino Linotype"/>
          <w:sz w:val="22"/>
        </w:rPr>
      </w:pPr>
      <w:r w:rsidRPr="00E924AF">
        <w:rPr>
          <w:rFonts w:ascii="Palatino Linotype" w:eastAsia="Palatino Linotype" w:hAnsi="Palatino Linotype" w:cs="Palatino Linotype"/>
          <w:b/>
          <w:sz w:val="22"/>
        </w:rPr>
        <w:t xml:space="preserve">2. </w:t>
      </w:r>
      <w:r w:rsidRPr="00E924AF">
        <w:rPr>
          <w:rFonts w:ascii="Palatino Linotype" w:eastAsia="Palatino Linotype" w:hAnsi="Palatino Linotype" w:cs="Palatino Linotype"/>
          <w:sz w:val="22"/>
        </w:rPr>
        <w:t xml:space="preserve"> El sujeto obligado fue omiso en el ejercicio de una facultad, competencia o atribución inexcusable. </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En cualquiera de los casos, imperativamente,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E924AF">
        <w:rPr>
          <w:rFonts w:ascii="Palatino Linotype" w:eastAsia="Palatino Linotype" w:hAnsi="Palatino Linotype" w:cs="Palatino Linotype"/>
          <w:b/>
        </w:rPr>
        <w:t>de no localizar la información que debía tener, procediendo según lo refieren los párrafos segundo o tercero del artículo 19 de la Ley de Transparencia y Acceso a la Información Pública</w:t>
      </w:r>
      <w:r w:rsidRPr="00E924AF">
        <w:rPr>
          <w:rFonts w:ascii="Palatino Linotype" w:eastAsia="Palatino Linotype" w:hAnsi="Palatino Linotype" w:cs="Palatino Linotype"/>
        </w:rPr>
        <w:t>, pero emitiendo una respuesta.</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keepNext/>
        <w:keepLines/>
        <w:spacing w:line="360" w:lineRule="auto"/>
        <w:rPr>
          <w:rFonts w:ascii="Palatino Linotype" w:eastAsia="Palatino Linotype" w:hAnsi="Palatino Linotype" w:cs="Palatino Linotype"/>
          <w:b/>
        </w:rPr>
      </w:pPr>
      <w:bookmarkStart w:id="13" w:name="_heading=h.26in1rg" w:colFirst="0" w:colLast="0"/>
      <w:bookmarkEnd w:id="13"/>
      <w:r w:rsidRPr="00E924AF">
        <w:rPr>
          <w:rFonts w:ascii="Palatino Linotype" w:eastAsia="Palatino Linotype" w:hAnsi="Palatino Linotype" w:cs="Palatino Linotype"/>
          <w:b/>
        </w:rPr>
        <w:t>IV. Análisis al que debe someterse la información antes de su entrega.</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Considerando que las disposiciones constitucionales previamente citadas le otorgan, a todos los documentos en posesión de las autoridades, la calidad de públicos </w:t>
      </w:r>
      <w:r w:rsidRPr="00E924AF">
        <w:rPr>
          <w:rFonts w:ascii="Palatino Linotype" w:eastAsia="Palatino Linotype" w:hAnsi="Palatino Linotype" w:cs="Palatino Linotype"/>
        </w:rPr>
        <w:lastRenderedPageBreak/>
        <w:t>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4.</w:t>
      </w:r>
      <w:r w:rsidRPr="00E924AF">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Los sujetos obligados deben poner en práctica, políticas y programas de acceso a la información que se apeguen a criterios de publicidad, veracidad, oportunidad, precisión y suficiencia en beneficio de los solicitantes.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9B0096">
      <w:pPr>
        <w:spacing w:line="276" w:lineRule="auto"/>
        <w:ind w:left="851" w:right="618"/>
        <w:jc w:val="both"/>
        <w:rPr>
          <w:rFonts w:ascii="Palatino Linotype" w:eastAsia="Palatino Linotype" w:hAnsi="Palatino Linotype" w:cs="Palatino Linotype"/>
          <w:i/>
          <w:sz w:val="22"/>
        </w:rPr>
      </w:pP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lastRenderedPageBreak/>
        <w:t>“</w:t>
      </w:r>
      <w:r w:rsidRPr="00E924AF">
        <w:rPr>
          <w:rFonts w:ascii="Palatino Linotype" w:eastAsia="Palatino Linotype" w:hAnsi="Palatino Linotype" w:cs="Palatino Linotype"/>
          <w:b/>
          <w:i/>
          <w:sz w:val="22"/>
        </w:rPr>
        <w:t>Artículo 122.</w:t>
      </w:r>
      <w:r w:rsidRPr="00E924AF">
        <w:rPr>
          <w:rFonts w:ascii="Palatino Linotype" w:eastAsia="Palatino Linotype" w:hAnsi="Palatino Linotype" w:cs="Palatino Linotype"/>
          <w:i/>
          <w:sz w:val="22"/>
        </w:rPr>
        <w:t xml:space="preserve"> La clasificación es el proceso mediante el cual el sujeto obligado determina que la información en su poder actualiza alguno de los supuestos de reserva o confidencialidad, de conformidad con lo dispuesto en el presente título.</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Los supuestos de reserva o confidencialidad previstos en las leyes deberán ser acordes con las bases, principios y disposiciones establecidos en la Ley General y, en ningún caso, podrán contravenirla.</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Los titulares de las áreas de los sujetos obligados serán los responsables de clasificar la información, de conformidad con lo dispuesto en la presente Ley y demás disposiciones jurídicas aplicables.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9B0096">
      <w:pPr>
        <w:spacing w:line="276" w:lineRule="auto"/>
        <w:ind w:left="851" w:right="618"/>
        <w:jc w:val="both"/>
        <w:rPr>
          <w:rFonts w:ascii="Palatino Linotype" w:eastAsia="Palatino Linotype" w:hAnsi="Palatino Linotype" w:cs="Palatino Linotype"/>
          <w:i/>
          <w:sz w:val="22"/>
        </w:rPr>
      </w:pP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Artículo 140.</w:t>
      </w:r>
      <w:r w:rsidRPr="00E924AF">
        <w:rPr>
          <w:rFonts w:ascii="Palatino Linotype" w:eastAsia="Palatino Linotype" w:hAnsi="Palatino Linotype" w:cs="Palatino Linotype"/>
          <w:i/>
          <w:sz w:val="22"/>
        </w:rPr>
        <w:t xml:space="preserve"> El acceso a la información pública será restringido excepcionalmente, cuando por razones de interés público, ésta sea clasificada como reservada, conforme a los criterios siguientes: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 Comprometa la seguridad pública y cuente con un propósito genuino y un efecto demostrable;</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II. Pueda menoscabar la conducción de las negociaciones y relaciones internacionales;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IV. Ponga en riesgo la vida, la seguridad o la salud de una persona física;</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V. Aquella cuya divulgación obstruya o pueda causar un serio perjuicio a:</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1. Las actividades de fiscalización, verificación, inspección, comprobación y auditoría sobre el cumplimiento de las Leyes; o</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2. La recaudación de las contribuciones.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lastRenderedPageBreak/>
        <w:t>VII. La que contengan las opiniones, recomendaciones o puntos de vista que formen parte del proceso deliberativo de los servidores públicos, hasta en tanto sea adoptada la decisión definitiva, la cual deberá estar documentada;</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VIII. Vulnere la conducción de los expedientes judiciales o de los procedimientos administrativos seguidos en forma de juicio, en tanto no hayan quedado firmes;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IX. Se encuentre contenida dentro de las investigaciones de hechos que la Ley señale como delitos y se tramiten ante el Ministerio Público;</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9B0096" w:rsidRPr="00E924AF" w:rsidRDefault="000F0223">
      <w:pPr>
        <w:spacing w:line="276" w:lineRule="auto"/>
        <w:ind w:left="851" w:right="618"/>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XI. Las que por disposición expresa de una ley tengan tal carácter, siempre que sean acordes con las bases, principios y disposiciones establecidos en esta Ley y no la contravengan; así como las previstas en tratados internacionales.”</w:t>
      </w:r>
    </w:p>
    <w:p w:rsidR="009B0096" w:rsidRPr="00E924AF" w:rsidRDefault="009B0096">
      <w:pPr>
        <w:spacing w:line="276" w:lineRule="auto"/>
        <w:ind w:left="851" w:right="618"/>
        <w:jc w:val="both"/>
        <w:rPr>
          <w:rFonts w:ascii="Palatino Linotype" w:eastAsia="Palatino Linotype" w:hAnsi="Palatino Linotype" w:cs="Palatino Linotype"/>
          <w:i/>
          <w:sz w:val="22"/>
        </w:rPr>
      </w:pPr>
    </w:p>
    <w:p w:rsidR="009B0096" w:rsidRPr="00E924AF" w:rsidRDefault="000F0223">
      <w:pPr>
        <w:spacing w:line="276" w:lineRule="auto"/>
        <w:ind w:left="851" w:right="618"/>
        <w:jc w:val="both"/>
        <w:rPr>
          <w:rFonts w:ascii="Palatino Linotype" w:eastAsia="Palatino Linotype" w:hAnsi="Palatino Linotype" w:cs="Palatino Linotype"/>
          <w:b/>
          <w:i/>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Artículo 141.</w:t>
      </w:r>
      <w:r w:rsidRPr="00E924AF">
        <w:rPr>
          <w:rFonts w:ascii="Palatino Linotype" w:eastAsia="Palatino Linotype" w:hAnsi="Palatino Linotype" w:cs="Palatino Linotype"/>
          <w:i/>
          <w:sz w:val="22"/>
        </w:rPr>
        <w:t xml:space="preserve"> </w:t>
      </w:r>
      <w:r w:rsidRPr="00E924AF">
        <w:rPr>
          <w:rFonts w:ascii="Palatino Linotype" w:eastAsia="Palatino Linotype" w:hAnsi="Palatino Linotype" w:cs="Palatino Linotype"/>
          <w:b/>
          <w:i/>
          <w:sz w:val="22"/>
        </w:rPr>
        <w:t>Las causales de reserva previstas en este Capítulo se deberán fundar y motivar, a través de la aplicación de la prueba de daño a la que se hace referencia en el presente Título.”</w:t>
      </w:r>
    </w:p>
    <w:p w:rsidR="009B0096" w:rsidRDefault="000F0223">
      <w:pPr>
        <w:spacing w:line="276" w:lineRule="auto"/>
        <w:ind w:left="851" w:right="618"/>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 xml:space="preserve">(Énfasis añadido) </w:t>
      </w:r>
    </w:p>
    <w:p w:rsidR="00E924AF" w:rsidRPr="00E924AF" w:rsidRDefault="00E924AF">
      <w:pPr>
        <w:spacing w:line="276" w:lineRule="auto"/>
        <w:ind w:left="851" w:right="618"/>
        <w:jc w:val="both"/>
        <w:rPr>
          <w:rFonts w:ascii="Palatino Linotype" w:eastAsia="Palatino Linotype" w:hAnsi="Palatino Linotype" w:cs="Palatino Linotype"/>
          <w:b/>
          <w:sz w:val="22"/>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De tal manera que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deberá dar atención a la solicitud de información, lo cual deberá realizar con arreglo al procedimiento establecido en la Ley que ha sido descrito en esta resolución y de manera fundada y motivada.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rsidR="009B0096" w:rsidRPr="00E924AF" w:rsidRDefault="000F0223">
      <w:pPr>
        <w:spacing w:line="276" w:lineRule="auto"/>
        <w:ind w:left="851" w:right="61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16.</w:t>
      </w:r>
      <w:r w:rsidRPr="00E924AF">
        <w:rPr>
          <w:rFonts w:ascii="Palatino Linotype" w:eastAsia="Palatino Linotype" w:hAnsi="Palatino Linotype" w:cs="Palatino Linotype"/>
          <w:i/>
          <w:sz w:val="22"/>
        </w:rPr>
        <w:t xml:space="preserve"> Nadie puede ser molestado en su persona, familia, domicilio, papeles o posesiones, </w:t>
      </w:r>
      <w:r w:rsidRPr="00E924AF">
        <w:rPr>
          <w:rFonts w:ascii="Palatino Linotype" w:eastAsia="Palatino Linotype" w:hAnsi="Palatino Linotype" w:cs="Palatino Linotype"/>
          <w:b/>
          <w:i/>
          <w:sz w:val="22"/>
        </w:rPr>
        <w:t>sino en virtud de mandamiento escrito de la autoridad competente, que funde y motive la causa legal del procedimiento</w:t>
      </w:r>
      <w:r w:rsidRPr="00E924AF">
        <w:rPr>
          <w:rFonts w:ascii="Palatino Linotype" w:eastAsia="Palatino Linotype" w:hAnsi="Palatino Linotype" w:cs="Palatino Linotype"/>
          <w:i/>
          <w:sz w:val="22"/>
        </w:rPr>
        <w:t>.”</w:t>
      </w:r>
    </w:p>
    <w:p w:rsidR="009B0096" w:rsidRPr="00E924AF" w:rsidRDefault="000F0223">
      <w:pPr>
        <w:spacing w:line="276" w:lineRule="auto"/>
        <w:ind w:left="851" w:right="617"/>
        <w:jc w:val="both"/>
        <w:rPr>
          <w:rFonts w:ascii="Palatino Linotype" w:eastAsia="Palatino Linotype" w:hAnsi="Palatino Linotype" w:cs="Palatino Linotype"/>
          <w:sz w:val="22"/>
        </w:rPr>
      </w:pPr>
      <w:r w:rsidRPr="00E924AF">
        <w:rPr>
          <w:rFonts w:ascii="Palatino Linotype" w:eastAsia="Palatino Linotype" w:hAnsi="Palatino Linotype" w:cs="Palatino Linotype"/>
          <w:sz w:val="22"/>
        </w:rPr>
        <w:t xml:space="preserve">(Énfasis añadido) </w:t>
      </w:r>
    </w:p>
    <w:p w:rsidR="009B0096" w:rsidRPr="00E924AF" w:rsidRDefault="009B0096">
      <w:pPr>
        <w:shd w:val="clear" w:color="auto" w:fill="FFFFFF"/>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Entonces, la fundamentación y motivación consiste en la obligación que tiene todo ente público de expresar los preceptos jurídicos aplicables al asunto motivo del acto y las razones o argumentos de su actuar.</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tabs>
          <w:tab w:val="left" w:pos="284"/>
        </w:tabs>
        <w:spacing w:line="360" w:lineRule="auto"/>
        <w:ind w:left="0" w:firstLine="0"/>
        <w:jc w:val="both"/>
      </w:pPr>
      <w:r w:rsidRPr="00E924AF">
        <w:rPr>
          <w:rFonts w:ascii="Palatino Linotype" w:eastAsia="Palatino Linotype" w:hAnsi="Palatino Linotype" w:cs="Palatino Linotype"/>
        </w:rPr>
        <w:t>Han sido vastos los estudios doctrinarios relativos a estos derechos fundamentales y al principio de legalidad en ellos contenidos; como ejemplo, el procesalista José Ovalle Fabela, en su obra “Garantías Constitucionales del Proceso”, refiere que “...</w:t>
      </w:r>
      <w:r w:rsidRPr="00E924AF">
        <w:rPr>
          <w:rFonts w:ascii="Palatino Linotype" w:eastAsia="Palatino Linotype" w:hAnsi="Palatino Linotype" w:cs="Palatino Linotype"/>
          <w:i/>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E924AF">
        <w:rPr>
          <w:rFonts w:ascii="Palatino Linotype" w:eastAsia="Palatino Linotype" w:hAnsi="Palatino Linotype" w:cs="Palatino Linotype"/>
        </w:rPr>
        <w:t>....”</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Es así que a través de la presente resolución, se hace del conocimiento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que deberá atender la solicitud de información y resulta procedente ordenar la entrega de la información requerida, ajustándose a lo dispuesto </w:t>
      </w:r>
      <w:r w:rsidRPr="00E924AF">
        <w:rPr>
          <w:rFonts w:ascii="Palatino Linotype" w:eastAsia="Palatino Linotype" w:hAnsi="Palatino Linotype" w:cs="Palatino Linotype"/>
        </w:rPr>
        <w:lastRenderedPageBreak/>
        <w:t>por el artículo 186 fracción IV de la ley de la materia, lo anterior para resarcir la afectación que le fue realizada al derecho de acceso a la información de la persona.</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keepNext/>
        <w:keepLines/>
        <w:spacing w:line="360" w:lineRule="auto"/>
        <w:rPr>
          <w:rFonts w:ascii="Palatino Linotype" w:eastAsia="Palatino Linotype" w:hAnsi="Palatino Linotype" w:cs="Palatino Linotype"/>
        </w:rPr>
      </w:pPr>
      <w:bookmarkStart w:id="14" w:name="_heading=h.lnxbz9" w:colFirst="0" w:colLast="0"/>
      <w:bookmarkEnd w:id="14"/>
      <w:r w:rsidRPr="00E924AF">
        <w:rPr>
          <w:rFonts w:ascii="Palatino Linotype" w:eastAsia="Palatino Linotype" w:hAnsi="Palatino Linotype" w:cs="Palatino Linotype"/>
          <w:b/>
        </w:rPr>
        <w:t>QUINTO. El cumplimiento a esta resolución es susceptible de ser impugnado.</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 xml:space="preserve">La respuesta que den los sujetos obligados derivada </w:t>
      </w:r>
      <w:r w:rsidRPr="00E924AF">
        <w:rPr>
          <w:rFonts w:ascii="Palatino Linotype" w:eastAsia="Palatino Linotype" w:hAnsi="Palatino Linotype" w:cs="Palatino Linotype"/>
          <w:b/>
          <w:i/>
          <w:sz w:val="22"/>
          <w:u w:val="single"/>
        </w:rPr>
        <w:t>de la resolución</w:t>
      </w:r>
      <w:r w:rsidRPr="00E924AF">
        <w:rPr>
          <w:rFonts w:ascii="Palatino Linotype" w:eastAsia="Palatino Linotype" w:hAnsi="Palatino Linotype" w:cs="Palatino Linotype"/>
          <w:i/>
          <w:sz w:val="22"/>
        </w:rPr>
        <w:t xml:space="preserve"> a un recurso de revisión que proceda por las causales señaladas en las fracciones </w:t>
      </w:r>
      <w:r w:rsidRPr="00E924AF">
        <w:rPr>
          <w:rFonts w:ascii="Palatino Linotype" w:eastAsia="Palatino Linotype" w:hAnsi="Palatino Linotype" w:cs="Palatino Linotype"/>
          <w:i/>
          <w:sz w:val="22"/>
          <w:u w:val="single"/>
        </w:rPr>
        <w:t xml:space="preserve">IV, VII, IX, X, XI y XII </w:t>
      </w:r>
      <w:r w:rsidRPr="00E924AF">
        <w:rPr>
          <w:rFonts w:ascii="Palatino Linotype" w:eastAsia="Palatino Linotype" w:hAnsi="Palatino Linotype" w:cs="Palatino Linotype"/>
          <w:i/>
          <w:sz w:val="22"/>
        </w:rPr>
        <w:t xml:space="preserve">es </w:t>
      </w:r>
      <w:r w:rsidRPr="00E924AF">
        <w:rPr>
          <w:rFonts w:ascii="Palatino Linotype" w:eastAsia="Palatino Linotype" w:hAnsi="Palatino Linotype" w:cs="Palatino Linotype"/>
          <w:i/>
          <w:sz w:val="22"/>
          <w:u w:val="single"/>
        </w:rPr>
        <w:t>susceptible de ser impugnada</w:t>
      </w:r>
      <w:r w:rsidRPr="00E924AF">
        <w:rPr>
          <w:rFonts w:ascii="Palatino Linotype" w:eastAsia="Palatino Linotype" w:hAnsi="Palatino Linotype" w:cs="Palatino Linotype"/>
          <w:i/>
          <w:sz w:val="22"/>
        </w:rPr>
        <w:t xml:space="preserve"> de nueva cuenta, mediante recurso de revisión, ante el Instituto. </w:t>
      </w:r>
    </w:p>
    <w:p w:rsidR="009B0096" w:rsidRPr="00E924AF" w:rsidRDefault="009B0096">
      <w:pPr>
        <w:spacing w:line="360" w:lineRule="auto"/>
        <w:ind w:left="360"/>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 Es así que en este asunto en el que se está ante la presencia de una falta de respuesta y una falta de trámite a  la solicitud de información por parte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se encuadra en los supuestos que contempla el artículo 179 en sus fracciones VII y XI, mismas que señalan lo siguiente:</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179.</w:t>
      </w:r>
      <w:r w:rsidRPr="00E924AF">
        <w:rPr>
          <w:rFonts w:ascii="Palatino Linotype" w:eastAsia="Palatino Linotype" w:hAnsi="Palatino Linotype" w:cs="Palatino Linotype"/>
          <w:i/>
          <w:sz w:val="22"/>
        </w:rPr>
        <w:t xml:space="preserve"> El recurso de revisión es un medio de protección que la Ley otorga a los particulares, para hacer valer su derecho de acceso a la información pública, y procederá en contra de las siguientes causas:</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b/>
          <w:i/>
          <w:sz w:val="22"/>
        </w:rPr>
      </w:pPr>
      <w:r w:rsidRPr="00E924AF">
        <w:rPr>
          <w:rFonts w:ascii="Palatino Linotype" w:eastAsia="Palatino Linotype" w:hAnsi="Palatino Linotype" w:cs="Palatino Linotype"/>
          <w:b/>
          <w:i/>
          <w:sz w:val="22"/>
        </w:rPr>
        <w:t>VII. La falta de respuesta a una solicitud de acceso a la información;</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b/>
          <w:i/>
          <w:sz w:val="22"/>
        </w:rPr>
      </w:pPr>
      <w:r w:rsidRPr="00E924AF">
        <w:rPr>
          <w:rFonts w:ascii="Palatino Linotype" w:eastAsia="Palatino Linotype" w:hAnsi="Palatino Linotype" w:cs="Palatino Linotype"/>
          <w:b/>
          <w:i/>
          <w:sz w:val="22"/>
        </w:rPr>
        <w:t>XI. La falta de trámite a una solicitud;</w:t>
      </w:r>
    </w:p>
    <w:p w:rsidR="009B0096" w:rsidRPr="00E924AF" w:rsidRDefault="000F0223">
      <w:pPr>
        <w:spacing w:line="276" w:lineRule="auto"/>
        <w:ind w:left="567" w:right="567"/>
        <w:jc w:val="both"/>
        <w:rPr>
          <w:rFonts w:ascii="Palatino Linotype" w:eastAsia="Palatino Linotype" w:hAnsi="Palatino Linotype" w:cs="Palatino Linotype"/>
          <w:i/>
        </w:rPr>
      </w:pPr>
      <w:r w:rsidRPr="00E924AF">
        <w:rPr>
          <w:rFonts w:ascii="Palatino Linotype" w:eastAsia="Palatino Linotype" w:hAnsi="Palatino Linotype" w:cs="Palatino Linotype"/>
          <w:i/>
        </w:rPr>
        <w:t>…</w:t>
      </w:r>
    </w:p>
    <w:p w:rsidR="009B0096" w:rsidRPr="00E924AF" w:rsidRDefault="009B0096">
      <w:pPr>
        <w:spacing w:line="360" w:lineRule="auto"/>
        <w:ind w:left="360"/>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El último párrafo del artículo 179 de la ley de la materia, se configura entonces en aquellos casos en donde los </w:t>
      </w:r>
      <w:r w:rsidRPr="00E924AF">
        <w:rPr>
          <w:rFonts w:ascii="Palatino Linotype" w:eastAsia="Palatino Linotype" w:hAnsi="Palatino Linotype" w:cs="Palatino Linotype"/>
          <w:b/>
          <w:u w:val="single"/>
        </w:rPr>
        <w:t>sujetos obligados emiten respuesta derivada de una resolución a un recurso de revisión que proceda por la causal prevista en las fracciones VII y  XI de la Ley en cita como es este el caso</w:t>
      </w:r>
      <w:r w:rsidRPr="00E924AF">
        <w:rPr>
          <w:rFonts w:ascii="Palatino Linotype" w:eastAsia="Palatino Linotype" w:hAnsi="Palatino Linotype" w:cs="Palatino Linotype"/>
        </w:rPr>
        <w:t xml:space="preserve">, dicha respuesta es susceptible de ser impugnada de nueva cuenta, mediante recurso de revisión ante el Instituto. Esto es, que el acto que genere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E924AF">
        <w:rPr>
          <w:rFonts w:ascii="Palatino Linotype" w:eastAsia="Palatino Linotype" w:hAnsi="Palatino Linotype" w:cs="Palatino Linotype"/>
          <w:b/>
        </w:rPr>
        <w:t>queda al alcance de la persona la interposición de un nuevo recurso de revisión</w:t>
      </w:r>
      <w:r w:rsidRPr="00E924AF">
        <w:rPr>
          <w:rFonts w:ascii="Palatino Linotype" w:eastAsia="Palatino Linotype" w:hAnsi="Palatino Linotype" w:cs="Palatino Linotype"/>
        </w:rPr>
        <w:t xml:space="preserve"> que independiente del que se resuelve en este instrumento, versará sobre la revisión de la respuesta que le sea entregada. Lo cual proporciona al </w:t>
      </w:r>
      <w:r w:rsidRPr="00E924AF">
        <w:rPr>
          <w:rFonts w:ascii="Palatino Linotype" w:eastAsia="Palatino Linotype" w:hAnsi="Palatino Linotype" w:cs="Palatino Linotype"/>
        </w:rPr>
        <w:lastRenderedPageBreak/>
        <w:t>particular una herramienta para defender su Derecho de Acceso a la Información ante un posible cumplimiento defectuoso de la presente.</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keepNext/>
        <w:keepLines/>
        <w:spacing w:line="360" w:lineRule="auto"/>
        <w:rPr>
          <w:rFonts w:ascii="Palatino Linotype" w:eastAsia="Palatino Linotype" w:hAnsi="Palatino Linotype" w:cs="Palatino Linotype"/>
          <w:b/>
        </w:rPr>
      </w:pPr>
      <w:bookmarkStart w:id="15" w:name="_heading=h.35nkun2" w:colFirst="0" w:colLast="0"/>
      <w:bookmarkEnd w:id="15"/>
      <w:r w:rsidRPr="00E924AF">
        <w:rPr>
          <w:rFonts w:ascii="Palatino Linotype" w:eastAsia="Palatino Linotype" w:hAnsi="Palatino Linotype" w:cs="Palatino Linotype"/>
          <w:b/>
        </w:rPr>
        <w:t>SEXTO. Vista a los órganos de control interno.</w:t>
      </w: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Con fundamento en el artículo 222 de la Ley de Transparencia y Acceso a la Información Pública del Estado de México y Municipios, son causas de responsabilidad administrativas las siguientes:</w:t>
      </w:r>
    </w:p>
    <w:p w:rsidR="009B0096" w:rsidRPr="00E924AF" w:rsidRDefault="000F0223">
      <w:pPr>
        <w:pBdr>
          <w:top w:val="nil"/>
          <w:left w:val="nil"/>
          <w:bottom w:val="nil"/>
          <w:right w:val="nil"/>
          <w:between w:val="nil"/>
        </w:pBdr>
        <w:spacing w:line="276" w:lineRule="auto"/>
        <w:ind w:left="360"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“Artículo 222.</w:t>
      </w:r>
      <w:r w:rsidRPr="00E924AF">
        <w:rPr>
          <w:rFonts w:ascii="Palatino Linotype" w:eastAsia="Palatino Linotype" w:hAnsi="Palatino Linotype" w:cs="Palatino Linotype"/>
          <w:i/>
          <w:color w:val="000000"/>
          <w:sz w:val="22"/>
        </w:rPr>
        <w:t xml:space="preserve"> Son causas de responsabilidad administrativa de los servidores públicos de los sujetos obligados, por incumplimiento de las obligaciones establecidas en la materia de la presente Ley, las siguientes:</w:t>
      </w:r>
    </w:p>
    <w:p w:rsidR="009B0096" w:rsidRPr="00E924AF" w:rsidRDefault="000F0223">
      <w:pPr>
        <w:pBdr>
          <w:top w:val="nil"/>
          <w:left w:val="nil"/>
          <w:bottom w:val="nil"/>
          <w:right w:val="nil"/>
          <w:between w:val="nil"/>
        </w:pBdr>
        <w:spacing w:line="276" w:lineRule="auto"/>
        <w:ind w:left="360"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w:t>
      </w:r>
    </w:p>
    <w:p w:rsidR="009B0096" w:rsidRPr="00E924AF" w:rsidRDefault="000F0223">
      <w:pPr>
        <w:pBdr>
          <w:top w:val="nil"/>
          <w:left w:val="nil"/>
          <w:bottom w:val="nil"/>
          <w:right w:val="nil"/>
          <w:between w:val="nil"/>
        </w:pBdr>
        <w:spacing w:line="276" w:lineRule="auto"/>
        <w:ind w:left="360"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 Cualquier acto u omisión que provoque la suspensión o deficiencia en la atención de las solicitudes de información</w:t>
      </w:r>
      <w:r w:rsidRPr="00E924AF">
        <w:rPr>
          <w:rFonts w:ascii="Palatino Linotype" w:eastAsia="Palatino Linotype" w:hAnsi="Palatino Linotype" w:cs="Palatino Linotype"/>
          <w:i/>
          <w:color w:val="000000"/>
          <w:sz w:val="22"/>
        </w:rPr>
        <w:t>;</w:t>
      </w:r>
    </w:p>
    <w:p w:rsidR="009B0096" w:rsidRPr="00E924AF" w:rsidRDefault="000F0223">
      <w:pPr>
        <w:pBdr>
          <w:top w:val="nil"/>
          <w:left w:val="nil"/>
          <w:bottom w:val="nil"/>
          <w:right w:val="nil"/>
          <w:between w:val="nil"/>
        </w:pBdr>
        <w:spacing w:line="276" w:lineRule="auto"/>
        <w:ind w:left="360"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II. La falta de respuesta a las solicitudes de información en los plazos señalados en la normatividad aplicable</w:t>
      </w:r>
      <w:r w:rsidRPr="00E924AF">
        <w:rPr>
          <w:rFonts w:ascii="Palatino Linotype" w:eastAsia="Palatino Linotype" w:hAnsi="Palatino Linotype" w:cs="Palatino Linotype"/>
          <w:i/>
          <w:color w:val="000000"/>
          <w:sz w:val="22"/>
        </w:rPr>
        <w:t>;</w:t>
      </w:r>
    </w:p>
    <w:p w:rsidR="009B0096" w:rsidRPr="00E924AF" w:rsidRDefault="000F0223">
      <w:pPr>
        <w:pBdr>
          <w:top w:val="nil"/>
          <w:left w:val="nil"/>
          <w:bottom w:val="nil"/>
          <w:right w:val="nil"/>
          <w:between w:val="nil"/>
        </w:pBdr>
        <w:spacing w:line="276" w:lineRule="auto"/>
        <w:ind w:left="360"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Como fuera señalado en el Considerando anterior, de las constancias que obran dentro del expediente digital formado en el SAIMEX, se advierte que la Unidad de Transparencia </w:t>
      </w:r>
      <w:r w:rsidRPr="00E924AF">
        <w:rPr>
          <w:rFonts w:ascii="Palatino Linotype" w:eastAsia="Palatino Linotype" w:hAnsi="Palatino Linotype" w:cs="Palatino Linotype"/>
          <w:b/>
        </w:rPr>
        <w:t>turnó</w:t>
      </w:r>
      <w:r w:rsidRPr="00E924AF">
        <w:rPr>
          <w:rFonts w:ascii="Palatino Linotype" w:eastAsia="Palatino Linotype" w:hAnsi="Palatino Linotype" w:cs="Palatino Linotype"/>
        </w:rPr>
        <w:t xml:space="preserve"> la solicitud de información a la Dirección de Desarrollo Económico. Empero, el área administrativa no atendió el requerimiento, tan es así que el status del turno aún señala que éste se encuentra </w:t>
      </w:r>
      <w:r w:rsidRPr="00E924AF">
        <w:rPr>
          <w:rFonts w:ascii="Palatino Linotype" w:eastAsia="Palatino Linotype" w:hAnsi="Palatino Linotype" w:cs="Palatino Linotype"/>
          <w:i/>
        </w:rPr>
        <w:t>“Pendiente de Respuesta”</w:t>
      </w:r>
      <w:r w:rsidRPr="00E924AF">
        <w:rPr>
          <w:rFonts w:ascii="Palatino Linotype" w:eastAsia="Palatino Linotype" w:hAnsi="Palatino Linotype" w:cs="Palatino Linotype"/>
        </w:rPr>
        <w:t>, impactando con ello de forma directa contra el derecho de acceso a la información ejercido por el particular.</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lastRenderedPageBreak/>
        <w:t>Así, la falta de para atender la solicitud de información, propiciaron que no se diera respuesta y eso puede ser una causa de responsabilidad por no cumplir con las obligaciones de transparencia señaladas por la Ley en la materia.</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Es conveniente señalar la fracción X, del artículo 36, de la Ley de Transparencia y Acceso a la Información Pública del Estado de México y Municipios, que establece:</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Artículo 36.</w:t>
      </w:r>
      <w:r w:rsidRPr="00E924AF">
        <w:rPr>
          <w:rFonts w:ascii="Palatino Linotype" w:eastAsia="Palatino Linotype" w:hAnsi="Palatino Linotype" w:cs="Palatino Linotype"/>
          <w:i/>
          <w:sz w:val="22"/>
        </w:rPr>
        <w:t xml:space="preserve"> El Instituto tendrá, en el ámbito de su competencia, las siguientes atribuciones:</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X. Hacer del conocimiento del órgano de control interno o equivalente de cada Sujeto Obligado las infracciones a esta Ley; “</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9B0096">
      <w:pPr>
        <w:spacing w:line="360" w:lineRule="auto"/>
        <w:jc w:val="both"/>
        <w:rPr>
          <w:rFonts w:ascii="Palatino Linotype" w:eastAsia="Palatino Linotype" w:hAnsi="Palatino Linotype" w:cs="Palatino Linotype"/>
          <w:sz w:val="22"/>
        </w:rPr>
      </w:pPr>
    </w:p>
    <w:p w:rsidR="009B0096" w:rsidRPr="00E924AF" w:rsidRDefault="000F0223">
      <w:pPr>
        <w:numPr>
          <w:ilvl w:val="0"/>
          <w:numId w:val="2"/>
        </w:numPr>
        <w:spacing w:line="360" w:lineRule="auto"/>
        <w:ind w:left="0" w:firstLine="0"/>
        <w:jc w:val="both"/>
      </w:pPr>
      <w:r w:rsidRPr="00E924AF">
        <w:rPr>
          <w:rFonts w:ascii="Palatino Linotype" w:eastAsia="Palatino Linotype" w:hAnsi="Palatino Linotype" w:cs="Palatino Linotype"/>
        </w:rPr>
        <w:t xml:space="preserve">Asimismo, este Pleno hará del conocimiento del Órgano de Control de este Instituto de las infracciones en que 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incurrió, lo cual se encuentra previsto en la Ley de Transparencia Acceso a la Información Pública del Estado de México y Municipios específicamente en sus artículos 190 y 223 que señalan lo siguiente:</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r w:rsidRPr="00E924AF">
        <w:rPr>
          <w:rFonts w:ascii="Palatino Linotype" w:eastAsia="Palatino Linotype" w:hAnsi="Palatino Linotype" w:cs="Palatino Linotype"/>
          <w:b/>
          <w:i/>
          <w:sz w:val="22"/>
        </w:rPr>
        <w:t>Artículo 190.</w:t>
      </w:r>
      <w:r w:rsidRPr="00E924AF">
        <w:rPr>
          <w:rFonts w:ascii="Palatino Linotype" w:eastAsia="Palatino Linotype" w:hAnsi="Palatino Linotype" w:cs="Palatino Linotype"/>
          <w:i/>
          <w:sz w:val="22"/>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9B0096" w:rsidRPr="00E924AF" w:rsidRDefault="009B0096">
      <w:pPr>
        <w:spacing w:line="276" w:lineRule="auto"/>
        <w:ind w:left="567" w:right="567"/>
        <w:jc w:val="both"/>
        <w:rPr>
          <w:rFonts w:ascii="Palatino Linotype" w:eastAsia="Palatino Linotype" w:hAnsi="Palatino Linotype" w:cs="Palatino Linotype"/>
          <w:i/>
          <w:sz w:val="22"/>
        </w:rPr>
      </w:pP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b/>
          <w:i/>
          <w:sz w:val="22"/>
        </w:rPr>
        <w:t>Artículo 223</w:t>
      </w:r>
      <w:r w:rsidRPr="00E924AF">
        <w:rPr>
          <w:rFonts w:ascii="Palatino Linotype" w:eastAsia="Palatino Linotype" w:hAnsi="Palatino Linotype" w:cs="Palatino Linotype"/>
          <w:i/>
          <w:sz w:val="22"/>
        </w:rPr>
        <w:t xml:space="preserve">. El Instituto dará vista a la Contraloría Interna y Órgano de Control y Vigilancia en términos de la Ley de Responsabilidades de los Servidores Públicos del Estado y Municipios, para que determine el grado de responsabilidad de quienes incumplan con </w:t>
      </w:r>
      <w:r w:rsidRPr="00E924AF">
        <w:rPr>
          <w:rFonts w:ascii="Palatino Linotype" w:eastAsia="Palatino Linotype" w:hAnsi="Palatino Linotype" w:cs="Palatino Linotype"/>
          <w:i/>
          <w:sz w:val="22"/>
        </w:rPr>
        <w:lastRenderedPageBreak/>
        <w:t>las obligaciones de la presente Ley. (De Acuerdo al Decreto N°207, Publicado el 30 de mayo de 2017)</w:t>
      </w:r>
    </w:p>
    <w:p w:rsidR="009B0096" w:rsidRPr="00E924AF" w:rsidRDefault="000F0223">
      <w:pPr>
        <w:spacing w:line="276" w:lineRule="auto"/>
        <w:ind w:left="567" w:right="567"/>
        <w:jc w:val="both"/>
        <w:rPr>
          <w:rFonts w:ascii="Palatino Linotype" w:eastAsia="Palatino Linotype" w:hAnsi="Palatino Linotype" w:cs="Palatino Linotype"/>
          <w:i/>
          <w:sz w:val="22"/>
        </w:rPr>
      </w:pPr>
      <w:r w:rsidRPr="00E924AF">
        <w:rPr>
          <w:rFonts w:ascii="Palatino Linotype" w:eastAsia="Palatino Linotype" w:hAnsi="Palatino Linotype" w:cs="Palatino Linotype"/>
          <w:i/>
          <w:sz w:val="22"/>
        </w:rPr>
        <w:t>…”</w:t>
      </w:r>
    </w:p>
    <w:p w:rsidR="009B0096" w:rsidRPr="00E924AF" w:rsidRDefault="009B0096">
      <w:pPr>
        <w:spacing w:line="360" w:lineRule="auto"/>
        <w:ind w:right="49"/>
        <w:jc w:val="both"/>
        <w:rPr>
          <w:rFonts w:ascii="Palatino Linotype" w:eastAsia="Palatino Linotype" w:hAnsi="Palatino Linotype" w:cs="Palatino Linotype"/>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En consecuencia el recurso de revisión consiste en una garantía secundaria</w:t>
      </w:r>
      <w:r w:rsidRPr="00E924AF">
        <w:rPr>
          <w:rFonts w:ascii="Palatino Linotype" w:eastAsia="Palatino Linotype" w:hAnsi="Palatino Linotype" w:cs="Palatino Linotype"/>
          <w:i/>
        </w:rPr>
        <w:t xml:space="preserve"> de la anulabilidad de los actos inválidos y de la responsabilidad de los actos ilícitos, que constituyen las desobediencias de sus garantías primarias</w:t>
      </w:r>
      <w:r w:rsidRPr="00E924AF">
        <w:rPr>
          <w:rFonts w:ascii="Palatino Linotype" w:eastAsia="Palatino Linotype" w:hAnsi="Palatino Linotype" w:cs="Palatino Linotype"/>
          <w:vertAlign w:val="superscript"/>
        </w:rPr>
        <w:footnoteReference w:id="5"/>
      </w:r>
      <w:r w:rsidRPr="00E924AF">
        <w:rPr>
          <w:rFonts w:ascii="Palatino Linotype" w:eastAsia="Palatino Linotype" w:hAnsi="Palatino Linotype" w:cs="Palatino Linotype"/>
        </w:rPr>
        <w:t xml:space="preserve">.  , esto refiere que, ante la falta de respuesta por parte del </w:t>
      </w:r>
      <w:r w:rsidRPr="00E924AF">
        <w:rPr>
          <w:rFonts w:ascii="Palatino Linotype" w:eastAsia="Palatino Linotype" w:hAnsi="Palatino Linotype" w:cs="Palatino Linotype"/>
          <w:b/>
        </w:rPr>
        <w:t>SUJETO OBLIGADO</w:t>
      </w:r>
      <w:r w:rsidRPr="00E924AF">
        <w:rPr>
          <w:rFonts w:ascii="Palatino Linotype" w:eastAsia="Palatino Linotype" w:hAnsi="Palatino Linotype" w:cs="Palatino Linotype"/>
        </w:rPr>
        <w:t xml:space="preserve">, el </w:t>
      </w:r>
      <w:r w:rsidRPr="00E924AF">
        <w:rPr>
          <w:rFonts w:ascii="Palatino Linotype" w:eastAsia="Palatino Linotype" w:hAnsi="Palatino Linotype" w:cs="Palatino Linotype"/>
          <w:b/>
        </w:rPr>
        <w:t>RECURRENTE</w:t>
      </w:r>
      <w:r w:rsidRPr="00E924AF">
        <w:rPr>
          <w:rFonts w:ascii="Palatino Linotype" w:eastAsia="Palatino Linotype" w:hAnsi="Palatino Linotype" w:cs="Palatino Linotype"/>
        </w:rPr>
        <w:t xml:space="preserve"> interpuso el recurso de revisión con el objeto de que este Órgano Garante determine si existió una violación al derecho de acceso a la información pública y que esta violación sea reparada por la autoridad competente. </w:t>
      </w:r>
    </w:p>
    <w:p w:rsidR="009B0096" w:rsidRPr="00E924AF" w:rsidRDefault="009B0096">
      <w:pPr>
        <w:spacing w:after="160" w:line="259" w:lineRule="auto"/>
        <w:rPr>
          <w:rFonts w:ascii="Palatino Linotype" w:eastAsia="Palatino Linotype" w:hAnsi="Palatino Linotype" w:cs="Palatino Linotype"/>
          <w:b/>
        </w:rPr>
      </w:pPr>
    </w:p>
    <w:p w:rsidR="009B0096" w:rsidRPr="00E924AF" w:rsidRDefault="000F0223">
      <w:pPr>
        <w:pStyle w:val="Ttulo2"/>
        <w:spacing w:before="0" w:line="360" w:lineRule="auto"/>
        <w:rPr>
          <w:rFonts w:ascii="Palatino Linotype" w:eastAsia="Palatino Linotype" w:hAnsi="Palatino Linotype" w:cs="Palatino Linotype"/>
          <w:b/>
          <w:color w:val="000000"/>
          <w:sz w:val="24"/>
          <w:szCs w:val="24"/>
        </w:rPr>
      </w:pPr>
      <w:bookmarkStart w:id="16" w:name="_heading=h.1ksv4uv" w:colFirst="0" w:colLast="0"/>
      <w:bookmarkEnd w:id="16"/>
      <w:r w:rsidRPr="00E924AF">
        <w:rPr>
          <w:rFonts w:ascii="Palatino Linotype" w:eastAsia="Palatino Linotype" w:hAnsi="Palatino Linotype" w:cs="Palatino Linotype"/>
          <w:b/>
          <w:color w:val="000000"/>
          <w:sz w:val="24"/>
          <w:szCs w:val="24"/>
        </w:rPr>
        <w:t>SÉPTIMO. De la versión pública.</w:t>
      </w:r>
    </w:p>
    <w:p w:rsidR="009B0096" w:rsidRPr="00E924AF" w:rsidRDefault="000F0223">
      <w:pPr>
        <w:numPr>
          <w:ilvl w:val="0"/>
          <w:numId w:val="2"/>
        </w:numPr>
        <w:pBdr>
          <w:top w:val="nil"/>
          <w:left w:val="nil"/>
          <w:bottom w:val="nil"/>
          <w:right w:val="nil"/>
          <w:between w:val="nil"/>
        </w:pBdr>
        <w:tabs>
          <w:tab w:val="left" w:pos="0"/>
          <w:tab w:val="left" w:pos="142"/>
        </w:tabs>
        <w:spacing w:line="360" w:lineRule="auto"/>
        <w:ind w:left="0" w:firstLine="0"/>
        <w:jc w:val="both"/>
        <w:rPr>
          <w:color w:val="000000"/>
        </w:rPr>
      </w:pPr>
      <w:r w:rsidRPr="00E924AF">
        <w:rPr>
          <w:rFonts w:ascii="Palatino Linotype" w:eastAsia="Palatino Linotype" w:hAnsi="Palatino Linotype" w:cs="Palatino Linotype"/>
          <w:color w:val="000000"/>
        </w:rPr>
        <w:t>Debe destacarse que, debido a la naturaleza de la información solicitada</w:t>
      </w:r>
      <w:r w:rsidRPr="00E924AF">
        <w:rPr>
          <w:rFonts w:ascii="Palatino Linotype" w:eastAsia="Palatino Linotype" w:hAnsi="Palatino Linotype" w:cs="Palatino Linotype"/>
          <w:b/>
          <w:color w:val="000000"/>
        </w:rPr>
        <w:t xml:space="preserve">, </w:t>
      </w:r>
      <w:r w:rsidRPr="00E924AF">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sidRPr="00E924AF">
        <w:rPr>
          <w:rFonts w:ascii="Palatino Linotype" w:eastAsia="Palatino Linotype" w:hAnsi="Palatino Linotype" w:cs="Palatino Linotype"/>
          <w:b/>
          <w:color w:val="000000"/>
          <w:u w:val="single"/>
        </w:rPr>
        <w:t>versión pública</w:t>
      </w:r>
      <w:r w:rsidRPr="00E924AF">
        <w:rPr>
          <w:rFonts w:ascii="Palatino Linotype" w:eastAsia="Palatino Linotype" w:hAnsi="Palatino Linotype" w:cs="Palatino Linotype"/>
          <w:color w:val="000000"/>
        </w:rPr>
        <w:t xml:space="preserve"> de los documentos por las consideraciones que se estimen pertinentes.</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La clasificación total o parcial de la información requerida, mediante solicitud de acceso a la información pública, constituye una restricción al derecho humano de acceso a la información. Como reiteradamente han dicho, diversos órganos </w:t>
      </w:r>
      <w:r w:rsidRPr="00E924AF">
        <w:rPr>
          <w:rFonts w:ascii="Palatino Linotype" w:eastAsia="Palatino Linotype" w:hAnsi="Palatino Linotype" w:cs="Palatino Linotype"/>
          <w:color w:val="000000"/>
        </w:rPr>
        <w:lastRenderedPageBreak/>
        <w:t>jurisdiccionales, ningún derecho es absoluto</w:t>
      </w:r>
      <w:r w:rsidRPr="00E924AF">
        <w:rPr>
          <w:rFonts w:ascii="Palatino Linotype" w:eastAsia="Palatino Linotype" w:hAnsi="Palatino Linotype" w:cs="Palatino Linotype"/>
          <w:color w:val="000000"/>
          <w:vertAlign w:val="superscript"/>
        </w:rPr>
        <w:footnoteReference w:id="6"/>
      </w:r>
      <w:r w:rsidRPr="00E924AF">
        <w:rPr>
          <w:rFonts w:ascii="Palatino Linotype" w:eastAsia="Palatino Linotype" w:hAnsi="Palatino Linotype" w:cs="Palatino Linotype"/>
          <w:color w:val="000000"/>
        </w:rPr>
        <w:t xml:space="preserve">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sidRPr="00E924AF">
        <w:rPr>
          <w:rFonts w:ascii="Palatino Linotype" w:eastAsia="Palatino Linotype" w:hAnsi="Palatino Linotype" w:cs="Palatino Linotype"/>
          <w:color w:val="000000"/>
          <w:vertAlign w:val="superscript"/>
        </w:rPr>
        <w:footnoteReference w:id="7"/>
      </w:r>
      <w:r w:rsidRPr="00E924AF">
        <w:rPr>
          <w:rFonts w:ascii="Palatino Linotype" w:eastAsia="Palatino Linotype" w:hAnsi="Palatino Linotype" w:cs="Palatino Linotype"/>
          <w:color w:val="000000"/>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El grave problema que enfrentamos en general, los acuerdos de clasificación de la información que emiten los sujetos obligados, siguen sin observar los requisitos, tanto </w:t>
      </w:r>
      <w:r w:rsidRPr="00E924AF">
        <w:rPr>
          <w:rFonts w:ascii="Palatino Linotype" w:eastAsia="Palatino Linotype" w:hAnsi="Palatino Linotype" w:cs="Palatino Linotype"/>
          <w:color w:val="000000"/>
        </w:rPr>
        <w:lastRenderedPageBreak/>
        <w:t>por la complejidad del procedimiento como por la falta de atención de los operadores jurídicos.</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rPr>
      </w:pPr>
    </w:p>
    <w:p w:rsidR="009B0096" w:rsidRPr="00E924AF" w:rsidRDefault="000F0223">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17" w:name="_heading=h.44sinio" w:colFirst="0" w:colLast="0"/>
      <w:bookmarkEnd w:id="17"/>
      <w:r w:rsidRPr="00E924AF">
        <w:rPr>
          <w:rFonts w:ascii="Palatino Linotype" w:eastAsia="Palatino Linotype" w:hAnsi="Palatino Linotype" w:cs="Palatino Linotype"/>
          <w:b/>
          <w:color w:val="000000"/>
        </w:rPr>
        <w:t>I. Requisitos previos.</w:t>
      </w: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El último de estos requisitos previos consiste en que no se pueden emitir acuerdos de carácter general ni particular, según lo disponen los artículos 134 y 108 de la Ley Estatal y de la Ley General, respectivamente, esto es, </w:t>
      </w:r>
      <w:r w:rsidRPr="00E924AF">
        <w:rPr>
          <w:rFonts w:ascii="Palatino Linotype" w:eastAsia="Palatino Linotype" w:hAnsi="Palatino Linotype" w:cs="Palatino Linotype"/>
          <w:b/>
          <w:color w:val="000000"/>
          <w:u w:val="single"/>
        </w:rPr>
        <w:t xml:space="preserve">no se puede hacer un acuerdo para clasificar de manera general todos los documentos de un expediente o área,  </w:t>
      </w:r>
      <w:r w:rsidRPr="00E924AF">
        <w:rPr>
          <w:rFonts w:ascii="Palatino Linotype" w:eastAsia="Palatino Linotype" w:hAnsi="Palatino Linotype" w:cs="Palatino Linotype"/>
          <w:color w:val="000000"/>
        </w:rPr>
        <w:t xml:space="preserve">sin </w:t>
      </w:r>
      <w:r w:rsidRPr="00E924AF">
        <w:rPr>
          <w:rFonts w:ascii="Palatino Linotype" w:eastAsia="Palatino Linotype" w:hAnsi="Palatino Linotype" w:cs="Palatino Linotype"/>
          <w:color w:val="000000"/>
        </w:rPr>
        <w:lastRenderedPageBreak/>
        <w:t>individualizar su análisis y tampoco se puede hacer un acuerdo por cada dato que se vaya a clasificar dentro de un documento con diez datos, por ejemplo, susceptibles de ser clasificados.</w:t>
      </w:r>
    </w:p>
    <w:p w:rsidR="009B0096" w:rsidRPr="00E924AF" w:rsidRDefault="009B0096">
      <w:pPr>
        <w:spacing w:after="160" w:line="259" w:lineRule="auto"/>
        <w:rPr>
          <w:rFonts w:ascii="Palatino Linotype" w:eastAsia="Palatino Linotype" w:hAnsi="Palatino Linotype" w:cs="Palatino Linotype"/>
        </w:rPr>
      </w:pPr>
    </w:p>
    <w:p w:rsidR="009B0096" w:rsidRPr="00E924AF" w:rsidRDefault="000F0223">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18" w:name="_heading=h.2jxsxqh" w:colFirst="0" w:colLast="0"/>
      <w:bookmarkEnd w:id="18"/>
      <w:r w:rsidRPr="00E924AF">
        <w:rPr>
          <w:rFonts w:ascii="Palatino Linotype" w:eastAsia="Palatino Linotype" w:hAnsi="Palatino Linotype" w:cs="Palatino Linotype"/>
          <w:b/>
          <w:color w:val="000000"/>
        </w:rPr>
        <w:t>II. Supuestos de clasificación.</w:t>
      </w: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Los artículos 143 y 116 de la Ley Estatal y de la Ley General, respectivamente, señalan los supuestos para que la información pueda ser clasificada como confidencial:</w:t>
      </w:r>
    </w:p>
    <w:p w:rsidR="009B0096" w:rsidRPr="00E924AF" w:rsidRDefault="000F0223">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“I. Se refiera a la información privada y los datos personales concernientes a una persona física o jurídico colectiva identificada o identificable; </w:t>
      </w:r>
    </w:p>
    <w:p w:rsidR="009B0096" w:rsidRPr="00E924AF" w:rsidRDefault="000F0223">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II. Los secretos bancario, fiduciario, industrial, comercial, fiscal, bursátil y postal, cuya titularidad corresponda a particulares, sujetos de derecho internacional o a sujetos obligados cuando no involucren el ejercicio de recursos públicos; y </w:t>
      </w:r>
    </w:p>
    <w:p w:rsidR="009B0096" w:rsidRPr="00E924AF" w:rsidRDefault="000F0223">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III. La que presenten los particulares a los sujetos obligados, de conformidad con lo dispuesto por las leyes o los tratados internacionales. </w:t>
      </w:r>
    </w:p>
    <w:p w:rsidR="009B0096" w:rsidRPr="00E924AF" w:rsidRDefault="000F0223">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La información confidencial no estará sujeta a temporalidad alguna y sólo podrán tener acceso a ella los titulares de la misma, sus representantes y los servidores públicos facultados para ello. </w:t>
      </w:r>
    </w:p>
    <w:p w:rsidR="009B0096" w:rsidRPr="00E924AF" w:rsidRDefault="000F0223">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No se considerará confidencial la información que se encuentre en los registros públicos o en fuentes de acceso público, ni tampoco la que sea considerada por la presente ley como información pública. “</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Mientras que los artículos 130 y 105 de la Ley Estatal y de la Ley General, respectivamente, señalan que la aplicación de estos supuestos debe de realizarse de manera restrictiva y limitada, por lo que debe acreditarse que se cumple con esta </w:t>
      </w:r>
      <w:r w:rsidRPr="00E924AF">
        <w:rPr>
          <w:rFonts w:ascii="Palatino Linotype" w:eastAsia="Palatino Linotype" w:hAnsi="Palatino Linotype" w:cs="Palatino Linotype"/>
          <w:color w:val="000000"/>
        </w:rPr>
        <w:lastRenderedPageBreak/>
        <w:t>condición y no se pueden ampliar las excepciones o supuestos de clasificación aduciendo analogía o mayoría de razón.</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Como consecuencia de lo anterior, el </w:t>
      </w:r>
      <w:r w:rsidRPr="00E924AF">
        <w:rPr>
          <w:rFonts w:ascii="Palatino Linotype" w:eastAsia="Palatino Linotype" w:hAnsi="Palatino Linotype" w:cs="Palatino Linotype"/>
          <w:b/>
          <w:color w:val="000000"/>
        </w:rPr>
        <w:t>SUJETO OBLIGADO</w:t>
      </w:r>
      <w:r w:rsidRPr="00E924AF">
        <w:rPr>
          <w:rFonts w:ascii="Palatino Linotype" w:eastAsia="Palatino Linotype" w:hAnsi="Palatino Linotype" w:cs="Palatino Linotype"/>
          <w:color w:val="000000"/>
        </w:rPr>
        <w:t xml:space="preserve"> debe identificar claramente el tipo de información y hacer un juicio de subsunción o encaje</w:t>
      </w:r>
      <w:r w:rsidRPr="00E924AF">
        <w:rPr>
          <w:rFonts w:ascii="Palatino Linotype" w:eastAsia="Palatino Linotype" w:hAnsi="Palatino Linotype" w:cs="Palatino Linotype"/>
          <w:color w:val="000000"/>
          <w:vertAlign w:val="superscript"/>
        </w:rPr>
        <w:footnoteReference w:id="8"/>
      </w:r>
      <w:r w:rsidRPr="00E924AF">
        <w:rPr>
          <w:rFonts w:ascii="Palatino Linotype" w:eastAsia="Palatino Linotype" w:hAnsi="Palatino Linotype" w:cs="Palatino Linotype"/>
          <w:color w:val="000000"/>
        </w:rPr>
        <w:t xml:space="preserve"> para acreditar que el supuesto de hecho corresponde estrictamente con la hipótesis jurídica. Esto también lo debe de realizar el servidor público habilitado y el titular del área que administra la información.</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Al respecto, los Lineamientos Generales en Materia de Clasificación y Desclasificación de la Información, así Como para la Elaboración de Versiones Públicas, por cuanto hace a la clasificación de la información, señalan lo siguiente:</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w:t>
      </w:r>
      <w:r w:rsidRPr="00E924AF">
        <w:rPr>
          <w:rFonts w:ascii="Palatino Linotype" w:eastAsia="Palatino Linotype" w:hAnsi="Palatino Linotype" w:cs="Palatino Linotype"/>
          <w:b/>
          <w:i/>
          <w:color w:val="000000"/>
          <w:sz w:val="22"/>
        </w:rPr>
        <w:t>Quincuagésimo.</w:t>
      </w:r>
      <w:r w:rsidRPr="00E924AF">
        <w:rPr>
          <w:rFonts w:ascii="Palatino Linotype" w:eastAsia="Palatino Linotype" w:hAnsi="Palatino Linotype" w:cs="Palatino Linotype"/>
          <w:i/>
          <w:color w:val="000000"/>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Quincuagésimo primero.</w:t>
      </w:r>
      <w:r w:rsidRPr="00E924AF">
        <w:rPr>
          <w:rFonts w:ascii="Palatino Linotype" w:eastAsia="Palatino Linotype" w:hAnsi="Palatino Linotype" w:cs="Palatino Linotype"/>
          <w:i/>
          <w:color w:val="000000"/>
          <w:sz w:val="22"/>
        </w:rPr>
        <w:t xml:space="preserve"> Toda acta del Comité de Transparencia deberá contener:</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lastRenderedPageBreak/>
        <w:t>l.</w:t>
      </w:r>
      <w:r w:rsidRPr="00E924AF">
        <w:rPr>
          <w:rFonts w:ascii="Palatino Linotype" w:eastAsia="Palatino Linotype" w:hAnsi="Palatino Linotype" w:cs="Palatino Linotype"/>
          <w:i/>
          <w:color w:val="000000"/>
          <w:sz w:val="22"/>
        </w:rPr>
        <w:t xml:space="preserve"> El número de sesión y fecha;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ll.</w:t>
      </w:r>
      <w:r w:rsidRPr="00E924AF">
        <w:rPr>
          <w:rFonts w:ascii="Palatino Linotype" w:eastAsia="Palatino Linotype" w:hAnsi="Palatino Linotype" w:cs="Palatino Linotype"/>
          <w:i/>
          <w:color w:val="000000"/>
          <w:sz w:val="22"/>
        </w:rPr>
        <w:t xml:space="preserve"> El nombre del área que solicitó la clasificación de información;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III.</w:t>
      </w:r>
      <w:r w:rsidRPr="00E924AF">
        <w:rPr>
          <w:rFonts w:ascii="Palatino Linotype" w:eastAsia="Palatino Linotype" w:hAnsi="Palatino Linotype" w:cs="Palatino Linotype"/>
          <w:i/>
          <w:color w:val="000000"/>
          <w:sz w:val="22"/>
        </w:rPr>
        <w:t xml:space="preserve"> La fundamentación legal y motivación correspondiente;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IV.</w:t>
      </w:r>
      <w:r w:rsidRPr="00E924AF">
        <w:rPr>
          <w:rFonts w:ascii="Palatino Linotype" w:eastAsia="Palatino Linotype" w:hAnsi="Palatino Linotype" w:cs="Palatino Linotype"/>
          <w:i/>
          <w:color w:val="000000"/>
          <w:sz w:val="22"/>
        </w:rPr>
        <w:t xml:space="preserve"> La resolución o resoluciones aprobadas; y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V.</w:t>
      </w:r>
      <w:r w:rsidRPr="00E924AF">
        <w:rPr>
          <w:rFonts w:ascii="Palatino Linotype" w:eastAsia="Palatino Linotype" w:hAnsi="Palatino Linotype" w:cs="Palatino Linotype"/>
          <w:i/>
          <w:color w:val="000000"/>
          <w:sz w:val="22"/>
        </w:rPr>
        <w:t xml:space="preserve"> La rúbrica o firma digital de cada integrante del Comité de Transparencia. </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Las resoluciones del Comité en las que se haya determinado confirmar o modificar la clasificación de información pública como reservada, deberán incluir, cuando menos: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l.</w:t>
      </w:r>
      <w:r w:rsidRPr="00E924AF">
        <w:rPr>
          <w:rFonts w:ascii="Palatino Linotype" w:eastAsia="Palatino Linotype" w:hAnsi="Palatino Linotype" w:cs="Palatino Linotype"/>
          <w:i/>
          <w:color w:val="000000"/>
          <w:sz w:val="22"/>
        </w:rPr>
        <w:t xml:space="preserve"> Los motivos y razonamientos que sustenten la confirmación o modificación de la prueba de daño;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ll.</w:t>
      </w:r>
      <w:r w:rsidRPr="00E924AF">
        <w:rPr>
          <w:rFonts w:ascii="Palatino Linotype" w:eastAsia="Palatino Linotype" w:hAnsi="Palatino Linotype" w:cs="Palatino Linotype"/>
          <w:i/>
          <w:color w:val="000000"/>
          <w:sz w:val="22"/>
        </w:rPr>
        <w:t xml:space="preserve"> Descripción de las partes o secciones reservadas, en caso de clasificación parcial;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III.</w:t>
      </w:r>
      <w:r w:rsidRPr="00E924AF">
        <w:rPr>
          <w:rFonts w:ascii="Palatino Linotype" w:eastAsia="Palatino Linotype" w:hAnsi="Palatino Linotype" w:cs="Palatino Linotype"/>
          <w:i/>
          <w:color w:val="000000"/>
          <w:sz w:val="22"/>
        </w:rPr>
        <w:t xml:space="preserve"> El periodo por el que mantendrá su clasificación y fecha de expiración; y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IV.</w:t>
      </w:r>
      <w:r w:rsidRPr="00E924AF">
        <w:rPr>
          <w:rFonts w:ascii="Palatino Linotype" w:eastAsia="Palatino Linotype" w:hAnsi="Palatino Linotype" w:cs="Palatino Linotype"/>
          <w:i/>
          <w:color w:val="000000"/>
          <w:sz w:val="22"/>
        </w:rPr>
        <w:t xml:space="preserve"> El nombre del titular y área encargada de realizar la versión pública del documento, en su caso. </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En los casos en que se clasifique la información como reservada siempre se entregará o anexará la prueba de daño con la respuesta al solicitante. </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En los casos de resoluciones del Comité de Transparencia en las que se confirme la clasificación de información confidencial solo se deberán de identificar los tipos de datos protegidos, de conformidad con el lineamiento trigésimo octavo.</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Quincuagésimo segundo.</w:t>
      </w:r>
      <w:r w:rsidRPr="00E924AF">
        <w:rPr>
          <w:rFonts w:ascii="Palatino Linotype" w:eastAsia="Palatino Linotype" w:hAnsi="Palatino Linotype" w:cs="Palatino Linotype"/>
          <w:i/>
          <w:color w:val="000000"/>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En el caso específico de la clasificación y elaboración de versiones públicas de documentos que contengan información confidencial, las áreas de los sujetos obligados deberán: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I. Fijar la fecha en que se elaboró la versión pública y la fecha en la cual el Comité de Transparencia confirmó dicha versión;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 xml:space="preserve">ll. Señalar dentro del documento el tipo de información confidencial que fue testada en cada caso específico, de conformidad con el lineamiento trigésimo octavo; y </w:t>
      </w: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lastRenderedPageBreak/>
        <w:t xml:space="preserve">III. Señalar las personas o instancias autorizadas a acceder a la información clasificada. </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En los documentos de difusión electrónica, señalar en la primera hoja y en el nombre del archivo, que la versión pública corresponde a un documento que contiene información confidencial.</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Quincuagésimo tercero.</w:t>
      </w:r>
      <w:r w:rsidRPr="00E924AF">
        <w:rPr>
          <w:rFonts w:ascii="Palatino Linotype" w:eastAsia="Palatino Linotype" w:hAnsi="Palatino Linotype" w:cs="Palatino Linotype"/>
          <w:i/>
          <w:color w:val="000000"/>
          <w:sz w:val="22"/>
        </w:rPr>
        <w:t xml:space="preserve"> El formato para señalar la clasificación de un documento o expediente que contenga información reservada, es el siguiente:</w:t>
      </w:r>
    </w:p>
    <w:p w:rsidR="009B0096" w:rsidRPr="00E924AF" w:rsidRDefault="009B0096">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rPr>
      </w:pPr>
    </w:p>
    <w:p w:rsidR="009B0096" w:rsidRPr="00E924AF" w:rsidRDefault="000F0223">
      <w:pPr>
        <w:pBdr>
          <w:top w:val="nil"/>
          <w:left w:val="nil"/>
          <w:bottom w:val="nil"/>
          <w:right w:val="nil"/>
          <w:between w:val="nil"/>
        </w:pBdr>
        <w:tabs>
          <w:tab w:val="left" w:pos="142"/>
          <w:tab w:val="left" w:pos="284"/>
          <w:tab w:val="left" w:pos="426"/>
        </w:tabs>
        <w:spacing w:line="276" w:lineRule="auto"/>
        <w:ind w:left="567" w:right="567"/>
        <w:jc w:val="center"/>
        <w:rPr>
          <w:rFonts w:ascii="Palatino Linotype" w:eastAsia="Palatino Linotype" w:hAnsi="Palatino Linotype" w:cs="Palatino Linotype"/>
          <w:i/>
          <w:color w:val="000000"/>
        </w:rPr>
      </w:pPr>
      <w:r w:rsidRPr="00E924AF">
        <w:rPr>
          <w:rFonts w:ascii="Palatino Linotype" w:eastAsia="Palatino Linotype" w:hAnsi="Palatino Linotype" w:cs="Palatino Linotype"/>
          <w:i/>
          <w:noProof/>
          <w:color w:val="000000"/>
        </w:rPr>
        <w:drawing>
          <wp:inline distT="0" distB="0" distL="0" distR="0">
            <wp:extent cx="4554077" cy="2639283"/>
            <wp:effectExtent l="12700" t="12700" r="12700" b="127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54077" cy="2639283"/>
                    </a:xfrm>
                    <a:prstGeom prst="rect">
                      <a:avLst/>
                    </a:prstGeom>
                    <a:ln w="12700">
                      <a:solidFill>
                        <a:srgbClr val="000000"/>
                      </a:solidFill>
                      <a:prstDash val="solid"/>
                    </a:ln>
                  </pic:spPr>
                </pic:pic>
              </a:graphicData>
            </a:graphic>
          </wp:inline>
        </w:drawing>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Una vez hecho lo anterior, se remite la información al Titular de la Unidad de Transparencia, con el acuerdo de clasificación correspondiente, para que sea </w:t>
      </w:r>
      <w:r w:rsidRPr="00E924AF">
        <w:rPr>
          <w:rFonts w:ascii="Palatino Linotype" w:eastAsia="Palatino Linotype" w:hAnsi="Palatino Linotype" w:cs="Palatino Linotype"/>
        </w:rPr>
        <w:t>sometido</w:t>
      </w:r>
      <w:r w:rsidRPr="00E924AF">
        <w:rPr>
          <w:rFonts w:ascii="Palatino Linotype" w:eastAsia="Palatino Linotype" w:hAnsi="Palatino Linotype" w:cs="Palatino Linotype"/>
          <w:color w:val="000000"/>
        </w:rPr>
        <w:t xml:space="preserve"> al conocimiento del Comité de Transparencia.</w:t>
      </w:r>
    </w:p>
    <w:p w:rsidR="009B0096" w:rsidRPr="00E924AF" w:rsidRDefault="009B0096">
      <w:pPr>
        <w:spacing w:after="160" w:line="259" w:lineRule="auto"/>
        <w:rPr>
          <w:rFonts w:ascii="Palatino Linotype" w:eastAsia="Palatino Linotype" w:hAnsi="Palatino Linotype" w:cs="Palatino Linotype"/>
        </w:rPr>
      </w:pPr>
    </w:p>
    <w:p w:rsidR="009B0096" w:rsidRPr="00E924AF" w:rsidRDefault="000F0223">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b/>
          <w:color w:val="000000"/>
        </w:rPr>
      </w:pPr>
      <w:bookmarkStart w:id="19" w:name="_heading=h.z337ya" w:colFirst="0" w:colLast="0"/>
      <w:bookmarkEnd w:id="19"/>
      <w:r w:rsidRPr="00E924AF">
        <w:rPr>
          <w:rFonts w:ascii="Palatino Linotype" w:eastAsia="Palatino Linotype" w:hAnsi="Palatino Linotype" w:cs="Palatino Linotype"/>
          <w:b/>
          <w:color w:val="000000"/>
        </w:rPr>
        <w:t>III. La intervención del Comité de Transparencia.</w:t>
      </w:r>
    </w:p>
    <w:p w:rsidR="009B0096" w:rsidRPr="00E924AF" w:rsidRDefault="000F0223">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b/>
          <w:color w:val="000000"/>
        </w:rPr>
      </w:pPr>
      <w:r w:rsidRPr="00E924AF">
        <w:rPr>
          <w:rFonts w:ascii="Palatino Linotype" w:eastAsia="Palatino Linotype" w:hAnsi="Palatino Linotype" w:cs="Palatino Linotype"/>
          <w:b/>
          <w:color w:val="000000"/>
        </w:rPr>
        <w:t>a) Formalidades para emitir el Acuerdo de Clasificación.</w:t>
      </w: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w:t>
      </w:r>
      <w:r w:rsidRPr="00E924AF">
        <w:rPr>
          <w:rFonts w:ascii="Palatino Linotype" w:eastAsia="Palatino Linotype" w:hAnsi="Palatino Linotype" w:cs="Palatino Linotype"/>
          <w:color w:val="000000"/>
        </w:rPr>
        <w:lastRenderedPageBreak/>
        <w:t xml:space="preserve">los Lineamientos generales en materia de clasificación y desclasificación de la información, así como para la elaboración de versiones públicas, en adelante los Lineamientos Generales, cuenta con las facultades para </w:t>
      </w:r>
      <w:r w:rsidRPr="00E924AF">
        <w:rPr>
          <w:rFonts w:ascii="Palatino Linotype" w:eastAsia="Palatino Linotype" w:hAnsi="Palatino Linotype" w:cs="Palatino Linotype"/>
          <w:b/>
          <w:color w:val="000000"/>
          <w:u w:val="single"/>
        </w:rPr>
        <w:t>confirmar, modificar o revocar</w:t>
      </w:r>
      <w:r w:rsidRPr="00E924AF">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sidRPr="00E924AF">
        <w:rPr>
          <w:rFonts w:ascii="Palatino Linotype" w:eastAsia="Palatino Linotype" w:hAnsi="Palatino Linotype" w:cs="Palatino Linotype"/>
          <w:b/>
          <w:color w:val="000000"/>
          <w:u w:val="single"/>
        </w:rPr>
        <w:t>no aprueba</w:t>
      </w:r>
      <w:r w:rsidRPr="00E924AF">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rsidR="009B0096" w:rsidRPr="00E924AF" w:rsidRDefault="009B0096">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sidRPr="00E924AF">
        <w:rPr>
          <w:rFonts w:ascii="Palatino Linotype" w:eastAsia="Palatino Linotype" w:hAnsi="Palatino Linotype" w:cs="Palatino Linotype"/>
          <w:b/>
          <w:color w:val="000000"/>
          <w:u w:val="single"/>
        </w:rPr>
        <w:t>el acto reúna con los requisitos elementales</w:t>
      </w:r>
      <w:r w:rsidRPr="00E924AF">
        <w:rPr>
          <w:rFonts w:ascii="Palatino Linotype" w:eastAsia="Palatino Linotype" w:hAnsi="Palatino Linotype" w:cs="Palatino Linotype"/>
          <w:color w:val="000000"/>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9B0096" w:rsidRPr="00E924AF" w:rsidRDefault="009B0096">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La decisión de confirmar, modificar o revocar la clasificación deberá de asentarse en un documento que registre la determinación a la que se llegue después de un análisis minucioso a partir de lo aprobado por el Titular del área que administra la </w:t>
      </w:r>
      <w:r w:rsidRPr="00E924AF">
        <w:rPr>
          <w:rFonts w:ascii="Palatino Linotype" w:eastAsia="Palatino Linotype" w:hAnsi="Palatino Linotype" w:cs="Palatino Linotype"/>
          <w:color w:val="000000"/>
        </w:rPr>
        <w:lastRenderedPageBreak/>
        <w:t>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9B0096" w:rsidRPr="00E924AF" w:rsidRDefault="009B0096">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b/>
          <w:color w:val="000000"/>
        </w:rPr>
      </w:pPr>
      <w:r w:rsidRPr="00E924AF">
        <w:rPr>
          <w:rFonts w:ascii="Palatino Linotype" w:eastAsia="Palatino Linotype" w:hAnsi="Palatino Linotype" w:cs="Palatino Linotype"/>
          <w:b/>
          <w:color w:val="000000"/>
        </w:rPr>
        <w:t>b) Requisitos de fondo del Acuerdo de Clasificación.</w:t>
      </w: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9B0096" w:rsidRPr="00E924AF" w:rsidRDefault="009B0096">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B0096" w:rsidRPr="00E924AF" w:rsidRDefault="009B0096">
      <w:pPr>
        <w:pBdr>
          <w:top w:val="nil"/>
          <w:left w:val="nil"/>
          <w:bottom w:val="nil"/>
          <w:right w:val="nil"/>
          <w:between w:val="nil"/>
        </w:pBdr>
        <w:tabs>
          <w:tab w:val="left" w:pos="0"/>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lastRenderedPageBreak/>
        <w:t xml:space="preserve"> Han sido vastos los estudios doctrinarios relativos a estos derechos fundamentales y al principio de legalidad en ellos contenidos; como ejemplo, el procesalista José Ovalle Fabela, en su obra “Garantías Constitucionales del Proceso”, refiere que “...</w:t>
      </w:r>
      <w:r w:rsidRPr="00E924AF">
        <w:rPr>
          <w:rFonts w:ascii="Palatino Linotype" w:eastAsia="Palatino Linotype" w:hAnsi="Palatino Linotype" w:cs="Palatino Linotype"/>
          <w:i/>
          <w:color w:val="000000"/>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E924AF">
        <w:rPr>
          <w:rFonts w:ascii="Palatino Linotype" w:eastAsia="Palatino Linotype" w:hAnsi="Palatino Linotype" w:cs="Palatino Linotype"/>
          <w:color w:val="000000"/>
        </w:rPr>
        <w:t>....”</w:t>
      </w:r>
      <w:r w:rsidRPr="00E924AF">
        <w:rPr>
          <w:rFonts w:ascii="Palatino Linotype" w:eastAsia="Palatino Linotype" w:hAnsi="Palatino Linotype" w:cs="Palatino Linotype"/>
          <w:color w:val="000000"/>
          <w:vertAlign w:val="superscript"/>
        </w:rPr>
        <w:footnoteReference w:id="9"/>
      </w:r>
    </w:p>
    <w:p w:rsidR="00E924AF" w:rsidRDefault="00E924AF" w:rsidP="00E924AF">
      <w:pPr>
        <w:pStyle w:val="Prrafodelista"/>
        <w:rPr>
          <w:color w:val="000000"/>
        </w:rPr>
      </w:pPr>
    </w:p>
    <w:p w:rsidR="00E924AF" w:rsidRPr="00E924AF" w:rsidRDefault="00E924AF" w:rsidP="00E924AF">
      <w:pPr>
        <w:pBdr>
          <w:top w:val="nil"/>
          <w:left w:val="nil"/>
          <w:bottom w:val="nil"/>
          <w:right w:val="nil"/>
          <w:between w:val="nil"/>
        </w:pBdr>
        <w:tabs>
          <w:tab w:val="left" w:pos="0"/>
          <w:tab w:val="left" w:pos="284"/>
          <w:tab w:val="left" w:pos="426"/>
        </w:tabs>
        <w:spacing w:line="360" w:lineRule="auto"/>
        <w:jc w:val="both"/>
        <w:rPr>
          <w:color w:val="000000"/>
        </w:rPr>
      </w:pPr>
    </w:p>
    <w:p w:rsidR="009B0096" w:rsidRPr="00E924AF" w:rsidRDefault="000F0223">
      <w:pPr>
        <w:numPr>
          <w:ilvl w:val="0"/>
          <w:numId w:val="2"/>
        </w:numPr>
        <w:pBdr>
          <w:top w:val="nil"/>
          <w:left w:val="nil"/>
          <w:bottom w:val="nil"/>
          <w:right w:val="nil"/>
          <w:between w:val="nil"/>
        </w:pBdr>
        <w:tabs>
          <w:tab w:val="left" w:pos="0"/>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Por su parte, el intérprete judicial del país ha establecido una jurisprudencia respecto a qué debe entenderse por fundamentación y motivación, en los siguientes términos:</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b/>
          <w:i/>
          <w:color w:val="000000"/>
          <w:sz w:val="22"/>
        </w:rPr>
        <w:t>FUNDAMENTACIÓN Y MOTIVACIÓN.</w:t>
      </w:r>
      <w:r w:rsidRPr="00E924AF">
        <w:rPr>
          <w:rFonts w:ascii="Palatino Linotype" w:eastAsia="Palatino Linotype" w:hAnsi="Palatino Linotype" w:cs="Palatino Linotype"/>
          <w:i/>
          <w:color w:val="000000"/>
          <w:sz w:val="22"/>
        </w:rPr>
        <w:t xml:space="preserve"> “La </w:t>
      </w:r>
      <w:r w:rsidRPr="00E924AF">
        <w:rPr>
          <w:rFonts w:ascii="Palatino Linotype" w:eastAsia="Palatino Linotype" w:hAnsi="Palatino Linotype" w:cs="Palatino Linotype"/>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E924AF">
        <w:rPr>
          <w:rFonts w:ascii="Palatino Linotype" w:eastAsia="Palatino Linotype" w:hAnsi="Palatino Linotype" w:cs="Palatino Linotype"/>
          <w:i/>
          <w:color w:val="000000"/>
          <w:sz w:val="22"/>
        </w:rPr>
        <w:t>.”</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SEGUNDO TRIBUNAL COLEGIADO DEL SEXTO CIRCUITO.</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Amparo directo 194/88. Bufete Industrial Construcciones, S.A. de C.V. 28 de junio de 1988. Unanimidad de votos. Ponente: Gustavo Calvillo Rangel. Secretario: Jorge Alberto González Álvarez.</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lastRenderedPageBreak/>
        <w:t>Revisión fiscal 103/88. Instituto Mexicano del Seguro Social. 18 de octubre de 1988. Unanimidad de votos. Ponente: Arnoldo Nájera Virgen. Secretario: Alejandro Esponda Rincón.</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Amparo en revisión 333/88. Adilia Romero. 26 de octubre de 1988. Unanimidad de votos. Ponente: Arnoldo Nájera Virgen. Secretario: Enrique Crispín Campos Ramírez.</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Amparo en revisión 597/95. Emilio Maurer Bretón. 15 de noviembre de 1995. Unanimidad de votos. Ponente: Clementina Ramírez Moguel Goyzueta. Secretario: Gonzalo Carrera Molina.</w:t>
      </w:r>
    </w:p>
    <w:p w:rsidR="009B0096" w:rsidRPr="00E924AF" w:rsidRDefault="000F0223">
      <w:pPr>
        <w:spacing w:line="276" w:lineRule="auto"/>
        <w:ind w:left="851" w:right="618"/>
        <w:jc w:val="both"/>
        <w:rPr>
          <w:rFonts w:ascii="Palatino Linotype" w:eastAsia="Palatino Linotype" w:hAnsi="Palatino Linotype" w:cs="Palatino Linotype"/>
          <w:i/>
          <w:color w:val="000000"/>
          <w:sz w:val="22"/>
        </w:rPr>
      </w:pPr>
      <w:r w:rsidRPr="00E924AF">
        <w:rPr>
          <w:rFonts w:ascii="Palatino Linotype" w:eastAsia="Palatino Linotype" w:hAnsi="Palatino Linotype" w:cs="Palatino Linotype"/>
          <w:i/>
          <w:color w:val="000000"/>
          <w:sz w:val="22"/>
        </w:rPr>
        <w:t>Amparo directo 7/96. Pedro Vicente López Miro. 21 de febrero de 1996. Unanimidad de votos. Ponente: María Eugenia Estela Martínez Cardiel. Secretario: Enrique Baigts Muñoz.</w:t>
      </w:r>
    </w:p>
    <w:p w:rsidR="009B0096" w:rsidRPr="00E924AF" w:rsidRDefault="009B0096">
      <w:pPr>
        <w:spacing w:line="360" w:lineRule="auto"/>
        <w:ind w:left="851" w:right="618"/>
        <w:jc w:val="both"/>
        <w:rPr>
          <w:rFonts w:ascii="Palatino Linotype" w:eastAsia="Palatino Linotype" w:hAnsi="Palatino Linotype" w:cs="Palatino Linotype"/>
          <w:i/>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En ese mismo sentido, el numeral trigésimo tercero fracción V de los Lineamientos Generales, precisa que para motivar la clasificación se deben acreditar las circunstancias de tiempo, modo y lugar.</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lastRenderedPageBreak/>
        <w:t xml:space="preserve"> Ahora bien, </w:t>
      </w:r>
      <w:r w:rsidRPr="00E924AF">
        <w:rPr>
          <w:rFonts w:ascii="Palatino Linotype" w:eastAsia="Palatino Linotype" w:hAnsi="Palatino Linotype" w:cs="Palatino Linotype"/>
          <w:b/>
          <w:color w:val="000000"/>
          <w:u w:val="single"/>
        </w:rPr>
        <w:t>para cada caso además de fundar y motivar</w:t>
      </w:r>
      <w:r w:rsidRPr="00E924AF">
        <w:rPr>
          <w:rFonts w:ascii="Palatino Linotype" w:eastAsia="Palatino Linotype" w:hAnsi="Palatino Linotype" w:cs="Palatino Linotype"/>
          <w:color w:val="000000"/>
        </w:rPr>
        <w:t xml:space="preserve">, se debe identificar con claridad </w:t>
      </w:r>
      <w:r w:rsidRPr="00E924AF">
        <w:rPr>
          <w:rFonts w:ascii="Palatino Linotype" w:eastAsia="Palatino Linotype" w:hAnsi="Palatino Linotype" w:cs="Palatino Linotype"/>
        </w:rPr>
        <w:t>qué</w:t>
      </w:r>
      <w:r w:rsidRPr="00E924AF">
        <w:rPr>
          <w:rFonts w:ascii="Palatino Linotype" w:eastAsia="Palatino Linotype" w:hAnsi="Palatino Linotype" w:cs="Palatino Linotype"/>
          <w:color w:val="000000"/>
        </w:rPr>
        <w:t xml:space="preserv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E924AF">
        <w:rPr>
          <w:rFonts w:ascii="Palatino Linotype" w:eastAsia="Palatino Linotype" w:hAnsi="Palatino Linotype" w:cs="Palatino Linotype"/>
          <w:color w:val="000000"/>
          <w:vertAlign w:val="superscript"/>
        </w:rPr>
        <w:footnoteReference w:id="10"/>
      </w:r>
      <w:r w:rsidRPr="00E924AF">
        <w:rPr>
          <w:rFonts w:ascii="Palatino Linotype" w:eastAsia="Palatino Linotype" w:hAnsi="Palatino Linotype" w:cs="Palatino Linotype"/>
          <w:color w:val="000000"/>
        </w:rPr>
        <w:t xml:space="preserve"> del servidor público que no tienen ninguna injerencia en el tema de la transparencia y la rendición de cuentas, por ejemplo, Clave Única de Registro de Población (CURP), Registro Federal de Contribuyentes (R.F.C.), clave de Cadenas Originales del Sellos Digitales y los Códigos Bidimensionales, también denominados Códigos QR, son datos  susceptibles de clasificarse como confidenciales mediante una versión pública que deje a la vista los datos que ofrezcan la información requerida.</w:t>
      </w:r>
    </w:p>
    <w:p w:rsidR="00E924AF" w:rsidRDefault="00E924AF" w:rsidP="00E924AF">
      <w:pPr>
        <w:pStyle w:val="Prrafodelista"/>
        <w:rPr>
          <w:color w:val="000000"/>
        </w:rPr>
      </w:pPr>
    </w:p>
    <w:p w:rsidR="00E924AF" w:rsidRPr="00E924AF" w:rsidRDefault="00E924AF" w:rsidP="00E924AF">
      <w:pPr>
        <w:pBdr>
          <w:top w:val="nil"/>
          <w:left w:val="nil"/>
          <w:bottom w:val="nil"/>
          <w:right w:val="nil"/>
          <w:between w:val="nil"/>
        </w:pBdr>
        <w:tabs>
          <w:tab w:val="left" w:pos="142"/>
          <w:tab w:val="left" w:pos="284"/>
          <w:tab w:val="left" w:pos="426"/>
        </w:tabs>
        <w:spacing w:line="360" w:lineRule="auto"/>
        <w:jc w:val="both"/>
        <w:rPr>
          <w:color w:val="000000"/>
        </w:rPr>
      </w:pPr>
    </w:p>
    <w:p w:rsidR="009B0096" w:rsidRPr="00E924AF" w:rsidRDefault="000F0223">
      <w:pPr>
        <w:numPr>
          <w:ilvl w:val="0"/>
          <w:numId w:val="2"/>
        </w:numPr>
        <w:pBdr>
          <w:top w:val="nil"/>
          <w:left w:val="nil"/>
          <w:bottom w:val="nil"/>
          <w:right w:val="nil"/>
          <w:between w:val="nil"/>
        </w:pBdr>
        <w:tabs>
          <w:tab w:val="left" w:pos="142"/>
          <w:tab w:val="left" w:pos="284"/>
          <w:tab w:val="left" w:pos="426"/>
        </w:tabs>
        <w:spacing w:line="360" w:lineRule="auto"/>
        <w:ind w:left="0" w:firstLine="0"/>
        <w:jc w:val="both"/>
        <w:rPr>
          <w:color w:val="000000"/>
        </w:rPr>
      </w:pPr>
      <w:r w:rsidRPr="00E924AF">
        <w:rPr>
          <w:rFonts w:ascii="Palatino Linotype" w:eastAsia="Palatino Linotype" w:hAnsi="Palatino Linotype" w:cs="Palatino Linotype"/>
          <w:color w:val="000000"/>
        </w:rPr>
        <w:t xml:space="preserve"> Otro 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rsidR="009B0096" w:rsidRPr="00E924AF" w:rsidRDefault="009B009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rsidR="009B0096" w:rsidRPr="00E924AF" w:rsidRDefault="000F0223">
      <w:pPr>
        <w:keepNext/>
        <w:keepLines/>
        <w:spacing w:line="360" w:lineRule="auto"/>
        <w:rPr>
          <w:rFonts w:ascii="Palatino Linotype" w:eastAsia="Palatino Linotype" w:hAnsi="Palatino Linotype" w:cs="Palatino Linotype"/>
          <w:b/>
        </w:rPr>
      </w:pPr>
      <w:bookmarkStart w:id="20" w:name="_heading=h.3j2qqm3" w:colFirst="0" w:colLast="0"/>
      <w:bookmarkEnd w:id="20"/>
      <w:r w:rsidRPr="00E924AF">
        <w:rPr>
          <w:rFonts w:ascii="Palatino Linotype" w:eastAsia="Palatino Linotype" w:hAnsi="Palatino Linotype" w:cs="Palatino Linotype"/>
          <w:b/>
        </w:rPr>
        <w:t xml:space="preserve">OCTAVO. De la Decisión </w:t>
      </w: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No se atendió ninguno de los deberes establecidos por la norma para la atención de la solicitud de acceso a la información y, al no haber respondido de </w:t>
      </w:r>
      <w:r w:rsidRPr="00E924AF">
        <w:rPr>
          <w:rFonts w:ascii="Palatino Linotype" w:eastAsia="Palatino Linotype" w:hAnsi="Palatino Linotype" w:cs="Palatino Linotype"/>
          <w:color w:val="000000"/>
        </w:rPr>
        <w:lastRenderedPageBreak/>
        <w:t>ninguna manera a la misma, la falta de respuesta implica un incumplimiento al deber de atender las solicitudes y en consecuencia una afectación al Derecho.</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Esta falta de respuesta </w:t>
      </w:r>
      <w:r w:rsidRPr="00E924AF">
        <w:rPr>
          <w:rFonts w:ascii="Palatino Linotype" w:eastAsia="Palatino Linotype" w:hAnsi="Palatino Linotype" w:cs="Palatino Linotype"/>
        </w:rPr>
        <w:t>vulnera</w:t>
      </w:r>
      <w:r w:rsidRPr="00E924AF">
        <w:rPr>
          <w:rFonts w:ascii="Palatino Linotype" w:eastAsia="Palatino Linotype" w:hAnsi="Palatino Linotype" w:cs="Palatino Linotype"/>
          <w:color w:val="000000"/>
        </w:rPr>
        <w:t xml:space="preserve">  el derecho de acceso a la información, lo que puede ser causa de responsabilidad administrativa por no atender lo que establece la ley, por lo cual se girará oficio a la Secretaría Técnica del Pleno de este Instituto para hacer del conocimiento del Órgano Interno de Control competente la presente resolución, a fin de que determine lo conducente.</w:t>
      </w:r>
    </w:p>
    <w:p w:rsidR="009B0096" w:rsidRPr="00E924AF" w:rsidRDefault="009B0096">
      <w:pPr>
        <w:pBdr>
          <w:top w:val="nil"/>
          <w:left w:val="nil"/>
          <w:bottom w:val="nil"/>
          <w:right w:val="nil"/>
          <w:between w:val="nil"/>
        </w:pBdr>
        <w:spacing w:line="360" w:lineRule="auto"/>
        <w:rPr>
          <w:rFonts w:ascii="Palatino Linotype" w:eastAsia="Palatino Linotype" w:hAnsi="Palatino Linotype" w:cs="Palatino Linotype"/>
          <w:color w:val="000000"/>
        </w:rPr>
      </w:pPr>
    </w:p>
    <w:p w:rsidR="009B0096" w:rsidRPr="00E924AF" w:rsidRDefault="000F0223">
      <w:pPr>
        <w:numPr>
          <w:ilvl w:val="0"/>
          <w:numId w:val="2"/>
        </w:numPr>
        <w:pBdr>
          <w:top w:val="nil"/>
          <w:left w:val="nil"/>
          <w:bottom w:val="nil"/>
          <w:right w:val="nil"/>
          <w:between w:val="nil"/>
        </w:pBdr>
        <w:spacing w:line="360" w:lineRule="auto"/>
        <w:ind w:left="0" w:firstLine="0"/>
        <w:jc w:val="both"/>
        <w:rPr>
          <w:color w:val="000000"/>
        </w:rPr>
      </w:pPr>
      <w:r w:rsidRPr="00E924AF">
        <w:rPr>
          <w:rFonts w:ascii="Palatino Linotype" w:eastAsia="Palatino Linotype" w:hAnsi="Palatino Linotype" w:cs="Palatino Linotype"/>
          <w:color w:val="000000"/>
        </w:rPr>
        <w:t xml:space="preserve">Así, con fundamento en el artículo 186, fracción IV, de la Ley de Transparencia a Acceso a la información Pública del Estado de México y Municipios, este Órgano Garante determina procedente </w:t>
      </w:r>
      <w:r w:rsidRPr="00E924AF">
        <w:rPr>
          <w:rFonts w:ascii="Palatino Linotype" w:eastAsia="Palatino Linotype" w:hAnsi="Palatino Linotype" w:cs="Palatino Linotype"/>
          <w:b/>
          <w:color w:val="000000"/>
        </w:rPr>
        <w:t>ORDENAR</w:t>
      </w:r>
      <w:r w:rsidRPr="00E924AF">
        <w:rPr>
          <w:rFonts w:ascii="Palatino Linotype" w:eastAsia="Palatino Linotype" w:hAnsi="Palatino Linotype" w:cs="Palatino Linotype"/>
          <w:color w:val="000000"/>
        </w:rPr>
        <w:t xml:space="preserve"> al </w:t>
      </w:r>
      <w:r w:rsidRPr="00E924AF">
        <w:rPr>
          <w:rFonts w:ascii="Palatino Linotype" w:eastAsia="Palatino Linotype" w:hAnsi="Palatino Linotype" w:cs="Palatino Linotype"/>
          <w:b/>
          <w:color w:val="000000"/>
        </w:rPr>
        <w:t>SUJETO OBLIGADO</w:t>
      </w:r>
      <w:r w:rsidRPr="00E924AF">
        <w:rPr>
          <w:rFonts w:ascii="Palatino Linotype" w:eastAsia="Palatino Linotype" w:hAnsi="Palatino Linotype" w:cs="Palatino Linotype"/>
          <w:color w:val="000000"/>
        </w:rPr>
        <w:t xml:space="preserve"> que, dé trámite y respuesta a la solicitud de información número </w:t>
      </w:r>
      <w:r w:rsidRPr="00E924AF">
        <w:rPr>
          <w:rFonts w:ascii="Palatino Linotype" w:eastAsia="Palatino Linotype" w:hAnsi="Palatino Linotype" w:cs="Palatino Linotype"/>
          <w:b/>
          <w:color w:val="000000"/>
        </w:rPr>
        <w:t>00349/ECATEPEC/IP/2024.</w:t>
      </w:r>
    </w:p>
    <w:p w:rsidR="00E924AF" w:rsidRDefault="00E924AF" w:rsidP="00E924AF">
      <w:pPr>
        <w:pStyle w:val="Prrafodelista"/>
        <w:rPr>
          <w:color w:val="000000"/>
        </w:rPr>
      </w:pPr>
    </w:p>
    <w:p w:rsidR="00E924AF" w:rsidRPr="00E924AF" w:rsidRDefault="00E924AF" w:rsidP="00E924AF">
      <w:pPr>
        <w:pBdr>
          <w:top w:val="nil"/>
          <w:left w:val="nil"/>
          <w:bottom w:val="nil"/>
          <w:right w:val="nil"/>
          <w:between w:val="nil"/>
        </w:pBdr>
        <w:spacing w:line="360" w:lineRule="auto"/>
        <w:jc w:val="both"/>
        <w:rPr>
          <w:color w:val="000000"/>
        </w:rPr>
      </w:pPr>
    </w:p>
    <w:p w:rsidR="009B0096" w:rsidRPr="00E924AF" w:rsidRDefault="000F0223">
      <w:pPr>
        <w:numPr>
          <w:ilvl w:val="0"/>
          <w:numId w:val="2"/>
        </w:numPr>
        <w:spacing w:line="360" w:lineRule="auto"/>
        <w:ind w:left="0" w:right="49" w:firstLine="0"/>
        <w:jc w:val="both"/>
      </w:pPr>
      <w:r w:rsidRPr="00E924AF">
        <w:rPr>
          <w:rFonts w:ascii="Palatino Linotype" w:eastAsia="Palatino Linotype" w:hAnsi="Palatino Linotype" w:cs="Palatino Linotype"/>
        </w:rPr>
        <w:t xml:space="preserve">Por lo anteriormente expuesto y fundado, este </w:t>
      </w:r>
      <w:r w:rsidRPr="00E924AF">
        <w:rPr>
          <w:rFonts w:ascii="Palatino Linotype" w:eastAsia="Palatino Linotype" w:hAnsi="Palatino Linotype" w:cs="Palatino Linotype"/>
          <w:b/>
        </w:rPr>
        <w:t>ÓRGANO GARANTE</w:t>
      </w:r>
      <w:r w:rsidRPr="00E924AF">
        <w:rPr>
          <w:rFonts w:ascii="Palatino Linotype" w:eastAsia="Palatino Linotype" w:hAnsi="Palatino Linotype" w:cs="Palatino Linotype"/>
        </w:rPr>
        <w:t xml:space="preserve"> emite los siguientes: ---------------------------------------------------------------------------------------------</w:t>
      </w:r>
    </w:p>
    <w:p w:rsidR="009B0096" w:rsidRPr="00E924AF" w:rsidRDefault="000F0223">
      <w:pPr>
        <w:spacing w:line="360" w:lineRule="auto"/>
        <w:ind w:left="720" w:right="49"/>
        <w:jc w:val="both"/>
        <w:rPr>
          <w:rFonts w:ascii="Palatino Linotype" w:eastAsia="Palatino Linotype" w:hAnsi="Palatino Linotype" w:cs="Palatino Linotype"/>
        </w:rPr>
      </w:pPr>
      <w:r w:rsidRPr="00E924AF">
        <w:rPr>
          <w:rFonts w:ascii="Palatino Linotype" w:eastAsia="Palatino Linotype" w:hAnsi="Palatino Linotype" w:cs="Palatino Linotype"/>
        </w:rPr>
        <w:t xml:space="preserve"> </w:t>
      </w:r>
    </w:p>
    <w:p w:rsidR="009B0096" w:rsidRPr="00E924AF" w:rsidRDefault="000F0223">
      <w:pPr>
        <w:keepNext/>
        <w:keepLines/>
        <w:spacing w:line="360" w:lineRule="auto"/>
        <w:jc w:val="center"/>
        <w:rPr>
          <w:rFonts w:ascii="Palatino Linotype" w:eastAsia="Palatino Linotype" w:hAnsi="Palatino Linotype" w:cs="Palatino Linotype"/>
        </w:rPr>
      </w:pPr>
      <w:bookmarkStart w:id="21" w:name="_heading=h.1y810tw" w:colFirst="0" w:colLast="0"/>
      <w:bookmarkEnd w:id="21"/>
      <w:r w:rsidRPr="00E924AF">
        <w:rPr>
          <w:rFonts w:ascii="Palatino Linotype" w:eastAsia="Palatino Linotype" w:hAnsi="Palatino Linotype" w:cs="Palatino Linotype"/>
          <w:b/>
        </w:rPr>
        <w:t xml:space="preserve">R E S O L U T I V O S </w:t>
      </w:r>
    </w:p>
    <w:p w:rsidR="009B0096" w:rsidRPr="00E924AF" w:rsidRDefault="009B0096">
      <w:pPr>
        <w:spacing w:line="360" w:lineRule="auto"/>
        <w:rPr>
          <w:rFonts w:ascii="Palatino Linotype" w:eastAsia="Palatino Linotype" w:hAnsi="Palatino Linotype" w:cs="Palatino Linotype"/>
        </w:rPr>
      </w:pPr>
    </w:p>
    <w:p w:rsidR="009B0096" w:rsidRPr="00E924AF" w:rsidRDefault="000F0223">
      <w:pPr>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t xml:space="preserve">PRIMERO. </w:t>
      </w:r>
      <w:r w:rsidRPr="00E924AF">
        <w:rPr>
          <w:rFonts w:ascii="Palatino Linotype" w:eastAsia="Palatino Linotype" w:hAnsi="Palatino Linotype" w:cs="Palatino Linotype"/>
        </w:rPr>
        <w:t>Resultan fundadas las</w:t>
      </w:r>
      <w:r w:rsidRPr="00E924AF">
        <w:rPr>
          <w:rFonts w:ascii="Palatino Linotype" w:eastAsia="Palatino Linotype" w:hAnsi="Palatino Linotype" w:cs="Palatino Linotype"/>
          <w:b/>
        </w:rPr>
        <w:t xml:space="preserve"> </w:t>
      </w:r>
      <w:r w:rsidRPr="00E924AF">
        <w:rPr>
          <w:rFonts w:ascii="Palatino Linotype" w:eastAsia="Palatino Linotype" w:hAnsi="Palatino Linotype" w:cs="Palatino Linotype"/>
        </w:rPr>
        <w:t xml:space="preserve">razones y motivos de inconformidad hechos valer en el recurso de revisión </w:t>
      </w:r>
      <w:r w:rsidRPr="00E924AF">
        <w:rPr>
          <w:rFonts w:ascii="Palatino Linotype" w:eastAsia="Palatino Linotype" w:hAnsi="Palatino Linotype" w:cs="Palatino Linotype"/>
          <w:b/>
        </w:rPr>
        <w:t xml:space="preserve">02828/INFOEM/IP/RR/2024 </w:t>
      </w:r>
      <w:r w:rsidRPr="00E924AF">
        <w:rPr>
          <w:rFonts w:ascii="Palatino Linotype" w:eastAsia="Palatino Linotype" w:hAnsi="Palatino Linotype" w:cs="Palatino Linotype"/>
        </w:rPr>
        <w:t xml:space="preserve">en términos del </w:t>
      </w:r>
      <w:r w:rsidRPr="00E924AF">
        <w:rPr>
          <w:rFonts w:ascii="Palatino Linotype" w:eastAsia="Palatino Linotype" w:hAnsi="Palatino Linotype" w:cs="Palatino Linotype"/>
          <w:b/>
        </w:rPr>
        <w:t xml:space="preserve">Considerando CUARTO </w:t>
      </w:r>
      <w:r w:rsidRPr="00E924AF">
        <w:rPr>
          <w:rFonts w:ascii="Palatino Linotype" w:eastAsia="Palatino Linotype" w:hAnsi="Palatino Linotype" w:cs="Palatino Linotype"/>
        </w:rPr>
        <w:t>de la presente resolución.</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lastRenderedPageBreak/>
        <w:t xml:space="preserve">SEGUNDO. </w:t>
      </w:r>
      <w:r w:rsidRPr="00E924AF">
        <w:rPr>
          <w:rFonts w:ascii="Palatino Linotype" w:eastAsia="Palatino Linotype" w:hAnsi="Palatino Linotype" w:cs="Palatino Linotype"/>
        </w:rPr>
        <w:t xml:space="preserve">Se </w:t>
      </w:r>
      <w:r w:rsidRPr="00E924AF">
        <w:rPr>
          <w:rFonts w:ascii="Palatino Linotype" w:eastAsia="Palatino Linotype" w:hAnsi="Palatino Linotype" w:cs="Palatino Linotype"/>
          <w:b/>
        </w:rPr>
        <w:t xml:space="preserve">ORDENA </w:t>
      </w:r>
      <w:r w:rsidRPr="00E924AF">
        <w:rPr>
          <w:rFonts w:ascii="Palatino Linotype" w:eastAsia="Palatino Linotype" w:hAnsi="Palatino Linotype" w:cs="Palatino Linotype"/>
        </w:rPr>
        <w:t xml:space="preserve">al </w:t>
      </w:r>
      <w:r w:rsidRPr="00E924AF">
        <w:rPr>
          <w:rFonts w:ascii="Palatino Linotype" w:eastAsia="Palatino Linotype" w:hAnsi="Palatino Linotype" w:cs="Palatino Linotype"/>
          <w:b/>
        </w:rPr>
        <w:t xml:space="preserve">Ayuntamiento de Ecatepec de Morelos </w:t>
      </w:r>
      <w:r w:rsidRPr="00E924AF">
        <w:rPr>
          <w:rFonts w:ascii="Palatino Linotype" w:eastAsia="Palatino Linotype" w:hAnsi="Palatino Linotype" w:cs="Palatino Linotype"/>
        </w:rPr>
        <w:t xml:space="preserve">dar atención a la solicitud de información </w:t>
      </w:r>
      <w:r w:rsidRPr="00E924AF">
        <w:rPr>
          <w:rFonts w:ascii="Palatino Linotype" w:eastAsia="Palatino Linotype" w:hAnsi="Palatino Linotype" w:cs="Palatino Linotype"/>
          <w:b/>
        </w:rPr>
        <w:t xml:space="preserve">00349/ECATEPEC/IP/2024 </w:t>
      </w:r>
      <w:r w:rsidRPr="00E924AF">
        <w:rPr>
          <w:rFonts w:ascii="Palatino Linotype" w:eastAsia="Palatino Linotype" w:hAnsi="Palatino Linotype" w:cs="Palatino Linotype"/>
        </w:rPr>
        <w:t>y en su caso, entregar la información en la modalidad Sistema de Acceso a Información Mexiquense (SAIMEX).</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tabs>
          <w:tab w:val="left" w:pos="8080"/>
        </w:tabs>
        <w:spacing w:line="360" w:lineRule="auto"/>
        <w:ind w:right="49"/>
        <w:jc w:val="both"/>
        <w:rPr>
          <w:rFonts w:ascii="Palatino Linotype" w:eastAsia="Palatino Linotype" w:hAnsi="Palatino Linotype" w:cs="Palatino Linotype"/>
        </w:rPr>
      </w:pPr>
      <w:r w:rsidRPr="00E924AF">
        <w:rPr>
          <w:rFonts w:ascii="Palatino Linotype" w:eastAsia="Palatino Linotype" w:hAnsi="Palatino Linotype" w:cs="Palatino Linotype"/>
          <w:b/>
        </w:rPr>
        <w:t>TERCERO. NOTIFÍQUESE</w:t>
      </w:r>
      <w:r w:rsidRPr="00E924AF">
        <w:rPr>
          <w:rFonts w:ascii="Palatino Linotype" w:eastAsia="Palatino Linotype" w:hAnsi="Palatino Linotype" w:cs="Palatino Linotype"/>
        </w:rPr>
        <w:t xml:space="preserve"> la presente resolución al Titular de la Unidad de Transparencia del Sujeto Obligado</w:t>
      </w:r>
      <w:r w:rsidR="006F1B38">
        <w:rPr>
          <w:rFonts w:ascii="Palatino Linotype" w:eastAsia="Palatino Linotype" w:hAnsi="Palatino Linotype" w:cs="Palatino Linotype"/>
        </w:rPr>
        <w:t xml:space="preserve"> vía SAIMEX</w:t>
      </w:r>
      <w:r w:rsidRPr="00E924AF">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E924AF">
        <w:rPr>
          <w:rFonts w:ascii="Palatino Linotype" w:eastAsia="Palatino Linotype" w:hAnsi="Palatino Linotype" w:cs="Palatino Linotype"/>
          <w:b/>
        </w:rPr>
        <w:t>dé cumplimiento a lo ordenado dentro del plazo de diez días hábiles</w:t>
      </w:r>
      <w:r w:rsidRPr="00E924A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B0096" w:rsidRPr="00E924AF" w:rsidRDefault="009B0096">
      <w:pPr>
        <w:tabs>
          <w:tab w:val="left" w:pos="8080"/>
        </w:tabs>
        <w:spacing w:line="360" w:lineRule="auto"/>
        <w:ind w:right="49"/>
        <w:jc w:val="both"/>
        <w:rPr>
          <w:rFonts w:ascii="Palatino Linotype" w:eastAsia="Palatino Linotype" w:hAnsi="Palatino Linotype" w:cs="Palatino Linotype"/>
          <w:b/>
        </w:rPr>
      </w:pPr>
    </w:p>
    <w:p w:rsidR="009B0096" w:rsidRPr="00E924AF" w:rsidRDefault="000F0223">
      <w:pPr>
        <w:shd w:val="clear" w:color="auto" w:fill="FFFFFF"/>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t xml:space="preserve">CUARTO. </w:t>
      </w:r>
      <w:r w:rsidRPr="00E924AF">
        <w:rPr>
          <w:rFonts w:ascii="Palatino Linotype" w:eastAsia="Palatino Linotype" w:hAnsi="Palatino Linotype" w:cs="Palatino Linotype"/>
        </w:rPr>
        <w:t>Notifíquese a la</w:t>
      </w:r>
      <w:r w:rsidRPr="00E924AF">
        <w:rPr>
          <w:rFonts w:ascii="Palatino Linotype" w:eastAsia="Palatino Linotype" w:hAnsi="Palatino Linotype" w:cs="Palatino Linotype"/>
          <w:b/>
        </w:rPr>
        <w:t xml:space="preserve"> RECURRENTE </w:t>
      </w:r>
      <w:r w:rsidRPr="00E924AF">
        <w:rPr>
          <w:rFonts w:ascii="Palatino Linotype" w:eastAsia="Palatino Linotype" w:hAnsi="Palatino Linotype" w:cs="Palatino Linotype"/>
        </w:rPr>
        <w:t xml:space="preserve">la presente resolución vía Sistema de Acceso a Información Mexiquense </w:t>
      </w:r>
      <w:r w:rsidRPr="00E924AF">
        <w:rPr>
          <w:rFonts w:ascii="Palatino Linotype" w:eastAsia="Palatino Linotype" w:hAnsi="Palatino Linotype" w:cs="Palatino Linotype"/>
          <w:b/>
        </w:rPr>
        <w:t>(SAIMEX).</w:t>
      </w:r>
    </w:p>
    <w:p w:rsidR="009B0096" w:rsidRPr="00E924AF" w:rsidRDefault="009B0096">
      <w:pPr>
        <w:shd w:val="clear" w:color="auto" w:fill="FFFFFF"/>
        <w:spacing w:line="360" w:lineRule="auto"/>
        <w:jc w:val="both"/>
        <w:rPr>
          <w:rFonts w:ascii="Palatino Linotype" w:eastAsia="Palatino Linotype" w:hAnsi="Palatino Linotype" w:cs="Palatino Linotype"/>
        </w:rPr>
      </w:pPr>
    </w:p>
    <w:p w:rsidR="009B0096" w:rsidRPr="00E924AF" w:rsidRDefault="000F0223">
      <w:pPr>
        <w:shd w:val="clear" w:color="auto" w:fill="FFFFFF"/>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t>QUINTO.</w:t>
      </w:r>
      <w:r w:rsidRPr="00E924AF">
        <w:rPr>
          <w:rFonts w:ascii="Palatino Linotype" w:eastAsia="Palatino Linotype" w:hAnsi="Palatino Linotype" w:cs="Palatino Linotype"/>
        </w:rPr>
        <w:t xml:space="preserve"> Se hace del conocimiento de la </w:t>
      </w:r>
      <w:r w:rsidRPr="00E924AF">
        <w:rPr>
          <w:rFonts w:ascii="Palatino Linotype" w:eastAsia="Palatino Linotype" w:hAnsi="Palatino Linotype" w:cs="Palatino Linotype"/>
          <w:b/>
        </w:rPr>
        <w:t xml:space="preserve">RECURRENTE </w:t>
      </w:r>
      <w:r w:rsidRPr="00E924AF">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B0096" w:rsidRPr="00E924AF" w:rsidRDefault="009B0096">
      <w:pPr>
        <w:shd w:val="clear" w:color="auto" w:fill="FFFFFF"/>
        <w:spacing w:line="360" w:lineRule="auto"/>
        <w:jc w:val="both"/>
        <w:rPr>
          <w:rFonts w:ascii="Palatino Linotype" w:eastAsia="Palatino Linotype" w:hAnsi="Palatino Linotype" w:cs="Palatino Linotype"/>
        </w:rPr>
      </w:pPr>
    </w:p>
    <w:p w:rsidR="009B0096" w:rsidRPr="00E924AF" w:rsidRDefault="000F0223">
      <w:pPr>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lastRenderedPageBreak/>
        <w:t xml:space="preserve">SEXTO. </w:t>
      </w:r>
      <w:r w:rsidRPr="00E924AF">
        <w:rPr>
          <w:rFonts w:ascii="Palatino Linotype" w:eastAsia="Palatino Linotype" w:hAnsi="Palatino Linotype" w:cs="Palatino Linotype"/>
        </w:rPr>
        <w:t>Hágase del conocimiento de la</w:t>
      </w:r>
      <w:r w:rsidRPr="00E924AF">
        <w:rPr>
          <w:rFonts w:ascii="Palatino Linotype" w:eastAsia="Palatino Linotype" w:hAnsi="Palatino Linotype" w:cs="Palatino Linotype"/>
          <w:b/>
        </w:rPr>
        <w:t xml:space="preserve"> RECURRENTE</w:t>
      </w:r>
      <w:r w:rsidRPr="00E924AF">
        <w:rPr>
          <w:rFonts w:ascii="Palatino Linotype" w:eastAsia="Palatino Linotype" w:hAnsi="Palatino Linotype" w:cs="Palatino Linotype"/>
        </w:rPr>
        <w:t xml:space="preserve"> que la respuesta que dé el</w:t>
      </w:r>
      <w:r w:rsidRPr="00E924AF">
        <w:rPr>
          <w:rFonts w:ascii="Palatino Linotype" w:eastAsia="Palatino Linotype" w:hAnsi="Palatino Linotype" w:cs="Palatino Linotype"/>
          <w:b/>
        </w:rPr>
        <w:t xml:space="preserve"> SUJETO OBLIGADO</w:t>
      </w:r>
      <w:r w:rsidRPr="00E924AF">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9B0096" w:rsidRPr="00E924AF" w:rsidRDefault="009B0096">
      <w:pPr>
        <w:spacing w:line="360" w:lineRule="auto"/>
        <w:jc w:val="both"/>
        <w:rPr>
          <w:rFonts w:ascii="Palatino Linotype" w:eastAsia="Palatino Linotype" w:hAnsi="Palatino Linotype" w:cs="Palatino Linotype"/>
        </w:rPr>
      </w:pPr>
    </w:p>
    <w:p w:rsidR="009B0096" w:rsidRPr="00E924AF" w:rsidRDefault="000F0223">
      <w:pPr>
        <w:shd w:val="clear" w:color="auto" w:fill="FFFFFF"/>
        <w:tabs>
          <w:tab w:val="left" w:pos="284"/>
        </w:tabs>
        <w:spacing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b/>
        </w:rPr>
        <w:t>SÉPTIMO.</w:t>
      </w:r>
      <w:r w:rsidRPr="00E924AF">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rsidR="009B0096" w:rsidRPr="00E924AF" w:rsidRDefault="000F0223">
      <w:pPr>
        <w:spacing w:before="240" w:after="240" w:line="360" w:lineRule="auto"/>
        <w:jc w:val="both"/>
        <w:rPr>
          <w:rFonts w:ascii="Palatino Linotype" w:eastAsia="Palatino Linotype" w:hAnsi="Palatino Linotype" w:cs="Palatino Linotype"/>
        </w:rPr>
      </w:pPr>
      <w:r w:rsidRPr="00E924AF">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p>
    <w:p w:rsidR="009B0096" w:rsidRPr="00E924AF" w:rsidRDefault="009B0096">
      <w:pPr>
        <w:spacing w:before="240" w:after="240" w:line="360" w:lineRule="auto"/>
        <w:jc w:val="both"/>
        <w:rPr>
          <w:rFonts w:ascii="Palatino Linotype" w:eastAsia="Palatino Linotype" w:hAnsi="Palatino Linotype" w:cs="Palatino Linotype"/>
        </w:rPr>
      </w:pPr>
      <w:bookmarkStart w:id="22" w:name="_heading=h.dxmn14b4223p" w:colFirst="0" w:colLast="0"/>
      <w:bookmarkEnd w:id="22"/>
    </w:p>
    <w:p w:rsidR="009B0096" w:rsidRPr="00E924AF" w:rsidRDefault="009B0096">
      <w:pPr>
        <w:spacing w:before="240" w:after="240" w:line="360" w:lineRule="auto"/>
        <w:jc w:val="both"/>
        <w:rPr>
          <w:rFonts w:ascii="Palatino Linotype" w:eastAsia="Palatino Linotype" w:hAnsi="Palatino Linotype" w:cs="Palatino Linotype"/>
        </w:rPr>
      </w:pPr>
      <w:bookmarkStart w:id="23" w:name="_heading=h.i0dj8ozd39u8" w:colFirst="0" w:colLast="0"/>
      <w:bookmarkEnd w:id="23"/>
    </w:p>
    <w:p w:rsidR="009B0096" w:rsidRPr="00E924AF" w:rsidRDefault="009B0096">
      <w:pPr>
        <w:spacing w:before="240" w:after="240" w:line="360" w:lineRule="auto"/>
        <w:jc w:val="both"/>
        <w:rPr>
          <w:rFonts w:ascii="Palatino Linotype" w:eastAsia="Palatino Linotype" w:hAnsi="Palatino Linotype" w:cs="Palatino Linotype"/>
        </w:rPr>
      </w:pPr>
      <w:bookmarkStart w:id="24" w:name="_heading=h.ftmxow5dpblh" w:colFirst="0" w:colLast="0"/>
      <w:bookmarkEnd w:id="24"/>
    </w:p>
    <w:p w:rsidR="009B0096" w:rsidRPr="00E924AF" w:rsidRDefault="009B0096">
      <w:pPr>
        <w:spacing w:before="240" w:after="240" w:line="360" w:lineRule="auto"/>
        <w:jc w:val="both"/>
        <w:rPr>
          <w:rFonts w:ascii="Palatino Linotype" w:eastAsia="Palatino Linotype" w:hAnsi="Palatino Linotype" w:cs="Palatino Linotype"/>
        </w:rPr>
      </w:pPr>
      <w:bookmarkStart w:id="25" w:name="_heading=h.qptthlun43ek" w:colFirst="0" w:colLast="0"/>
      <w:bookmarkEnd w:id="25"/>
    </w:p>
    <w:p w:rsidR="009B0096" w:rsidRPr="00E924AF" w:rsidRDefault="009B0096">
      <w:pPr>
        <w:spacing w:before="240" w:after="240" w:line="360" w:lineRule="auto"/>
        <w:jc w:val="both"/>
        <w:rPr>
          <w:rFonts w:ascii="Palatino Linotype" w:eastAsia="Palatino Linotype" w:hAnsi="Palatino Linotype" w:cs="Palatino Linotype"/>
        </w:rPr>
      </w:pPr>
      <w:bookmarkStart w:id="26" w:name="_heading=h.kdl8czu3elfl" w:colFirst="0" w:colLast="0"/>
      <w:bookmarkEnd w:id="26"/>
    </w:p>
    <w:p w:rsidR="009B0096" w:rsidRPr="00E924AF" w:rsidRDefault="009B0096">
      <w:pPr>
        <w:spacing w:before="240" w:after="240" w:line="360" w:lineRule="auto"/>
        <w:jc w:val="both"/>
        <w:rPr>
          <w:rFonts w:ascii="Palatino Linotype" w:eastAsia="Palatino Linotype" w:hAnsi="Palatino Linotype" w:cs="Palatino Linotype"/>
        </w:rPr>
      </w:pPr>
      <w:bookmarkStart w:id="27" w:name="_heading=h.wb611bv72dpj" w:colFirst="0" w:colLast="0"/>
      <w:bookmarkEnd w:id="27"/>
    </w:p>
    <w:p w:rsidR="009B0096" w:rsidRPr="00E924AF" w:rsidRDefault="009B0096">
      <w:pPr>
        <w:spacing w:before="240" w:after="240" w:line="360" w:lineRule="auto"/>
        <w:jc w:val="both"/>
        <w:rPr>
          <w:rFonts w:ascii="Palatino Linotype" w:eastAsia="Palatino Linotype" w:hAnsi="Palatino Linotype" w:cs="Palatino Linotype"/>
        </w:rPr>
      </w:pPr>
      <w:bookmarkStart w:id="28" w:name="_heading=h.h40pdammst0u" w:colFirst="0" w:colLast="0"/>
      <w:bookmarkEnd w:id="28"/>
    </w:p>
    <w:p w:rsidR="009B0096" w:rsidRPr="00E924AF" w:rsidRDefault="009B0096">
      <w:pPr>
        <w:spacing w:before="240" w:after="240" w:line="360" w:lineRule="auto"/>
        <w:jc w:val="both"/>
        <w:rPr>
          <w:rFonts w:ascii="Palatino Linotype" w:eastAsia="Palatino Linotype" w:hAnsi="Palatino Linotype" w:cs="Palatino Linotype"/>
        </w:rPr>
      </w:pPr>
      <w:bookmarkStart w:id="29" w:name="_heading=h.kzn5n62t86q" w:colFirst="0" w:colLast="0"/>
      <w:bookmarkEnd w:id="29"/>
    </w:p>
    <w:p w:rsidR="009B0096" w:rsidRPr="00E924AF" w:rsidRDefault="009B0096">
      <w:pPr>
        <w:spacing w:before="240" w:after="240" w:line="360" w:lineRule="auto"/>
        <w:jc w:val="both"/>
        <w:rPr>
          <w:rFonts w:ascii="Palatino Linotype" w:eastAsia="Palatino Linotype" w:hAnsi="Palatino Linotype" w:cs="Palatino Linotype"/>
        </w:rPr>
      </w:pPr>
      <w:bookmarkStart w:id="30" w:name="_heading=h.cx33s9p2ihbu" w:colFirst="0" w:colLast="0"/>
      <w:bookmarkEnd w:id="30"/>
    </w:p>
    <w:p w:rsidR="009B0096" w:rsidRPr="00E924AF" w:rsidRDefault="009B0096">
      <w:pPr>
        <w:spacing w:before="240" w:after="240" w:line="360" w:lineRule="auto"/>
        <w:jc w:val="both"/>
        <w:rPr>
          <w:rFonts w:ascii="Palatino Linotype" w:eastAsia="Palatino Linotype" w:hAnsi="Palatino Linotype" w:cs="Palatino Linotype"/>
        </w:rPr>
      </w:pPr>
      <w:bookmarkStart w:id="31" w:name="_heading=h.dej8gk3e9bd1" w:colFirst="0" w:colLast="0"/>
      <w:bookmarkEnd w:id="31"/>
    </w:p>
    <w:p w:rsidR="009B0096" w:rsidRPr="00E924AF" w:rsidRDefault="009B0096">
      <w:pPr>
        <w:spacing w:before="240" w:after="240" w:line="360" w:lineRule="auto"/>
        <w:jc w:val="both"/>
        <w:rPr>
          <w:rFonts w:ascii="Palatino Linotype" w:eastAsia="Palatino Linotype" w:hAnsi="Palatino Linotype" w:cs="Palatino Linotype"/>
        </w:rPr>
      </w:pPr>
      <w:bookmarkStart w:id="32" w:name="_heading=h.hntvq349rve3" w:colFirst="0" w:colLast="0"/>
      <w:bookmarkEnd w:id="32"/>
    </w:p>
    <w:p w:rsidR="009B0096" w:rsidRPr="00E924AF" w:rsidRDefault="009B0096">
      <w:pPr>
        <w:spacing w:line="360" w:lineRule="auto"/>
        <w:ind w:right="48"/>
        <w:jc w:val="both"/>
        <w:rPr>
          <w:rFonts w:ascii="Palatino Linotype" w:eastAsia="Palatino Linotype" w:hAnsi="Palatino Linotype" w:cs="Palatino Linotype"/>
        </w:rPr>
      </w:pPr>
      <w:bookmarkStart w:id="33" w:name="_heading=h.4i7ojhp" w:colFirst="0" w:colLast="0"/>
      <w:bookmarkEnd w:id="33"/>
    </w:p>
    <w:p w:rsidR="009B0096" w:rsidRPr="00E924AF" w:rsidRDefault="009B0096">
      <w:pPr>
        <w:spacing w:line="360" w:lineRule="auto"/>
        <w:ind w:right="48"/>
        <w:jc w:val="both"/>
        <w:rPr>
          <w:rFonts w:ascii="Palatino Linotype" w:eastAsia="Palatino Linotype" w:hAnsi="Palatino Linotype" w:cs="Palatino Linotype"/>
        </w:rPr>
      </w:pPr>
    </w:p>
    <w:sectPr w:rsidR="009B0096" w:rsidRPr="00E924AF">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03" w:rsidRDefault="00902903">
      <w:r>
        <w:separator/>
      </w:r>
    </w:p>
  </w:endnote>
  <w:endnote w:type="continuationSeparator" w:id="0">
    <w:p w:rsidR="00902903" w:rsidRDefault="0090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6" w:rsidRDefault="000F022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3C9E">
      <w:rPr>
        <w:b/>
        <w:noProof/>
        <w:color w:val="000000"/>
      </w:rPr>
      <w:t>47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3C9E">
      <w:rPr>
        <w:b/>
        <w:noProof/>
        <w:color w:val="000000"/>
      </w:rPr>
      <w:t>48</w:t>
    </w:r>
    <w:r>
      <w:rPr>
        <w:b/>
        <w:color w:val="000000"/>
      </w:rPr>
      <w:fldChar w:fldCharType="end"/>
    </w:r>
  </w:p>
  <w:p w:rsidR="009B0096" w:rsidRDefault="009B009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6" w:rsidRDefault="000F022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3C9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3C9E">
      <w:rPr>
        <w:b/>
        <w:noProof/>
        <w:color w:val="000000"/>
      </w:rPr>
      <w:t>48</w:t>
    </w:r>
    <w:r>
      <w:rPr>
        <w:b/>
        <w:color w:val="000000"/>
      </w:rPr>
      <w:fldChar w:fldCharType="end"/>
    </w:r>
  </w:p>
  <w:p w:rsidR="009B0096" w:rsidRDefault="009B00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03" w:rsidRDefault="00902903">
      <w:r>
        <w:separator/>
      </w:r>
    </w:p>
  </w:footnote>
  <w:footnote w:type="continuationSeparator" w:id="0">
    <w:p w:rsidR="00902903" w:rsidRDefault="00902903">
      <w:r>
        <w:continuationSeparator/>
      </w:r>
    </w:p>
  </w:footnote>
  <w:footnote w:id="1">
    <w:p w:rsidR="009B0096" w:rsidRDefault="000F022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9B0096" w:rsidRDefault="000F022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9B0096" w:rsidRDefault="000F022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9B0096" w:rsidRDefault="000F022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9B0096" w:rsidRDefault="000F022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Ferrajoli, Luigi.(2013). </w:t>
      </w:r>
      <w:r>
        <w:rPr>
          <w:rFonts w:ascii="Calibri" w:eastAsia="Calibri" w:hAnsi="Calibri" w:cs="Calibri"/>
          <w:i/>
          <w:color w:val="000000"/>
          <w:sz w:val="20"/>
          <w:szCs w:val="20"/>
        </w:rPr>
        <w:t>Tomo I ,Principia iuris Teoría del derecho y de la democracia. Teoría del derecho</w:t>
      </w:r>
      <w:r>
        <w:rPr>
          <w:rFonts w:ascii="Calibri" w:eastAsia="Calibri" w:hAnsi="Calibri" w:cs="Calibri"/>
          <w:color w:val="000000"/>
          <w:sz w:val="20"/>
          <w:szCs w:val="20"/>
        </w:rPr>
        <w:t xml:space="preserve">. Madrid:Trotta,676 páginas. </w:t>
      </w:r>
    </w:p>
  </w:footnote>
  <w:footnote w:id="6">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 xml:space="preserve">1a./J. 2/2012 (9a.). Primera Sala. Décima Época. Semanario Judicial de la Federación y su Gaceta. Libro V, Febrero de 2012, Pág. 533.  </w:t>
      </w:r>
    </w:p>
  </w:footnote>
  <w:footnote w:id="7">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8">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9">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 w:id="10">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3. Para los efectos de la presente Ley se entenderá por:</w:t>
      </w:r>
    </w:p>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rsidR="009B0096" w:rsidRDefault="000F0223">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6" w:rsidRDefault="0090290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9.8pt;height:768pt;z-index:-251659776;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9214" w:type="dxa"/>
      <w:tblInd w:w="0" w:type="dxa"/>
      <w:tblLayout w:type="fixed"/>
      <w:tblLook w:val="0400" w:firstRow="0" w:lastRow="0" w:firstColumn="0" w:lastColumn="0" w:noHBand="0" w:noVBand="1"/>
    </w:tblPr>
    <w:tblGrid>
      <w:gridCol w:w="2268"/>
      <w:gridCol w:w="6946"/>
    </w:tblGrid>
    <w:tr w:rsidR="009B0096">
      <w:trPr>
        <w:trHeight w:val="1644"/>
      </w:trPr>
      <w:tc>
        <w:tcPr>
          <w:tcW w:w="2268" w:type="dxa"/>
          <w:shd w:val="clear" w:color="auto" w:fill="auto"/>
        </w:tcPr>
        <w:p w:rsidR="009B0096" w:rsidRDefault="009B0096">
          <w:pPr>
            <w:tabs>
              <w:tab w:val="right" w:pos="4273"/>
            </w:tabs>
            <w:rPr>
              <w:rFonts w:ascii="Garamond" w:eastAsia="Garamond" w:hAnsi="Garamond" w:cs="Garamond"/>
              <w:sz w:val="16"/>
              <w:szCs w:val="16"/>
            </w:rPr>
          </w:pPr>
        </w:p>
      </w:tc>
      <w:tc>
        <w:tcPr>
          <w:tcW w:w="6946" w:type="dxa"/>
          <w:shd w:val="clear" w:color="auto" w:fill="auto"/>
        </w:tcPr>
        <w:tbl>
          <w:tblPr>
            <w:tblStyle w:val="a0"/>
            <w:tblW w:w="6844" w:type="dxa"/>
            <w:tblInd w:w="554" w:type="dxa"/>
            <w:tblLayout w:type="fixed"/>
            <w:tblLook w:val="0400" w:firstRow="0" w:lastRow="0" w:firstColumn="0" w:lastColumn="0" w:noHBand="0" w:noVBand="1"/>
          </w:tblPr>
          <w:tblGrid>
            <w:gridCol w:w="2565"/>
            <w:gridCol w:w="4279"/>
          </w:tblGrid>
          <w:tr w:rsidR="009B0096" w:rsidTr="00E924AF">
            <w:trPr>
              <w:trHeight w:val="150"/>
            </w:trPr>
            <w:tc>
              <w:tcPr>
                <w:tcW w:w="2565" w:type="dxa"/>
                <w:shd w:val="clear" w:color="auto" w:fill="auto"/>
              </w:tcPr>
              <w:p w:rsidR="009B0096" w:rsidRDefault="000F0223">
                <w:pPr>
                  <w:tabs>
                    <w:tab w:val="right" w:pos="8838"/>
                  </w:tabs>
                  <w:ind w:left="-141" w:right="5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79" w:type="dxa"/>
                <w:shd w:val="clear" w:color="auto" w:fill="auto"/>
              </w:tcPr>
              <w:p w:rsidR="009B0096" w:rsidRDefault="000F0223">
                <w:pPr>
                  <w:tabs>
                    <w:tab w:val="right" w:pos="8838"/>
                  </w:tabs>
                  <w:ind w:left="-283" w:right="-765"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02828/INFOEM/IP/RR/2024</w:t>
                </w:r>
              </w:p>
            </w:tc>
          </w:tr>
          <w:tr w:rsidR="009B0096" w:rsidTr="00E924AF">
            <w:trPr>
              <w:trHeight w:val="295"/>
            </w:trPr>
            <w:tc>
              <w:tcPr>
                <w:tcW w:w="2565" w:type="dxa"/>
                <w:shd w:val="clear" w:color="auto" w:fill="auto"/>
              </w:tcPr>
              <w:p w:rsidR="009B0096" w:rsidRDefault="000F0223">
                <w:pPr>
                  <w:tabs>
                    <w:tab w:val="right" w:pos="8838"/>
                  </w:tabs>
                  <w:ind w:left="-141" w:right="5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79" w:type="dxa"/>
                <w:shd w:val="clear" w:color="auto" w:fill="auto"/>
              </w:tcPr>
              <w:p w:rsidR="009B0096" w:rsidRDefault="000F0223">
                <w:pPr>
                  <w:tabs>
                    <w:tab w:val="right" w:pos="8838"/>
                  </w:tabs>
                  <w:ind w:left="-283" w:right="-765"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9B0096" w:rsidTr="00E924AF">
            <w:trPr>
              <w:trHeight w:val="295"/>
            </w:trPr>
            <w:tc>
              <w:tcPr>
                <w:tcW w:w="2565" w:type="dxa"/>
                <w:shd w:val="clear" w:color="auto" w:fill="auto"/>
              </w:tcPr>
              <w:p w:rsidR="009B0096" w:rsidRDefault="000F0223">
                <w:pPr>
                  <w:tabs>
                    <w:tab w:val="right" w:pos="8838"/>
                  </w:tabs>
                  <w:ind w:left="-141" w:right="5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79" w:type="dxa"/>
                <w:shd w:val="clear" w:color="auto" w:fill="auto"/>
              </w:tcPr>
              <w:p w:rsidR="009B0096" w:rsidRDefault="000F0223">
                <w:pPr>
                  <w:tabs>
                    <w:tab w:val="right" w:pos="8838"/>
                  </w:tabs>
                  <w:ind w:left="-283" w:right="-765"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9B0096" w:rsidRDefault="009B0096">
                <w:pPr>
                  <w:tabs>
                    <w:tab w:val="right" w:pos="8838"/>
                  </w:tabs>
                  <w:ind w:left="-283" w:right="-765" w:firstLine="141"/>
                  <w:rPr>
                    <w:rFonts w:ascii="Palatino Linotype" w:eastAsia="Palatino Linotype" w:hAnsi="Palatino Linotype" w:cs="Palatino Linotype"/>
                    <w:sz w:val="22"/>
                    <w:szCs w:val="22"/>
                  </w:rPr>
                </w:pPr>
              </w:p>
            </w:tc>
          </w:tr>
        </w:tbl>
        <w:p w:rsidR="009B0096" w:rsidRDefault="009B0096">
          <w:pPr>
            <w:tabs>
              <w:tab w:val="right" w:pos="8838"/>
            </w:tabs>
            <w:ind w:left="-28"/>
            <w:jc w:val="both"/>
            <w:rPr>
              <w:rFonts w:ascii="Arial" w:eastAsia="Arial" w:hAnsi="Arial" w:cs="Arial"/>
              <w:b/>
              <w:sz w:val="22"/>
              <w:szCs w:val="22"/>
            </w:rPr>
          </w:pPr>
        </w:p>
      </w:tc>
    </w:tr>
  </w:tbl>
  <w:p w:rsidR="009B0096" w:rsidRDefault="00902903" w:rsidP="00E924AF">
    <w:pPr>
      <w:pBdr>
        <w:top w:val="nil"/>
        <w:left w:val="nil"/>
        <w:bottom w:val="nil"/>
        <w:right w:val="nil"/>
        <w:between w:val="nil"/>
      </w:pBdr>
      <w:tabs>
        <w:tab w:val="left" w:pos="2989"/>
      </w:tabs>
      <w:rPr>
        <w:color w:val="000000"/>
        <w:sz w:val="14"/>
        <w:szCs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7.15pt;margin-top:-134.7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96" w:rsidRDefault="00902903">
    <w:pPr>
      <w:widowControl w:val="0"/>
      <w:pBdr>
        <w:top w:val="nil"/>
        <w:left w:val="nil"/>
        <w:bottom w:val="nil"/>
        <w:right w:val="nil"/>
        <w:between w:val="nil"/>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79.75pt;margin-top:-124.75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tbl>
    <w:tblPr>
      <w:tblStyle w:val="a1"/>
      <w:tblW w:w="9945" w:type="dxa"/>
      <w:tblInd w:w="0" w:type="dxa"/>
      <w:tblLayout w:type="fixed"/>
      <w:tblLook w:val="0400" w:firstRow="0" w:lastRow="0" w:firstColumn="0" w:lastColumn="0" w:noHBand="0" w:noVBand="1"/>
    </w:tblPr>
    <w:tblGrid>
      <w:gridCol w:w="2415"/>
      <w:gridCol w:w="7530"/>
    </w:tblGrid>
    <w:tr w:rsidR="009B0096">
      <w:trPr>
        <w:trHeight w:val="1435"/>
      </w:trPr>
      <w:tc>
        <w:tcPr>
          <w:tcW w:w="2415" w:type="dxa"/>
          <w:shd w:val="clear" w:color="auto" w:fill="auto"/>
        </w:tcPr>
        <w:p w:rsidR="009B0096" w:rsidRDefault="009B0096">
          <w:pPr>
            <w:tabs>
              <w:tab w:val="right" w:pos="4273"/>
            </w:tabs>
            <w:rPr>
              <w:rFonts w:ascii="Garamond" w:eastAsia="Garamond" w:hAnsi="Garamond" w:cs="Garamond"/>
              <w:sz w:val="22"/>
              <w:szCs w:val="22"/>
            </w:rPr>
          </w:pPr>
        </w:p>
      </w:tc>
      <w:tc>
        <w:tcPr>
          <w:tcW w:w="7530" w:type="dxa"/>
          <w:shd w:val="clear" w:color="auto" w:fill="auto"/>
        </w:tcPr>
        <w:tbl>
          <w:tblPr>
            <w:tblStyle w:val="a2"/>
            <w:tblW w:w="6525" w:type="dxa"/>
            <w:tblInd w:w="753" w:type="dxa"/>
            <w:tblLayout w:type="fixed"/>
            <w:tblLook w:val="0400" w:firstRow="0" w:lastRow="0" w:firstColumn="0" w:lastColumn="0" w:noHBand="0" w:noVBand="1"/>
          </w:tblPr>
          <w:tblGrid>
            <w:gridCol w:w="2535"/>
            <w:gridCol w:w="3990"/>
          </w:tblGrid>
          <w:tr w:rsidR="009B0096">
            <w:trPr>
              <w:trHeight w:val="144"/>
            </w:trPr>
            <w:tc>
              <w:tcPr>
                <w:tcW w:w="2535" w:type="dxa"/>
                <w:shd w:val="clear" w:color="auto" w:fill="auto"/>
              </w:tcPr>
              <w:p w:rsidR="009B0096" w:rsidRDefault="000F0223">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90" w:type="dxa"/>
                <w:shd w:val="clear" w:color="auto" w:fill="auto"/>
              </w:tcPr>
              <w:p w:rsidR="009B0096" w:rsidRDefault="000F0223">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02828/INFOEM/IP/RR/2024</w:t>
                </w:r>
              </w:p>
            </w:tc>
          </w:tr>
          <w:tr w:rsidR="009B0096">
            <w:trPr>
              <w:trHeight w:val="144"/>
            </w:trPr>
            <w:tc>
              <w:tcPr>
                <w:tcW w:w="2535" w:type="dxa"/>
                <w:shd w:val="clear" w:color="auto" w:fill="auto"/>
              </w:tcPr>
              <w:p w:rsidR="009B0096" w:rsidRDefault="000F02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90" w:type="dxa"/>
                <w:shd w:val="clear" w:color="auto" w:fill="auto"/>
              </w:tcPr>
              <w:p w:rsidR="009B0096" w:rsidRDefault="009B0096">
                <w:pPr>
                  <w:tabs>
                    <w:tab w:val="left" w:pos="3122"/>
                    <w:tab w:val="right" w:pos="8838"/>
                  </w:tabs>
                  <w:ind w:left="-74" w:right="-105"/>
                  <w:rPr>
                    <w:rFonts w:ascii="Palatino Linotype" w:eastAsia="Palatino Linotype" w:hAnsi="Palatino Linotype" w:cs="Palatino Linotype"/>
                    <w:sz w:val="22"/>
                    <w:szCs w:val="22"/>
                  </w:rPr>
                </w:pPr>
              </w:p>
            </w:tc>
          </w:tr>
          <w:tr w:rsidR="009B0096">
            <w:trPr>
              <w:trHeight w:val="283"/>
            </w:trPr>
            <w:tc>
              <w:tcPr>
                <w:tcW w:w="2535" w:type="dxa"/>
                <w:shd w:val="clear" w:color="auto" w:fill="auto"/>
              </w:tcPr>
              <w:p w:rsidR="009B0096" w:rsidRDefault="000F02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90" w:type="dxa"/>
                <w:shd w:val="clear" w:color="auto" w:fill="auto"/>
              </w:tcPr>
              <w:p w:rsidR="009B0096" w:rsidRDefault="000F0223">
                <w:pPr>
                  <w:tabs>
                    <w:tab w:val="left" w:pos="2834"/>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9B0096">
            <w:trPr>
              <w:trHeight w:val="283"/>
            </w:trPr>
            <w:tc>
              <w:tcPr>
                <w:tcW w:w="2535" w:type="dxa"/>
                <w:shd w:val="clear" w:color="auto" w:fill="auto"/>
              </w:tcPr>
              <w:p w:rsidR="009B0096" w:rsidRDefault="000F022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90" w:type="dxa"/>
                <w:shd w:val="clear" w:color="auto" w:fill="auto"/>
              </w:tcPr>
              <w:p w:rsidR="009B0096" w:rsidRDefault="000F0223">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9B0096" w:rsidRDefault="009B0096">
                <w:pPr>
                  <w:tabs>
                    <w:tab w:val="right" w:pos="8838"/>
                  </w:tabs>
                  <w:ind w:left="-74" w:right="-105"/>
                  <w:rPr>
                    <w:rFonts w:ascii="Palatino Linotype" w:eastAsia="Palatino Linotype" w:hAnsi="Palatino Linotype" w:cs="Palatino Linotype"/>
                    <w:sz w:val="22"/>
                    <w:szCs w:val="22"/>
                  </w:rPr>
                </w:pPr>
              </w:p>
            </w:tc>
          </w:tr>
        </w:tbl>
        <w:p w:rsidR="009B0096" w:rsidRDefault="009B0096">
          <w:pPr>
            <w:tabs>
              <w:tab w:val="right" w:pos="8838"/>
            </w:tabs>
            <w:ind w:left="-28"/>
            <w:jc w:val="both"/>
            <w:rPr>
              <w:rFonts w:ascii="Arial" w:eastAsia="Arial" w:hAnsi="Arial" w:cs="Arial"/>
              <w:b/>
              <w:sz w:val="22"/>
              <w:szCs w:val="22"/>
            </w:rPr>
          </w:pPr>
        </w:p>
      </w:tc>
    </w:tr>
  </w:tbl>
  <w:p w:rsidR="009B0096" w:rsidRDefault="009B0096">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A3106"/>
    <w:multiLevelType w:val="multilevel"/>
    <w:tmpl w:val="BB147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CA23E5"/>
    <w:multiLevelType w:val="multilevel"/>
    <w:tmpl w:val="7778A8D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6781052C"/>
    <w:multiLevelType w:val="multilevel"/>
    <w:tmpl w:val="469C3F5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79062255"/>
    <w:multiLevelType w:val="multilevel"/>
    <w:tmpl w:val="7CDCA85C"/>
    <w:lvl w:ilvl="0">
      <w:start w:val="1"/>
      <w:numFmt w:val="decimal"/>
      <w:lvlText w:val="%1."/>
      <w:lvlJc w:val="left"/>
      <w:pPr>
        <w:ind w:left="502"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96"/>
    <w:rsid w:val="000F0223"/>
    <w:rsid w:val="006F1B38"/>
    <w:rsid w:val="00902903"/>
    <w:rsid w:val="00973C9E"/>
    <w:rsid w:val="009B0096"/>
    <w:rsid w:val="00AF1B6B"/>
    <w:rsid w:val="00E92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8895540-96BC-4A94-B33C-7A20B78A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67"/>
  </w:style>
  <w:style w:type="paragraph" w:styleId="Ttulo1">
    <w:name w:val="heading 1"/>
    <w:basedOn w:val="Normal"/>
    <w:next w:val="Normal"/>
    <w:link w:val="Ttulo1Car"/>
    <w:uiPriority w:val="9"/>
    <w:qFormat/>
    <w:rsid w:val="00EE6267"/>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E626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980D6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EE6267"/>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EE6267"/>
    <w:pPr>
      <w:tabs>
        <w:tab w:val="center" w:pos="4419"/>
        <w:tab w:val="right" w:pos="8838"/>
      </w:tabs>
    </w:pPr>
  </w:style>
  <w:style w:type="character" w:customStyle="1" w:styleId="EncabezadoCar">
    <w:name w:val="Encabezado Car"/>
    <w:basedOn w:val="Fuentedeprrafopredeter"/>
    <w:link w:val="Encabezado"/>
    <w:uiPriority w:val="99"/>
    <w:rsid w:val="00EE626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E6267"/>
    <w:pPr>
      <w:tabs>
        <w:tab w:val="center" w:pos="4419"/>
        <w:tab w:val="right" w:pos="8838"/>
      </w:tabs>
    </w:pPr>
  </w:style>
  <w:style w:type="character" w:customStyle="1" w:styleId="PiedepginaCar">
    <w:name w:val="Pie de página Car"/>
    <w:basedOn w:val="Fuentedeprrafopredeter"/>
    <w:link w:val="Piedepgina"/>
    <w:uiPriority w:val="99"/>
    <w:rsid w:val="00EE6267"/>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626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E6267"/>
    <w:rPr>
      <w:rFonts w:ascii="Century Gothic" w:eastAsia="Times New Roman" w:hAnsi="Century Gothic" w:cs="Times New Roman"/>
      <w:szCs w:val="24"/>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E626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E6267"/>
    <w:rPr>
      <w:sz w:val="20"/>
      <w:szCs w:val="20"/>
      <w:lang w:val="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EE6267"/>
    <w:rPr>
      <w:vertAlign w:val="superscript"/>
    </w:rPr>
  </w:style>
  <w:style w:type="character" w:customStyle="1" w:styleId="Ttulo1Car">
    <w:name w:val="Título 1 Car"/>
    <w:basedOn w:val="Fuentedeprrafopredeter"/>
    <w:link w:val="Ttulo1"/>
    <w:uiPriority w:val="9"/>
    <w:rsid w:val="00EE6267"/>
    <w:rPr>
      <w:rFonts w:asciiTheme="majorHAnsi" w:eastAsiaTheme="majorEastAsia" w:hAnsiTheme="majorHAnsi" w:cstheme="majorBidi"/>
      <w:color w:val="2E74B5" w:themeColor="accent1" w:themeShade="BF"/>
      <w:sz w:val="32"/>
      <w:szCs w:val="32"/>
      <w:lang w:eastAsia="es-ES"/>
    </w:rPr>
  </w:style>
  <w:style w:type="character" w:customStyle="1" w:styleId="Ttulo3Car">
    <w:name w:val="Título 3 Car"/>
    <w:basedOn w:val="Fuentedeprrafopredeter"/>
    <w:link w:val="Ttulo3"/>
    <w:uiPriority w:val="9"/>
    <w:semiHidden/>
    <w:rsid w:val="00980D63"/>
    <w:rPr>
      <w:rFonts w:asciiTheme="majorHAnsi" w:eastAsiaTheme="majorEastAsia" w:hAnsiTheme="majorHAnsi" w:cstheme="majorBidi"/>
      <w:color w:val="1F4D78" w:themeColor="accent1" w:themeShade="7F"/>
      <w:sz w:val="24"/>
      <w:szCs w:val="24"/>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57F+96U2tXb5Fq+Nxu0A3yz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5oLmR4bW4xNGI0MjIzcDIOaC5pMGRqOG96ZDM5dTgyDmguZnRteG93NWRwYmxoMg5oLnFwdHRobHVuNDNlazIOaC5rZGw4Y3p1M2VsZmwyDmgud2I2MTFidjcyZHBqMg5oLmg0MHBkYW1tc3QwdTINaC5rem41bjYydDg2cTIOaC5jeDMzczlwMmloYnUyDmguZGVqOGdrM2U5YmQxMg5oLmhudHZxMzQ5cnZlMzIJaC40aTdvamhwOAByITFLTGdRbTNSb3I5WV9QSHlLbFdyVzdwZ0pacGN2Nnp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11311</Words>
  <Characters>62212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2024-06-20T19:29:00Z</cp:lastPrinted>
  <dcterms:created xsi:type="dcterms:W3CDTF">2024-06-06T21:49:00Z</dcterms:created>
  <dcterms:modified xsi:type="dcterms:W3CDTF">2024-06-20T19:29:00Z</dcterms:modified>
</cp:coreProperties>
</file>