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35484" w14:textId="77777777" w:rsidR="00BD107A" w:rsidRDefault="00BD107A" w:rsidP="00CE18C8">
      <w:pPr>
        <w:spacing w:line="360" w:lineRule="auto"/>
        <w:contextualSpacing/>
        <w:jc w:val="both"/>
        <w:rPr>
          <w:rFonts w:ascii="Palatino Linotype" w:hAnsi="Palatino Linotype" w:cs="Tahoma"/>
          <w:bCs/>
          <w:sz w:val="22"/>
          <w:szCs w:val="22"/>
        </w:rPr>
      </w:pPr>
    </w:p>
    <w:p w14:paraId="2F1F87E7" w14:textId="589F54C1" w:rsidR="00B03EDE" w:rsidRPr="0025691E" w:rsidRDefault="00B03EDE" w:rsidP="00CE18C8">
      <w:pPr>
        <w:spacing w:line="360" w:lineRule="auto"/>
        <w:contextualSpacing/>
        <w:jc w:val="both"/>
        <w:rPr>
          <w:rFonts w:ascii="Palatino Linotype" w:hAnsi="Palatino Linotype"/>
          <w:noProof/>
          <w:sz w:val="22"/>
          <w:szCs w:val="22"/>
          <w:lang w:val="es-ES"/>
        </w:rPr>
      </w:pPr>
      <w:r w:rsidRPr="0025691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453F63">
        <w:rPr>
          <w:rFonts w:ascii="Palatino Linotype" w:hAnsi="Palatino Linotype" w:cs="Tahoma"/>
          <w:bCs/>
          <w:sz w:val="22"/>
          <w:szCs w:val="22"/>
        </w:rPr>
        <w:t xml:space="preserve">dieciséis </w:t>
      </w:r>
      <w:r w:rsidR="004A4D9D">
        <w:rPr>
          <w:rFonts w:ascii="Palatino Linotype" w:hAnsi="Palatino Linotype" w:cs="Tahoma"/>
          <w:bCs/>
          <w:sz w:val="22"/>
          <w:szCs w:val="22"/>
        </w:rPr>
        <w:t>de octubre</w:t>
      </w:r>
      <w:r w:rsidR="0066424F" w:rsidRPr="0025691E">
        <w:rPr>
          <w:rFonts w:ascii="Palatino Linotype" w:hAnsi="Palatino Linotype" w:cs="Tahoma"/>
          <w:bCs/>
          <w:sz w:val="22"/>
          <w:szCs w:val="22"/>
        </w:rPr>
        <w:t xml:space="preserve"> </w:t>
      </w:r>
      <w:r w:rsidRPr="0025691E">
        <w:rPr>
          <w:rFonts w:ascii="Palatino Linotype" w:hAnsi="Palatino Linotype" w:cs="Tahoma"/>
          <w:bCs/>
          <w:sz w:val="22"/>
          <w:szCs w:val="22"/>
        </w:rPr>
        <w:t>de dos mil veinti</w:t>
      </w:r>
      <w:r w:rsidR="004A4D9D">
        <w:rPr>
          <w:rFonts w:ascii="Palatino Linotype" w:hAnsi="Palatino Linotype" w:cs="Tahoma"/>
          <w:bCs/>
          <w:sz w:val="22"/>
          <w:szCs w:val="22"/>
        </w:rPr>
        <w:t>cuatro</w:t>
      </w:r>
      <w:r w:rsidRPr="0025691E">
        <w:rPr>
          <w:rFonts w:ascii="Palatino Linotype" w:hAnsi="Palatino Linotype" w:cs="Tahoma"/>
          <w:bCs/>
          <w:sz w:val="22"/>
          <w:szCs w:val="22"/>
        </w:rPr>
        <w:t>.</w:t>
      </w:r>
    </w:p>
    <w:p w14:paraId="67AD71AC" w14:textId="77777777" w:rsidR="00B03EDE" w:rsidRPr="0025691E" w:rsidRDefault="00B03EDE" w:rsidP="00CE18C8">
      <w:pPr>
        <w:spacing w:line="360" w:lineRule="auto"/>
        <w:contextualSpacing/>
        <w:jc w:val="both"/>
        <w:rPr>
          <w:rFonts w:ascii="Palatino Linotype" w:hAnsi="Palatino Linotype"/>
          <w:noProof/>
          <w:sz w:val="22"/>
          <w:szCs w:val="22"/>
          <w:lang w:val="es-ES"/>
        </w:rPr>
      </w:pPr>
    </w:p>
    <w:p w14:paraId="03EEBBA4" w14:textId="49960F1E" w:rsidR="00B03EDE" w:rsidRPr="0025691E" w:rsidRDefault="00B03EDE" w:rsidP="00CE18C8">
      <w:pPr>
        <w:spacing w:line="360" w:lineRule="auto"/>
        <w:contextualSpacing/>
        <w:jc w:val="both"/>
        <w:rPr>
          <w:rFonts w:ascii="Palatino Linotype" w:eastAsia="Calibri" w:hAnsi="Palatino Linotype" w:cs="Tahoma"/>
          <w:sz w:val="22"/>
          <w:szCs w:val="22"/>
          <w:lang w:val="es-ES" w:eastAsia="en-US"/>
        </w:rPr>
      </w:pPr>
      <w:r w:rsidRPr="0025691E">
        <w:rPr>
          <w:rFonts w:ascii="Palatino Linotype" w:hAnsi="Palatino Linotype" w:cs="Tahoma"/>
          <w:b/>
          <w:bCs/>
          <w:color w:val="0D0D0D" w:themeColor="text1" w:themeTint="F2"/>
          <w:sz w:val="22"/>
          <w:szCs w:val="22"/>
        </w:rPr>
        <w:t>VISTO</w:t>
      </w:r>
      <w:r w:rsidRPr="0025691E">
        <w:rPr>
          <w:rFonts w:ascii="Palatino Linotype" w:hAnsi="Palatino Linotype" w:cs="Tahoma"/>
          <w:bCs/>
          <w:color w:val="0D0D0D" w:themeColor="text1" w:themeTint="F2"/>
          <w:sz w:val="22"/>
          <w:szCs w:val="22"/>
        </w:rPr>
        <w:t xml:space="preserve"> el expediente conformado con motivo del Recurso de Revisión </w:t>
      </w:r>
      <w:r w:rsidR="004A4D9D" w:rsidRPr="004A4D9D">
        <w:rPr>
          <w:rFonts w:ascii="Palatino Linotype" w:eastAsia="Calibri" w:hAnsi="Palatino Linotype" w:cs="Tahoma"/>
          <w:sz w:val="22"/>
          <w:szCs w:val="22"/>
          <w:lang w:eastAsia="en-US"/>
        </w:rPr>
        <w:t>01501/INFOEM/IP/RR/2024</w:t>
      </w:r>
      <w:r w:rsidR="00C87E36" w:rsidRPr="0025691E">
        <w:rPr>
          <w:rFonts w:ascii="Palatino Linotype" w:eastAsia="Calibri" w:hAnsi="Palatino Linotype" w:cs="Tahoma"/>
          <w:sz w:val="22"/>
          <w:szCs w:val="22"/>
          <w:lang w:eastAsia="en-US"/>
        </w:rPr>
        <w:t>,</w:t>
      </w:r>
      <w:r w:rsidRPr="0025691E">
        <w:rPr>
          <w:rFonts w:ascii="Palatino Linotype" w:eastAsia="Calibri" w:hAnsi="Palatino Linotype" w:cs="Tahoma"/>
          <w:sz w:val="22"/>
          <w:szCs w:val="22"/>
          <w:lang w:eastAsia="en-US"/>
        </w:rPr>
        <w:t xml:space="preserve"> </w:t>
      </w:r>
      <w:r w:rsidRPr="0025691E">
        <w:rPr>
          <w:rFonts w:ascii="Palatino Linotype" w:hAnsi="Palatino Linotype" w:cs="Tahoma"/>
          <w:color w:val="0D0D0D" w:themeColor="text1" w:themeTint="F2"/>
          <w:sz w:val="22"/>
          <w:szCs w:val="22"/>
        </w:rPr>
        <w:t>interpuesto por</w:t>
      </w:r>
      <w:r w:rsidRPr="0025691E">
        <w:rPr>
          <w:rFonts w:ascii="Palatino Linotype" w:eastAsia="Calibri" w:hAnsi="Palatino Linotype" w:cs="Tahoma"/>
          <w:sz w:val="22"/>
          <w:szCs w:val="22"/>
          <w:lang w:eastAsia="en-US"/>
        </w:rPr>
        <w:t xml:space="preserve"> </w:t>
      </w:r>
      <w:r w:rsidR="00D51574" w:rsidRPr="00D51574">
        <w:rPr>
          <w:rFonts w:ascii="Palatino Linotype" w:eastAsia="Calibri" w:hAnsi="Palatino Linotype" w:cs="Tahoma"/>
          <w:sz w:val="22"/>
          <w:szCs w:val="22"/>
          <w:highlight w:val="black"/>
          <w:lang w:eastAsia="en-US"/>
        </w:rPr>
        <w:t>XXXXXXXXXXXXXXXXXXXXXX</w:t>
      </w:r>
      <w:r w:rsidR="00D1711B" w:rsidRPr="0025691E">
        <w:rPr>
          <w:rFonts w:ascii="Palatino Linotype" w:eastAsia="Calibri" w:hAnsi="Palatino Linotype" w:cs="Tahoma"/>
          <w:sz w:val="22"/>
          <w:szCs w:val="22"/>
          <w:lang w:eastAsia="en-US"/>
        </w:rPr>
        <w:t>, en lo sucesivo</w:t>
      </w:r>
      <w:r w:rsidRPr="0025691E">
        <w:rPr>
          <w:rFonts w:ascii="Palatino Linotype" w:hAnsi="Palatino Linotype" w:cs="Tahoma"/>
          <w:color w:val="0D0D0D" w:themeColor="text1" w:themeTint="F2"/>
          <w:sz w:val="22"/>
          <w:szCs w:val="22"/>
        </w:rPr>
        <w:t xml:space="preserve"> Recurrente o Particular, </w:t>
      </w:r>
      <w:r w:rsidRPr="0025691E">
        <w:rPr>
          <w:rFonts w:ascii="Palatino Linotype" w:eastAsia="Calibri" w:hAnsi="Palatino Linotype" w:cs="Tahoma"/>
          <w:sz w:val="22"/>
          <w:szCs w:val="22"/>
          <w:lang w:val="es-ES" w:eastAsia="en-US"/>
        </w:rPr>
        <w:t xml:space="preserve">en contra de la respuesta del Sujeto Obligado, </w:t>
      </w:r>
      <w:r w:rsidR="004A4D9D" w:rsidRPr="004A4D9D">
        <w:rPr>
          <w:rFonts w:ascii="Palatino Linotype" w:eastAsia="Calibri" w:hAnsi="Palatino Linotype" w:cs="Tahoma"/>
          <w:sz w:val="22"/>
          <w:szCs w:val="22"/>
          <w:lang w:eastAsia="en-US"/>
        </w:rPr>
        <w:t>Ayuntamiento de Toluca</w:t>
      </w:r>
      <w:r w:rsidRPr="0025691E">
        <w:rPr>
          <w:rFonts w:ascii="Palatino Linotype" w:eastAsia="Calibri" w:hAnsi="Palatino Linotype" w:cs="Tahoma"/>
          <w:sz w:val="22"/>
          <w:szCs w:val="22"/>
          <w:lang w:val="es-ES" w:eastAsia="en-US"/>
        </w:rPr>
        <w:t xml:space="preserve">, a la solicitud de acceso a la información </w:t>
      </w:r>
      <w:r w:rsidR="004A4D9D" w:rsidRPr="004A4D9D">
        <w:rPr>
          <w:rFonts w:ascii="Palatino Linotype" w:eastAsia="Calibri" w:hAnsi="Palatino Linotype" w:cs="Tahoma"/>
          <w:sz w:val="22"/>
          <w:szCs w:val="22"/>
          <w:lang w:eastAsia="en-US"/>
        </w:rPr>
        <w:t>00327/TOLUCA/IP/2024</w:t>
      </w:r>
      <w:r w:rsidRPr="0025691E">
        <w:rPr>
          <w:rFonts w:ascii="Palatino Linotype" w:eastAsia="Calibri" w:hAnsi="Palatino Linotype" w:cs="Tahoma"/>
          <w:sz w:val="22"/>
          <w:szCs w:val="22"/>
          <w:lang w:val="es-ES" w:eastAsia="en-US"/>
        </w:rPr>
        <w:t>, se emite la presente</w:t>
      </w:r>
      <w:r w:rsidRPr="0025691E">
        <w:rPr>
          <w:rFonts w:ascii="Palatino Linotype" w:eastAsia="Calibri" w:hAnsi="Palatino Linotype" w:cs="Tahoma"/>
          <w:bCs/>
          <w:sz w:val="22"/>
          <w:szCs w:val="22"/>
          <w:lang w:val="es-ES" w:eastAsia="en-US"/>
        </w:rPr>
        <w:t xml:space="preserve"> Resolución, con base en los Antecedentes y Consideraciones que a continuación se exponen:</w:t>
      </w:r>
    </w:p>
    <w:p w14:paraId="78A1221F" w14:textId="77777777" w:rsidR="00B03EDE" w:rsidRPr="0025691E" w:rsidRDefault="00B03EDE" w:rsidP="00CE18C8">
      <w:pPr>
        <w:tabs>
          <w:tab w:val="left" w:pos="2835"/>
        </w:tabs>
        <w:spacing w:line="360" w:lineRule="auto"/>
        <w:ind w:right="-93"/>
        <w:contextualSpacing/>
        <w:jc w:val="both"/>
        <w:rPr>
          <w:rFonts w:ascii="Palatino Linotype" w:eastAsia="Calibri" w:hAnsi="Palatino Linotype" w:cs="Tahoma"/>
          <w:b/>
          <w:bCs/>
          <w:sz w:val="22"/>
          <w:szCs w:val="22"/>
          <w:lang w:eastAsia="en-US"/>
        </w:rPr>
      </w:pPr>
    </w:p>
    <w:p w14:paraId="58A6EB28" w14:textId="104E3515" w:rsidR="00B03EDE" w:rsidRPr="0025691E" w:rsidRDefault="00B03EDE" w:rsidP="00CE18C8">
      <w:pPr>
        <w:spacing w:line="360" w:lineRule="auto"/>
        <w:ind w:right="-93"/>
        <w:contextualSpacing/>
        <w:jc w:val="center"/>
        <w:rPr>
          <w:rFonts w:ascii="Palatino Linotype" w:eastAsia="Calibri" w:hAnsi="Palatino Linotype" w:cs="Tahoma"/>
          <w:b/>
          <w:bCs/>
          <w:sz w:val="22"/>
          <w:szCs w:val="22"/>
          <w:lang w:eastAsia="en-US"/>
        </w:rPr>
      </w:pPr>
      <w:r w:rsidRPr="0025691E">
        <w:rPr>
          <w:rFonts w:ascii="Palatino Linotype" w:eastAsia="Calibri" w:hAnsi="Palatino Linotype" w:cs="Tahoma"/>
          <w:b/>
          <w:bCs/>
          <w:sz w:val="22"/>
          <w:szCs w:val="22"/>
          <w:lang w:eastAsia="en-US"/>
        </w:rPr>
        <w:t>A N T E C E D E N T E S</w:t>
      </w:r>
    </w:p>
    <w:p w14:paraId="16984CF4" w14:textId="77777777" w:rsidR="00B03EDE" w:rsidRPr="0025691E" w:rsidRDefault="00B03EDE" w:rsidP="00CE18C8">
      <w:pPr>
        <w:spacing w:line="360" w:lineRule="auto"/>
        <w:ind w:right="-93"/>
        <w:contextualSpacing/>
        <w:jc w:val="both"/>
        <w:rPr>
          <w:rFonts w:ascii="Palatino Linotype" w:eastAsia="Calibri" w:hAnsi="Palatino Linotype" w:cs="Tahoma"/>
          <w:bCs/>
          <w:sz w:val="22"/>
          <w:szCs w:val="22"/>
          <w:lang w:eastAsia="en-US"/>
        </w:rPr>
      </w:pPr>
    </w:p>
    <w:p w14:paraId="6BCCE3EF" w14:textId="5EAB59D3" w:rsidR="00B03EDE" w:rsidRPr="0025691E" w:rsidRDefault="00B03EDE" w:rsidP="00CE18C8">
      <w:pPr>
        <w:spacing w:line="360" w:lineRule="auto"/>
        <w:contextualSpacing/>
        <w:jc w:val="both"/>
        <w:rPr>
          <w:rFonts w:ascii="Palatino Linotype" w:eastAsia="Calibri" w:hAnsi="Palatino Linotype" w:cs="Tahoma"/>
          <w:b/>
          <w:bCs/>
          <w:sz w:val="22"/>
          <w:szCs w:val="22"/>
          <w:lang w:eastAsia="en-US"/>
        </w:rPr>
      </w:pPr>
      <w:r w:rsidRPr="0025691E">
        <w:rPr>
          <w:rFonts w:ascii="Palatino Linotype" w:eastAsia="Calibri" w:hAnsi="Palatino Linotype" w:cs="Tahoma"/>
          <w:b/>
          <w:bCs/>
          <w:sz w:val="22"/>
          <w:szCs w:val="22"/>
          <w:lang w:eastAsia="en-US"/>
        </w:rPr>
        <w:t>I. Presentación de la solicitud de información</w:t>
      </w:r>
    </w:p>
    <w:p w14:paraId="2E5149FA" w14:textId="77777777" w:rsidR="00B03EDE" w:rsidRPr="0025691E" w:rsidRDefault="00B03EDE" w:rsidP="00CE18C8">
      <w:pPr>
        <w:autoSpaceDE w:val="0"/>
        <w:autoSpaceDN w:val="0"/>
        <w:adjustRightInd w:val="0"/>
        <w:spacing w:line="360" w:lineRule="auto"/>
        <w:jc w:val="both"/>
        <w:rPr>
          <w:rFonts w:ascii="Palatino Linotype" w:hAnsi="Palatino Linotype" w:cs="Tahoma"/>
          <w:sz w:val="22"/>
          <w:szCs w:val="22"/>
        </w:rPr>
      </w:pPr>
    </w:p>
    <w:p w14:paraId="7F8FC2EC" w14:textId="18B469DF" w:rsidR="00B03EDE" w:rsidRPr="0025691E" w:rsidRDefault="00B03EDE" w:rsidP="00CE18C8">
      <w:pPr>
        <w:autoSpaceDE w:val="0"/>
        <w:autoSpaceDN w:val="0"/>
        <w:adjustRightInd w:val="0"/>
        <w:spacing w:line="360" w:lineRule="auto"/>
        <w:jc w:val="both"/>
        <w:rPr>
          <w:rFonts w:ascii="Palatino Linotype" w:eastAsia="Calibri" w:hAnsi="Palatino Linotype" w:cs="Tahoma"/>
          <w:bCs/>
          <w:sz w:val="22"/>
          <w:szCs w:val="22"/>
          <w:lang w:eastAsia="en-US"/>
        </w:rPr>
      </w:pPr>
      <w:r w:rsidRPr="0025691E">
        <w:rPr>
          <w:rFonts w:ascii="Palatino Linotype" w:hAnsi="Palatino Linotype" w:cs="Tahoma"/>
          <w:sz w:val="22"/>
          <w:szCs w:val="22"/>
        </w:rPr>
        <w:t xml:space="preserve">Con fecha </w:t>
      </w:r>
      <w:r w:rsidR="0050565A" w:rsidRPr="0025691E">
        <w:rPr>
          <w:rFonts w:ascii="Palatino Linotype" w:hAnsi="Palatino Linotype" w:cs="Tahoma"/>
          <w:sz w:val="22"/>
          <w:szCs w:val="22"/>
        </w:rPr>
        <w:t>catorce</w:t>
      </w:r>
      <w:r w:rsidR="00C1189C" w:rsidRPr="0025691E">
        <w:rPr>
          <w:rFonts w:ascii="Palatino Linotype" w:hAnsi="Palatino Linotype" w:cs="Tahoma"/>
          <w:sz w:val="22"/>
          <w:szCs w:val="22"/>
        </w:rPr>
        <w:t xml:space="preserve"> de </w:t>
      </w:r>
      <w:r w:rsidR="004A4D9D">
        <w:rPr>
          <w:rFonts w:ascii="Palatino Linotype" w:hAnsi="Palatino Linotype" w:cs="Tahoma"/>
          <w:sz w:val="22"/>
          <w:szCs w:val="22"/>
        </w:rPr>
        <w:t>febrero</w:t>
      </w:r>
      <w:r w:rsidRPr="0025691E">
        <w:rPr>
          <w:rFonts w:ascii="Palatino Linotype" w:hAnsi="Palatino Linotype" w:cs="Tahoma"/>
          <w:sz w:val="22"/>
          <w:szCs w:val="22"/>
        </w:rPr>
        <w:t xml:space="preserve"> de dos mil veinti</w:t>
      </w:r>
      <w:r w:rsidR="004A4D9D">
        <w:rPr>
          <w:rFonts w:ascii="Palatino Linotype" w:hAnsi="Palatino Linotype" w:cs="Tahoma"/>
          <w:sz w:val="22"/>
          <w:szCs w:val="22"/>
        </w:rPr>
        <w:t>cuatro</w:t>
      </w:r>
      <w:r w:rsidRPr="0025691E">
        <w:rPr>
          <w:rFonts w:ascii="Palatino Linotype" w:hAnsi="Palatino Linotype" w:cs="Tahoma"/>
          <w:sz w:val="22"/>
          <w:szCs w:val="22"/>
        </w:rPr>
        <w:t xml:space="preserve">, </w:t>
      </w:r>
      <w:r w:rsidR="001B3B9E" w:rsidRPr="0025691E">
        <w:rPr>
          <w:rFonts w:ascii="Palatino Linotype" w:hAnsi="Palatino Linotype" w:cs="Tahoma"/>
          <w:sz w:val="22"/>
          <w:szCs w:val="22"/>
        </w:rPr>
        <w:t>se tuvo por presentada</w:t>
      </w:r>
      <w:r w:rsidRPr="0025691E">
        <w:rPr>
          <w:rFonts w:ascii="Palatino Linotype" w:hAnsi="Palatino Linotype" w:cs="Tahoma"/>
          <w:sz w:val="22"/>
          <w:szCs w:val="22"/>
        </w:rPr>
        <w:t xml:space="preserve"> una solicitud de acceso a la información pública</w:t>
      </w:r>
      <w:r w:rsidR="001B3B9E" w:rsidRPr="0025691E">
        <w:rPr>
          <w:rFonts w:ascii="Palatino Linotype" w:hAnsi="Palatino Linotype" w:cs="Tahoma"/>
          <w:sz w:val="22"/>
          <w:szCs w:val="22"/>
        </w:rPr>
        <w:t>, por parte de</w:t>
      </w:r>
      <w:r w:rsidR="00C0623A" w:rsidRPr="0025691E">
        <w:rPr>
          <w:rFonts w:ascii="Palatino Linotype" w:hAnsi="Palatino Linotype" w:cs="Tahoma"/>
          <w:sz w:val="22"/>
          <w:szCs w:val="22"/>
        </w:rPr>
        <w:t xml:space="preserve"> </w:t>
      </w:r>
      <w:r w:rsidR="001B3B9E" w:rsidRPr="0025691E">
        <w:rPr>
          <w:rFonts w:ascii="Palatino Linotype" w:hAnsi="Palatino Linotype" w:cs="Tahoma"/>
          <w:sz w:val="22"/>
          <w:szCs w:val="22"/>
        </w:rPr>
        <w:t>l</w:t>
      </w:r>
      <w:r w:rsidR="00C0623A" w:rsidRPr="0025691E">
        <w:rPr>
          <w:rFonts w:ascii="Palatino Linotype" w:hAnsi="Palatino Linotype" w:cs="Tahoma"/>
          <w:sz w:val="22"/>
          <w:szCs w:val="22"/>
        </w:rPr>
        <w:t>a</w:t>
      </w:r>
      <w:r w:rsidR="001B3B9E" w:rsidRPr="0025691E">
        <w:rPr>
          <w:rFonts w:ascii="Palatino Linotype" w:hAnsi="Palatino Linotype" w:cs="Tahoma"/>
          <w:sz w:val="22"/>
          <w:szCs w:val="22"/>
        </w:rPr>
        <w:t xml:space="preserve"> Particular</w:t>
      </w:r>
      <w:r w:rsidR="0050565A" w:rsidRPr="0025691E">
        <w:rPr>
          <w:rFonts w:ascii="Palatino Linotype" w:hAnsi="Palatino Linotype" w:cs="Tahoma"/>
          <w:sz w:val="22"/>
          <w:szCs w:val="22"/>
        </w:rPr>
        <w:t>, a través del Sistema de Acceso a la Información Mexiquense (SAIMEX)</w:t>
      </w:r>
      <w:r w:rsidRPr="0025691E">
        <w:rPr>
          <w:rFonts w:ascii="Palatino Linotype" w:hAnsi="Palatino Linotype" w:cs="Tahoma"/>
          <w:sz w:val="22"/>
          <w:szCs w:val="22"/>
        </w:rPr>
        <w:t>,</w:t>
      </w:r>
      <w:r w:rsidR="0050565A" w:rsidRPr="0025691E">
        <w:rPr>
          <w:rFonts w:ascii="Palatino Linotype" w:hAnsi="Palatino Linotype" w:cs="Tahoma"/>
          <w:sz w:val="22"/>
          <w:szCs w:val="22"/>
        </w:rPr>
        <w:t xml:space="preserve"> </w:t>
      </w:r>
      <w:r w:rsidRPr="0025691E">
        <w:rPr>
          <w:rFonts w:ascii="Palatino Linotype" w:hAnsi="Palatino Linotype" w:cs="Tahoma"/>
          <w:sz w:val="22"/>
          <w:szCs w:val="22"/>
        </w:rPr>
        <w:t xml:space="preserve">ante el </w:t>
      </w:r>
      <w:r w:rsidR="004A4D9D" w:rsidRPr="004A4D9D">
        <w:rPr>
          <w:rFonts w:ascii="Palatino Linotype" w:hAnsi="Palatino Linotype" w:cs="Tahoma"/>
          <w:bCs/>
          <w:sz w:val="22"/>
          <w:szCs w:val="22"/>
        </w:rPr>
        <w:t>Ayuntamiento de Toluca</w:t>
      </w:r>
      <w:r w:rsidRPr="0025691E">
        <w:rPr>
          <w:rFonts w:ascii="Palatino Linotype" w:hAnsi="Palatino Linotype" w:cs="Tahoma"/>
          <w:bCs/>
          <w:sz w:val="22"/>
          <w:szCs w:val="22"/>
        </w:rPr>
        <w:t>,</w:t>
      </w:r>
      <w:r w:rsidR="00AC1B83" w:rsidRPr="0025691E">
        <w:rPr>
          <w:rFonts w:ascii="Palatino Linotype" w:hAnsi="Palatino Linotype"/>
        </w:rPr>
        <w:t xml:space="preserve"> </w:t>
      </w:r>
      <w:r w:rsidR="00CD1229" w:rsidRPr="0025691E">
        <w:rPr>
          <w:rFonts w:ascii="Palatino Linotype" w:eastAsia="Calibri" w:hAnsi="Palatino Linotype" w:cs="Tahoma"/>
          <w:bCs/>
          <w:sz w:val="22"/>
          <w:szCs w:val="22"/>
          <w:lang w:eastAsia="en-US"/>
        </w:rPr>
        <w:t>mediante la cual</w:t>
      </w:r>
      <w:r w:rsidRPr="0025691E">
        <w:rPr>
          <w:rFonts w:ascii="Palatino Linotype" w:eastAsia="Calibri" w:hAnsi="Palatino Linotype" w:cs="Tahoma"/>
          <w:bCs/>
          <w:sz w:val="22"/>
          <w:szCs w:val="22"/>
          <w:lang w:eastAsia="en-US"/>
        </w:rPr>
        <w:t xml:space="preserve"> requirió:</w:t>
      </w:r>
    </w:p>
    <w:p w14:paraId="4935E666" w14:textId="77777777" w:rsidR="00B03EDE" w:rsidRPr="0025691E" w:rsidRDefault="00B03EDE" w:rsidP="00CE18C8">
      <w:pPr>
        <w:spacing w:line="360" w:lineRule="auto"/>
        <w:ind w:right="567"/>
        <w:contextualSpacing/>
        <w:jc w:val="both"/>
        <w:rPr>
          <w:rFonts w:ascii="Palatino Linotype" w:hAnsi="Palatino Linotype" w:cs="Tahoma"/>
          <w:b/>
          <w:i/>
          <w:iCs/>
          <w:sz w:val="22"/>
        </w:rPr>
      </w:pPr>
    </w:p>
    <w:p w14:paraId="1C439638" w14:textId="77777777" w:rsidR="00CD1229" w:rsidRPr="0025691E" w:rsidRDefault="00CD1229" w:rsidP="00CE18C8">
      <w:pPr>
        <w:tabs>
          <w:tab w:val="left" w:pos="4667"/>
        </w:tabs>
        <w:spacing w:line="360" w:lineRule="auto"/>
        <w:ind w:left="567" w:right="567"/>
        <w:jc w:val="both"/>
        <w:rPr>
          <w:rFonts w:ascii="Palatino Linotype" w:hAnsi="Palatino Linotype" w:cs="Tahoma"/>
          <w:b/>
          <w:bCs/>
          <w:i/>
        </w:rPr>
      </w:pPr>
      <w:r w:rsidRPr="0025691E">
        <w:rPr>
          <w:rFonts w:ascii="Palatino Linotype" w:hAnsi="Palatino Linotype" w:cs="Tahoma"/>
          <w:b/>
          <w:bCs/>
          <w:i/>
        </w:rPr>
        <w:t>“DESCRIPCIÓN CLARA Y PRECISA DE LA INFORMACIÓN SOLICITADA:</w:t>
      </w:r>
    </w:p>
    <w:p w14:paraId="67E6A9F9" w14:textId="52D7C005" w:rsidR="00CD1229" w:rsidRPr="0025691E" w:rsidRDefault="004A4D9D" w:rsidP="00CE18C8">
      <w:pPr>
        <w:tabs>
          <w:tab w:val="left" w:pos="4667"/>
        </w:tabs>
        <w:spacing w:line="360" w:lineRule="auto"/>
        <w:ind w:left="567" w:right="567"/>
        <w:jc w:val="both"/>
        <w:rPr>
          <w:rFonts w:ascii="Palatino Linotype" w:hAnsi="Palatino Linotype" w:cs="Tahoma"/>
          <w:bCs/>
          <w:i/>
        </w:rPr>
      </w:pPr>
      <w:r w:rsidRPr="004A4D9D">
        <w:rPr>
          <w:rFonts w:ascii="Palatino Linotype" w:hAnsi="Palatino Linotype" w:cs="Tahoma"/>
          <w:bCs/>
          <w:i/>
        </w:rPr>
        <w:t>Quiero el dictamen realizado por el INFOEM al ayuntamiento de Toluca (Unidad de Transparencia) en relación a los resultados de transparencia proactiva a partir del 2019 a 2024.</w:t>
      </w:r>
      <w:r w:rsidR="00CD1229" w:rsidRPr="0025691E">
        <w:rPr>
          <w:rFonts w:ascii="Palatino Linotype" w:hAnsi="Palatino Linotype" w:cs="Tahoma"/>
          <w:bCs/>
          <w:i/>
        </w:rPr>
        <w:t xml:space="preserve">” </w:t>
      </w:r>
    </w:p>
    <w:p w14:paraId="1713A82D" w14:textId="77777777" w:rsidR="00CD1229" w:rsidRPr="0025691E" w:rsidRDefault="00CD1229" w:rsidP="00CE18C8">
      <w:pPr>
        <w:tabs>
          <w:tab w:val="left" w:pos="4667"/>
        </w:tabs>
        <w:spacing w:line="360" w:lineRule="auto"/>
        <w:ind w:left="567" w:right="567"/>
        <w:jc w:val="both"/>
        <w:rPr>
          <w:rFonts w:ascii="Palatino Linotype" w:hAnsi="Palatino Linotype" w:cs="Tahoma"/>
          <w:bCs/>
          <w:i/>
        </w:rPr>
      </w:pPr>
    </w:p>
    <w:p w14:paraId="5AE3E418" w14:textId="348F9C1E" w:rsidR="0050565A" w:rsidRPr="0025691E" w:rsidRDefault="0050565A" w:rsidP="00BD107A">
      <w:pPr>
        <w:tabs>
          <w:tab w:val="left" w:pos="4667"/>
        </w:tabs>
        <w:spacing w:line="360" w:lineRule="auto"/>
        <w:ind w:left="567" w:right="567"/>
        <w:jc w:val="both"/>
        <w:rPr>
          <w:rFonts w:ascii="Palatino Linotype" w:hAnsi="Palatino Linotype" w:cs="Arial"/>
          <w:bCs/>
          <w:i/>
          <w:iCs/>
        </w:rPr>
      </w:pPr>
      <w:r w:rsidRPr="0025691E">
        <w:rPr>
          <w:rFonts w:ascii="Palatino Linotype" w:hAnsi="Palatino Linotype" w:cs="Tahoma"/>
          <w:b/>
          <w:bCs/>
          <w:i/>
          <w:iCs/>
        </w:rPr>
        <w:t>MODALIDAD DE ENTREGA</w:t>
      </w:r>
      <w:r w:rsidR="00BD107A">
        <w:rPr>
          <w:rFonts w:ascii="Palatino Linotype" w:hAnsi="Palatino Linotype" w:cs="Tahoma"/>
          <w:b/>
          <w:bCs/>
          <w:i/>
          <w:iCs/>
        </w:rPr>
        <w:t xml:space="preserve"> “</w:t>
      </w:r>
      <w:r w:rsidRPr="0025691E">
        <w:rPr>
          <w:rFonts w:ascii="Palatino Linotype" w:hAnsi="Palatino Linotype" w:cs="Arial"/>
          <w:bCs/>
          <w:i/>
          <w:iCs/>
        </w:rPr>
        <w:t xml:space="preserve">A través del SAIMEX” </w:t>
      </w:r>
    </w:p>
    <w:p w14:paraId="75E41EC6" w14:textId="77777777" w:rsidR="00EB30CE" w:rsidRPr="0025691E" w:rsidRDefault="00EB30CE" w:rsidP="00CE18C8">
      <w:pPr>
        <w:tabs>
          <w:tab w:val="left" w:pos="567"/>
        </w:tabs>
        <w:spacing w:line="360" w:lineRule="auto"/>
        <w:ind w:right="567"/>
        <w:jc w:val="both"/>
        <w:rPr>
          <w:rFonts w:ascii="Palatino Linotype" w:hAnsi="Palatino Linotype" w:cs="Tahoma"/>
          <w:bCs/>
          <w:i/>
          <w:iCs/>
        </w:rPr>
      </w:pPr>
    </w:p>
    <w:p w14:paraId="7DF14CCD" w14:textId="329EB665" w:rsidR="00B70FC5" w:rsidRDefault="00B70FC5" w:rsidP="00B70FC5">
      <w:pPr>
        <w:tabs>
          <w:tab w:val="left" w:pos="4667"/>
        </w:tabs>
        <w:spacing w:line="360" w:lineRule="auto"/>
        <w:ind w:right="567"/>
        <w:jc w:val="both"/>
        <w:rPr>
          <w:rFonts w:ascii="Palatino Linotype" w:hAnsi="Palatino Linotype" w:cs="Tahoma"/>
          <w:b/>
          <w:bCs/>
          <w:sz w:val="22"/>
          <w:szCs w:val="24"/>
        </w:rPr>
      </w:pPr>
      <w:r>
        <w:rPr>
          <w:rFonts w:ascii="Palatino Linotype" w:hAnsi="Palatino Linotype" w:cs="Tahoma"/>
          <w:b/>
          <w:bCs/>
          <w:sz w:val="22"/>
          <w:szCs w:val="24"/>
        </w:rPr>
        <w:t>II. Prórroga para atender su solicitud de información</w:t>
      </w:r>
    </w:p>
    <w:p w14:paraId="2D1C62EA" w14:textId="77777777" w:rsidR="00B70FC5" w:rsidRDefault="00B70FC5" w:rsidP="00B70FC5">
      <w:pPr>
        <w:tabs>
          <w:tab w:val="left" w:pos="4667"/>
        </w:tabs>
        <w:spacing w:line="360" w:lineRule="auto"/>
        <w:ind w:right="567"/>
        <w:jc w:val="both"/>
        <w:rPr>
          <w:rFonts w:ascii="Palatino Linotype" w:hAnsi="Palatino Linotype" w:cs="Tahoma"/>
          <w:b/>
          <w:bCs/>
          <w:sz w:val="22"/>
          <w:szCs w:val="24"/>
        </w:rPr>
      </w:pPr>
    </w:p>
    <w:p w14:paraId="350B6A06" w14:textId="37E87B40" w:rsidR="00B70FC5" w:rsidRDefault="00B70FC5" w:rsidP="00B70FC5">
      <w:pPr>
        <w:tabs>
          <w:tab w:val="left" w:pos="4667"/>
        </w:tabs>
        <w:spacing w:line="360" w:lineRule="auto"/>
        <w:jc w:val="both"/>
        <w:rPr>
          <w:rFonts w:ascii="Palatino Linotype" w:hAnsi="Palatino Linotype" w:cs="Tahoma"/>
          <w:sz w:val="22"/>
          <w:szCs w:val="24"/>
        </w:rPr>
      </w:pPr>
      <w:r>
        <w:rPr>
          <w:rFonts w:ascii="Palatino Linotype" w:hAnsi="Palatino Linotype" w:cs="Tahoma"/>
          <w:sz w:val="22"/>
          <w:szCs w:val="24"/>
        </w:rPr>
        <w:t xml:space="preserve">Con fecha </w:t>
      </w:r>
      <w:r w:rsidR="00BA08AB">
        <w:rPr>
          <w:rFonts w:ascii="Palatino Linotype" w:hAnsi="Palatino Linotype" w:cs="Tahoma"/>
          <w:sz w:val="22"/>
          <w:szCs w:val="24"/>
        </w:rPr>
        <w:t>seis de marzo de dos mil veinticuatro</w:t>
      </w:r>
      <w:r>
        <w:rPr>
          <w:rFonts w:ascii="Palatino Linotype" w:hAnsi="Palatino Linotype" w:cs="Tahoma"/>
          <w:sz w:val="22"/>
          <w:szCs w:val="24"/>
        </w:rPr>
        <w:t xml:space="preserve">, el Sujeto Obligado, a través del Sistema de Acceso a la Información Mexiquense (SAIMEX) notificó al Particular una prórroga para atender su solicitud de información, mediante el Acta de la </w:t>
      </w:r>
      <w:r w:rsidR="00BA08AB">
        <w:rPr>
          <w:rFonts w:ascii="Palatino Linotype" w:hAnsi="Palatino Linotype" w:cs="Tahoma"/>
          <w:sz w:val="22"/>
          <w:szCs w:val="24"/>
        </w:rPr>
        <w:t>Centésima Quincuagésima Octava Sesión Extraordinaria 2024 del Comité de Transparencia,</w:t>
      </w:r>
      <w:r>
        <w:rPr>
          <w:rFonts w:ascii="Palatino Linotype" w:hAnsi="Palatino Linotype" w:cs="Tahoma"/>
          <w:sz w:val="22"/>
          <w:szCs w:val="24"/>
        </w:rPr>
        <w:t xml:space="preserve"> del </w:t>
      </w:r>
      <w:r w:rsidR="00BA08AB">
        <w:rPr>
          <w:rFonts w:ascii="Palatino Linotype" w:hAnsi="Palatino Linotype" w:cs="Tahoma"/>
          <w:sz w:val="22"/>
          <w:szCs w:val="24"/>
        </w:rPr>
        <w:t>cuatro de marzo de dos mil veinticuatro</w:t>
      </w:r>
      <w:r>
        <w:rPr>
          <w:rFonts w:ascii="Palatino Linotype" w:hAnsi="Palatino Linotype" w:cs="Tahoma"/>
          <w:sz w:val="22"/>
          <w:szCs w:val="24"/>
        </w:rPr>
        <w:t>, suscrita por el Comité de Transparencia.</w:t>
      </w:r>
    </w:p>
    <w:p w14:paraId="142FB9AF" w14:textId="77777777" w:rsidR="00B70FC5" w:rsidRDefault="00B70FC5" w:rsidP="00CE18C8">
      <w:pPr>
        <w:pStyle w:val="Prrafodelista"/>
        <w:tabs>
          <w:tab w:val="left" w:pos="567"/>
        </w:tabs>
        <w:spacing w:line="360" w:lineRule="auto"/>
        <w:ind w:left="0"/>
        <w:jc w:val="both"/>
        <w:rPr>
          <w:rFonts w:ascii="Palatino Linotype" w:hAnsi="Palatino Linotype" w:cs="Tahoma"/>
          <w:b/>
          <w:szCs w:val="22"/>
        </w:rPr>
      </w:pPr>
    </w:p>
    <w:p w14:paraId="2FD6EB2E" w14:textId="4D19AE55" w:rsidR="00763041" w:rsidRPr="0025691E" w:rsidRDefault="00B70FC5" w:rsidP="00CE18C8">
      <w:pPr>
        <w:pStyle w:val="Prrafodelista"/>
        <w:tabs>
          <w:tab w:val="left" w:pos="567"/>
        </w:tabs>
        <w:spacing w:line="360" w:lineRule="auto"/>
        <w:ind w:left="0"/>
        <w:jc w:val="both"/>
        <w:rPr>
          <w:rFonts w:ascii="Palatino Linotype" w:hAnsi="Palatino Linotype" w:cs="Tahoma"/>
          <w:b/>
          <w:szCs w:val="22"/>
        </w:rPr>
      </w:pPr>
      <w:r>
        <w:rPr>
          <w:rFonts w:ascii="Palatino Linotype" w:hAnsi="Palatino Linotype" w:cs="Tahoma"/>
          <w:b/>
          <w:szCs w:val="22"/>
        </w:rPr>
        <w:t>III</w:t>
      </w:r>
      <w:r w:rsidR="00B43BFA" w:rsidRPr="0025691E">
        <w:rPr>
          <w:rFonts w:ascii="Palatino Linotype" w:hAnsi="Palatino Linotype" w:cs="Tahoma"/>
          <w:b/>
          <w:szCs w:val="22"/>
        </w:rPr>
        <w:t xml:space="preserve">. </w:t>
      </w:r>
      <w:r w:rsidR="00B03EDE" w:rsidRPr="0025691E">
        <w:rPr>
          <w:rFonts w:ascii="Palatino Linotype" w:hAnsi="Palatino Linotype" w:cs="Tahoma"/>
          <w:b/>
          <w:szCs w:val="22"/>
        </w:rPr>
        <w:t>Respuesta del Sujeto Obligado</w:t>
      </w:r>
    </w:p>
    <w:p w14:paraId="21F85F4A" w14:textId="77777777" w:rsidR="00286FC0" w:rsidRPr="0025691E" w:rsidRDefault="00286FC0" w:rsidP="00CE18C8">
      <w:pPr>
        <w:pStyle w:val="Prrafodelista"/>
        <w:tabs>
          <w:tab w:val="left" w:pos="567"/>
        </w:tabs>
        <w:spacing w:line="360" w:lineRule="auto"/>
        <w:ind w:left="0"/>
        <w:jc w:val="both"/>
        <w:rPr>
          <w:rFonts w:ascii="Palatino Linotype" w:hAnsi="Palatino Linotype" w:cs="Tahoma"/>
          <w:iCs/>
        </w:rPr>
      </w:pPr>
    </w:p>
    <w:p w14:paraId="49936FFA" w14:textId="493C5782" w:rsidR="00C4457B" w:rsidRPr="0025691E" w:rsidRDefault="00B03EDE" w:rsidP="00CE18C8">
      <w:pPr>
        <w:pStyle w:val="Prrafodelista"/>
        <w:tabs>
          <w:tab w:val="left" w:pos="567"/>
        </w:tabs>
        <w:spacing w:line="360" w:lineRule="auto"/>
        <w:ind w:left="0"/>
        <w:jc w:val="both"/>
        <w:rPr>
          <w:rFonts w:ascii="Palatino Linotype" w:hAnsi="Palatino Linotype" w:cs="Tahoma"/>
          <w:szCs w:val="22"/>
        </w:rPr>
      </w:pPr>
      <w:r w:rsidRPr="0025691E">
        <w:rPr>
          <w:rFonts w:ascii="Palatino Linotype" w:hAnsi="Palatino Linotype" w:cs="Tahoma"/>
          <w:bCs/>
          <w:szCs w:val="22"/>
        </w:rPr>
        <w:t xml:space="preserve">Con fecha </w:t>
      </w:r>
      <w:r w:rsidR="004A4D9D">
        <w:rPr>
          <w:rFonts w:ascii="Palatino Linotype" w:hAnsi="Palatino Linotype" w:cs="Tahoma"/>
          <w:bCs/>
          <w:szCs w:val="22"/>
        </w:rPr>
        <w:t>diecinueve</w:t>
      </w:r>
      <w:r w:rsidR="00847CE9" w:rsidRPr="0025691E">
        <w:rPr>
          <w:rFonts w:ascii="Palatino Linotype" w:hAnsi="Palatino Linotype" w:cs="Tahoma"/>
          <w:bCs/>
          <w:szCs w:val="22"/>
        </w:rPr>
        <w:t xml:space="preserve"> de </w:t>
      </w:r>
      <w:r w:rsidR="0050565A" w:rsidRPr="0025691E">
        <w:rPr>
          <w:rFonts w:ascii="Palatino Linotype" w:hAnsi="Palatino Linotype" w:cs="Tahoma"/>
          <w:bCs/>
          <w:szCs w:val="22"/>
        </w:rPr>
        <w:t xml:space="preserve">marzo </w:t>
      </w:r>
      <w:r w:rsidRPr="0025691E">
        <w:rPr>
          <w:rFonts w:ascii="Palatino Linotype" w:hAnsi="Palatino Linotype" w:cs="Tahoma"/>
          <w:bCs/>
          <w:szCs w:val="22"/>
        </w:rPr>
        <w:t xml:space="preserve">de </w:t>
      </w:r>
      <w:r w:rsidR="00C17433" w:rsidRPr="0025691E">
        <w:rPr>
          <w:rFonts w:ascii="Palatino Linotype" w:hAnsi="Palatino Linotype" w:cs="Tahoma"/>
          <w:bCs/>
          <w:szCs w:val="22"/>
        </w:rPr>
        <w:t>dos mil veinti</w:t>
      </w:r>
      <w:r w:rsidR="004A4D9D">
        <w:rPr>
          <w:rFonts w:ascii="Palatino Linotype" w:hAnsi="Palatino Linotype" w:cs="Tahoma"/>
          <w:bCs/>
          <w:szCs w:val="22"/>
        </w:rPr>
        <w:t>cuatro</w:t>
      </w:r>
      <w:r w:rsidRPr="0025691E">
        <w:rPr>
          <w:rFonts w:ascii="Palatino Linotype" w:hAnsi="Palatino Linotype" w:cs="Tahoma"/>
          <w:bCs/>
          <w:szCs w:val="22"/>
        </w:rPr>
        <w:t xml:space="preserve">, el Sujeto Obligado notificó la respuesta a la solicitud de acceso a la información, a través del </w:t>
      </w:r>
      <w:r w:rsidRPr="0025691E">
        <w:rPr>
          <w:rFonts w:ascii="Palatino Linotype" w:hAnsi="Palatino Linotype" w:cs="Tahoma"/>
          <w:szCs w:val="22"/>
        </w:rPr>
        <w:t xml:space="preserve">Sistema de Acceso a la Información Mexiquense (SAIMEX), </w:t>
      </w:r>
      <w:r w:rsidR="00AE75E1" w:rsidRPr="0025691E">
        <w:rPr>
          <w:rFonts w:ascii="Palatino Linotype" w:hAnsi="Palatino Linotype" w:cs="Tahoma"/>
          <w:szCs w:val="22"/>
        </w:rPr>
        <w:t xml:space="preserve">y </w:t>
      </w:r>
      <w:r w:rsidR="004A3EB0" w:rsidRPr="0025691E">
        <w:rPr>
          <w:rFonts w:ascii="Palatino Linotype" w:hAnsi="Palatino Linotype" w:cs="Tahoma"/>
          <w:szCs w:val="22"/>
        </w:rPr>
        <w:t xml:space="preserve">adjuntó la digitalización </w:t>
      </w:r>
      <w:r w:rsidR="00C4457B" w:rsidRPr="0025691E">
        <w:rPr>
          <w:rFonts w:ascii="Palatino Linotype" w:hAnsi="Palatino Linotype" w:cs="Tahoma"/>
          <w:szCs w:val="22"/>
        </w:rPr>
        <w:t xml:space="preserve">de los siguientes documentos: </w:t>
      </w:r>
    </w:p>
    <w:p w14:paraId="39817373" w14:textId="77777777" w:rsidR="00C4457B" w:rsidRPr="0025691E" w:rsidRDefault="00C4457B" w:rsidP="00CE18C8">
      <w:pPr>
        <w:autoSpaceDE w:val="0"/>
        <w:autoSpaceDN w:val="0"/>
        <w:adjustRightInd w:val="0"/>
        <w:spacing w:line="360" w:lineRule="auto"/>
        <w:ind w:right="-28"/>
        <w:jc w:val="both"/>
        <w:rPr>
          <w:rFonts w:ascii="Palatino Linotype" w:hAnsi="Palatino Linotype" w:cs="Tahoma"/>
          <w:sz w:val="22"/>
          <w:szCs w:val="22"/>
        </w:rPr>
      </w:pPr>
    </w:p>
    <w:p w14:paraId="01B015F5" w14:textId="1E6AB299" w:rsidR="001B2EB8" w:rsidRPr="0025691E" w:rsidRDefault="00C4457B" w:rsidP="00CE18C8">
      <w:pPr>
        <w:autoSpaceDE w:val="0"/>
        <w:autoSpaceDN w:val="0"/>
        <w:adjustRightInd w:val="0"/>
        <w:spacing w:line="360" w:lineRule="auto"/>
        <w:ind w:right="-28"/>
        <w:jc w:val="both"/>
        <w:rPr>
          <w:rFonts w:ascii="Palatino Linotype" w:hAnsi="Palatino Linotype" w:cs="Tahoma"/>
          <w:sz w:val="22"/>
          <w:szCs w:val="22"/>
        </w:rPr>
      </w:pPr>
      <w:r w:rsidRPr="0025691E">
        <w:rPr>
          <w:rFonts w:ascii="Palatino Linotype" w:hAnsi="Palatino Linotype" w:cs="Tahoma"/>
          <w:sz w:val="22"/>
          <w:szCs w:val="22"/>
        </w:rPr>
        <w:t xml:space="preserve">i) </w:t>
      </w:r>
      <w:r w:rsidR="00AE550A">
        <w:rPr>
          <w:rFonts w:ascii="Palatino Linotype" w:hAnsi="Palatino Linotype" w:cs="Tahoma"/>
          <w:sz w:val="22"/>
          <w:szCs w:val="22"/>
        </w:rPr>
        <w:t xml:space="preserve">Oficio sin número de la misma fecha de recepción, suscrito por la Titular de la Unidad de Transparencia y dirigido al Particular, por medio del cual precisó remitir los dictámenes emitidos de los años 2021, 2022 y 2023, así mismo refirió que no contaba con la información de los años 2019,2020 y 2024  </w:t>
      </w:r>
      <w:r w:rsidR="00F519E1">
        <w:rPr>
          <w:rFonts w:ascii="Palatino Linotype" w:hAnsi="Palatino Linotype" w:cs="Tahoma"/>
          <w:sz w:val="22"/>
          <w:szCs w:val="22"/>
        </w:rPr>
        <w:t xml:space="preserve">toda vez que dependía directamente del INFOEM. </w:t>
      </w:r>
    </w:p>
    <w:p w14:paraId="5B46FB4B" w14:textId="77777777" w:rsidR="001B2EB8" w:rsidRPr="0025691E" w:rsidRDefault="001B2EB8" w:rsidP="00CE18C8">
      <w:pPr>
        <w:autoSpaceDE w:val="0"/>
        <w:autoSpaceDN w:val="0"/>
        <w:adjustRightInd w:val="0"/>
        <w:spacing w:line="360" w:lineRule="auto"/>
        <w:ind w:right="-28"/>
        <w:jc w:val="both"/>
        <w:rPr>
          <w:rFonts w:ascii="Palatino Linotype" w:hAnsi="Palatino Linotype" w:cs="Tahoma"/>
          <w:sz w:val="22"/>
          <w:szCs w:val="22"/>
        </w:rPr>
      </w:pPr>
    </w:p>
    <w:p w14:paraId="4D235B4B" w14:textId="7F0CAC71" w:rsidR="001B2EB8" w:rsidRPr="0025691E" w:rsidRDefault="001B2EB8" w:rsidP="00CE18C8">
      <w:pPr>
        <w:autoSpaceDE w:val="0"/>
        <w:autoSpaceDN w:val="0"/>
        <w:adjustRightInd w:val="0"/>
        <w:spacing w:line="360" w:lineRule="auto"/>
        <w:ind w:right="-28"/>
        <w:jc w:val="both"/>
        <w:rPr>
          <w:rFonts w:ascii="Palatino Linotype" w:hAnsi="Palatino Linotype" w:cs="Tahoma"/>
          <w:sz w:val="22"/>
          <w:szCs w:val="22"/>
        </w:rPr>
      </w:pPr>
      <w:proofErr w:type="spellStart"/>
      <w:r w:rsidRPr="0025691E">
        <w:rPr>
          <w:rFonts w:ascii="Palatino Linotype" w:hAnsi="Palatino Linotype" w:cs="Tahoma"/>
          <w:sz w:val="22"/>
          <w:szCs w:val="22"/>
        </w:rPr>
        <w:t>ii</w:t>
      </w:r>
      <w:proofErr w:type="spellEnd"/>
      <w:r w:rsidRPr="0025691E">
        <w:rPr>
          <w:rFonts w:ascii="Palatino Linotype" w:hAnsi="Palatino Linotype" w:cs="Tahoma"/>
          <w:sz w:val="22"/>
          <w:szCs w:val="22"/>
        </w:rPr>
        <w:t xml:space="preserve">) </w:t>
      </w:r>
      <w:r w:rsidR="00F519E1">
        <w:rPr>
          <w:rFonts w:ascii="Palatino Linotype" w:hAnsi="Palatino Linotype" w:cs="Tahoma"/>
          <w:sz w:val="22"/>
          <w:szCs w:val="22"/>
        </w:rPr>
        <w:t xml:space="preserve">Dictamen para Determinar el Reconocimiento de Prácticas </w:t>
      </w:r>
      <w:r w:rsidR="00D259B0">
        <w:rPr>
          <w:rFonts w:ascii="Palatino Linotype" w:hAnsi="Palatino Linotype" w:cs="Tahoma"/>
          <w:sz w:val="22"/>
          <w:szCs w:val="22"/>
        </w:rPr>
        <w:t xml:space="preserve">de Transparencia Proactiva 2021 </w:t>
      </w:r>
      <w:r w:rsidRPr="0025691E">
        <w:rPr>
          <w:rFonts w:ascii="Palatino Linotype" w:hAnsi="Palatino Linotype" w:cs="Tahoma"/>
          <w:sz w:val="22"/>
          <w:szCs w:val="22"/>
        </w:rPr>
        <w:t xml:space="preserve"> </w:t>
      </w:r>
    </w:p>
    <w:p w14:paraId="2DAA7BE9" w14:textId="77777777" w:rsidR="001B2EB8" w:rsidRPr="0025691E" w:rsidRDefault="001B2EB8" w:rsidP="00CE18C8">
      <w:pPr>
        <w:autoSpaceDE w:val="0"/>
        <w:autoSpaceDN w:val="0"/>
        <w:adjustRightInd w:val="0"/>
        <w:spacing w:line="360" w:lineRule="auto"/>
        <w:ind w:right="-28"/>
        <w:jc w:val="both"/>
        <w:rPr>
          <w:rFonts w:ascii="Palatino Linotype" w:hAnsi="Palatino Linotype" w:cs="Tahoma"/>
          <w:sz w:val="22"/>
          <w:szCs w:val="22"/>
        </w:rPr>
      </w:pPr>
    </w:p>
    <w:p w14:paraId="0CC1998C" w14:textId="1F05136F" w:rsidR="00D259B0" w:rsidRDefault="001B2EB8" w:rsidP="00D259B0">
      <w:pPr>
        <w:autoSpaceDE w:val="0"/>
        <w:autoSpaceDN w:val="0"/>
        <w:adjustRightInd w:val="0"/>
        <w:spacing w:line="360" w:lineRule="auto"/>
        <w:ind w:right="-28"/>
        <w:jc w:val="both"/>
        <w:rPr>
          <w:rFonts w:ascii="Palatino Linotype" w:hAnsi="Palatino Linotype" w:cs="Tahoma"/>
          <w:sz w:val="22"/>
          <w:szCs w:val="22"/>
        </w:rPr>
      </w:pPr>
      <w:proofErr w:type="spellStart"/>
      <w:r w:rsidRPr="0025691E">
        <w:rPr>
          <w:rFonts w:ascii="Palatino Linotype" w:hAnsi="Palatino Linotype" w:cs="Tahoma"/>
          <w:sz w:val="22"/>
          <w:szCs w:val="22"/>
        </w:rPr>
        <w:t>iii</w:t>
      </w:r>
      <w:proofErr w:type="spellEnd"/>
      <w:r w:rsidRPr="0025691E">
        <w:rPr>
          <w:rFonts w:ascii="Palatino Linotype" w:hAnsi="Palatino Linotype" w:cs="Tahoma"/>
          <w:sz w:val="22"/>
          <w:szCs w:val="22"/>
        </w:rPr>
        <w:t xml:space="preserve">) </w:t>
      </w:r>
      <w:r w:rsidR="00D259B0">
        <w:rPr>
          <w:rFonts w:ascii="Palatino Linotype" w:hAnsi="Palatino Linotype" w:cs="Tahoma"/>
          <w:sz w:val="22"/>
          <w:szCs w:val="22"/>
        </w:rPr>
        <w:t xml:space="preserve">Dictamen para Determinar el Reconocimiento de Prácticas de Transparencia Proactiva 2022 </w:t>
      </w:r>
    </w:p>
    <w:p w14:paraId="20C7439F" w14:textId="738FD651" w:rsidR="00D259B0" w:rsidRDefault="00D259B0" w:rsidP="00D259B0">
      <w:pPr>
        <w:autoSpaceDE w:val="0"/>
        <w:autoSpaceDN w:val="0"/>
        <w:adjustRightInd w:val="0"/>
        <w:spacing w:line="360" w:lineRule="auto"/>
        <w:ind w:right="-28"/>
        <w:jc w:val="both"/>
        <w:rPr>
          <w:rFonts w:ascii="Palatino Linotype" w:hAnsi="Palatino Linotype" w:cs="Tahoma"/>
          <w:sz w:val="22"/>
          <w:szCs w:val="22"/>
        </w:rPr>
      </w:pPr>
    </w:p>
    <w:p w14:paraId="3B2146E2" w14:textId="6053A004" w:rsidR="00D259B0" w:rsidRPr="0025691E" w:rsidRDefault="00D259B0" w:rsidP="00D259B0">
      <w:pPr>
        <w:autoSpaceDE w:val="0"/>
        <w:autoSpaceDN w:val="0"/>
        <w:adjustRightInd w:val="0"/>
        <w:spacing w:line="360" w:lineRule="auto"/>
        <w:ind w:right="-28"/>
        <w:jc w:val="both"/>
        <w:rPr>
          <w:rFonts w:ascii="Palatino Linotype" w:hAnsi="Palatino Linotype" w:cs="Tahoma"/>
          <w:sz w:val="22"/>
          <w:szCs w:val="22"/>
        </w:rPr>
      </w:pPr>
      <w:proofErr w:type="spellStart"/>
      <w:r>
        <w:rPr>
          <w:rFonts w:ascii="Palatino Linotype" w:hAnsi="Palatino Linotype" w:cs="Tahoma"/>
          <w:sz w:val="22"/>
          <w:szCs w:val="22"/>
        </w:rPr>
        <w:t>iv</w:t>
      </w:r>
      <w:proofErr w:type="spellEnd"/>
      <w:r>
        <w:rPr>
          <w:rFonts w:ascii="Palatino Linotype" w:hAnsi="Palatino Linotype" w:cs="Tahoma"/>
          <w:sz w:val="22"/>
          <w:szCs w:val="22"/>
        </w:rPr>
        <w:t>) Dictamen para Determinar el Reconocimiento de Prácticas de Transparencia Proactiva 2023</w:t>
      </w:r>
    </w:p>
    <w:p w14:paraId="390C35FE" w14:textId="77777777" w:rsidR="00EF6D8F" w:rsidRDefault="00EF6D8F" w:rsidP="00CE18C8">
      <w:pPr>
        <w:autoSpaceDE w:val="0"/>
        <w:autoSpaceDN w:val="0"/>
        <w:adjustRightInd w:val="0"/>
        <w:spacing w:line="360" w:lineRule="auto"/>
        <w:ind w:right="-28"/>
        <w:jc w:val="both"/>
        <w:rPr>
          <w:rFonts w:ascii="Palatino Linotype" w:hAnsi="Palatino Linotype" w:cs="Tahoma"/>
          <w:sz w:val="22"/>
          <w:szCs w:val="22"/>
        </w:rPr>
      </w:pPr>
    </w:p>
    <w:p w14:paraId="4FE2F672" w14:textId="6D41D688" w:rsidR="00B03EDE" w:rsidRPr="0025691E" w:rsidRDefault="00AF6ADC" w:rsidP="00CE18C8">
      <w:pPr>
        <w:autoSpaceDE w:val="0"/>
        <w:autoSpaceDN w:val="0"/>
        <w:adjustRightInd w:val="0"/>
        <w:spacing w:line="360" w:lineRule="auto"/>
        <w:jc w:val="both"/>
        <w:rPr>
          <w:rFonts w:ascii="Palatino Linotype" w:hAnsi="Palatino Linotype" w:cs="Tahoma"/>
          <w:b/>
          <w:sz w:val="22"/>
          <w:szCs w:val="22"/>
        </w:rPr>
      </w:pPr>
      <w:r w:rsidRPr="0025691E">
        <w:rPr>
          <w:rFonts w:ascii="Palatino Linotype" w:hAnsi="Palatino Linotype" w:cs="Tahoma"/>
          <w:b/>
          <w:sz w:val="22"/>
          <w:szCs w:val="22"/>
        </w:rPr>
        <w:t>I</w:t>
      </w:r>
      <w:r w:rsidR="00CE18C8" w:rsidRPr="0025691E">
        <w:rPr>
          <w:rFonts w:ascii="Palatino Linotype" w:hAnsi="Palatino Linotype" w:cs="Tahoma"/>
          <w:b/>
          <w:sz w:val="22"/>
          <w:szCs w:val="22"/>
        </w:rPr>
        <w:t>II</w:t>
      </w:r>
      <w:r w:rsidR="00B03EDE" w:rsidRPr="0025691E">
        <w:rPr>
          <w:rFonts w:ascii="Palatino Linotype" w:hAnsi="Palatino Linotype" w:cs="Tahoma"/>
          <w:b/>
          <w:sz w:val="22"/>
          <w:szCs w:val="22"/>
        </w:rPr>
        <w:t>. Interposición del Recurso de Revisión</w:t>
      </w:r>
    </w:p>
    <w:p w14:paraId="51154276" w14:textId="77777777" w:rsidR="00B03EDE" w:rsidRDefault="00B03EDE" w:rsidP="00CE18C8">
      <w:pPr>
        <w:widowControl w:val="0"/>
        <w:spacing w:line="360" w:lineRule="auto"/>
        <w:jc w:val="both"/>
        <w:rPr>
          <w:rFonts w:ascii="Palatino Linotype" w:hAnsi="Palatino Linotype" w:cs="Tahoma"/>
          <w:sz w:val="22"/>
          <w:szCs w:val="22"/>
        </w:rPr>
      </w:pPr>
    </w:p>
    <w:p w14:paraId="77EDD509" w14:textId="77777777" w:rsidR="00BF1587" w:rsidRPr="0025691E" w:rsidRDefault="00BF1587" w:rsidP="00CE18C8">
      <w:pPr>
        <w:widowControl w:val="0"/>
        <w:spacing w:line="360" w:lineRule="auto"/>
        <w:jc w:val="both"/>
        <w:rPr>
          <w:rFonts w:ascii="Palatino Linotype" w:hAnsi="Palatino Linotype" w:cs="Tahoma"/>
          <w:sz w:val="22"/>
          <w:szCs w:val="22"/>
        </w:rPr>
      </w:pPr>
    </w:p>
    <w:p w14:paraId="37A39AE9" w14:textId="564F9364" w:rsidR="00B03EDE" w:rsidRPr="0025691E" w:rsidRDefault="00AB20A9" w:rsidP="00CE18C8">
      <w:pPr>
        <w:widowControl w:val="0"/>
        <w:spacing w:line="360" w:lineRule="auto"/>
        <w:jc w:val="both"/>
        <w:rPr>
          <w:rFonts w:ascii="Palatino Linotype" w:hAnsi="Palatino Linotype" w:cs="Tahoma"/>
          <w:sz w:val="22"/>
          <w:szCs w:val="22"/>
          <w:lang w:val="es-ES"/>
        </w:rPr>
      </w:pPr>
      <w:r w:rsidRPr="0025691E">
        <w:rPr>
          <w:rFonts w:ascii="Palatino Linotype" w:hAnsi="Palatino Linotype" w:cs="Tahoma"/>
          <w:sz w:val="22"/>
          <w:szCs w:val="22"/>
          <w:lang w:val="es-ES"/>
        </w:rPr>
        <w:lastRenderedPageBreak/>
        <w:t>Con fecha</w:t>
      </w:r>
      <w:r w:rsidR="00B03EDE" w:rsidRPr="0025691E">
        <w:rPr>
          <w:rFonts w:ascii="Palatino Linotype" w:hAnsi="Palatino Linotype" w:cs="Tahoma"/>
          <w:sz w:val="22"/>
          <w:szCs w:val="22"/>
          <w:lang w:val="es-ES"/>
        </w:rPr>
        <w:t xml:space="preserve"> </w:t>
      </w:r>
      <w:r w:rsidR="00D259B0">
        <w:rPr>
          <w:rFonts w:ascii="Palatino Linotype" w:hAnsi="Palatino Linotype" w:cs="Tahoma"/>
          <w:sz w:val="22"/>
          <w:szCs w:val="22"/>
          <w:lang w:val="es-ES"/>
        </w:rPr>
        <w:t>veinte</w:t>
      </w:r>
      <w:r w:rsidR="00651CBC" w:rsidRPr="0025691E">
        <w:rPr>
          <w:rFonts w:ascii="Palatino Linotype" w:hAnsi="Palatino Linotype" w:cs="Tahoma"/>
          <w:sz w:val="22"/>
          <w:szCs w:val="22"/>
          <w:lang w:val="es-ES"/>
        </w:rPr>
        <w:t xml:space="preserve"> de </w:t>
      </w:r>
      <w:r w:rsidR="00D66151" w:rsidRPr="0025691E">
        <w:rPr>
          <w:rFonts w:ascii="Palatino Linotype" w:hAnsi="Palatino Linotype" w:cs="Tahoma"/>
          <w:sz w:val="22"/>
          <w:szCs w:val="22"/>
          <w:lang w:val="es-ES"/>
        </w:rPr>
        <w:t>marzo</w:t>
      </w:r>
      <w:r w:rsidR="00B03EDE" w:rsidRPr="0025691E">
        <w:rPr>
          <w:rFonts w:ascii="Palatino Linotype" w:hAnsi="Palatino Linotype" w:cs="Tahoma"/>
          <w:sz w:val="22"/>
          <w:szCs w:val="22"/>
          <w:lang w:val="es-ES"/>
        </w:rPr>
        <w:t xml:space="preserve"> de </w:t>
      </w:r>
      <w:r w:rsidR="00C17433" w:rsidRPr="0025691E">
        <w:rPr>
          <w:rFonts w:ascii="Palatino Linotype" w:hAnsi="Palatino Linotype" w:cs="Tahoma"/>
          <w:sz w:val="22"/>
          <w:szCs w:val="22"/>
          <w:lang w:val="es-ES"/>
        </w:rPr>
        <w:t>dos mil veinti</w:t>
      </w:r>
      <w:r w:rsidR="00D259B0">
        <w:rPr>
          <w:rFonts w:ascii="Palatino Linotype" w:hAnsi="Palatino Linotype" w:cs="Tahoma"/>
          <w:sz w:val="22"/>
          <w:szCs w:val="22"/>
          <w:lang w:val="es-ES"/>
        </w:rPr>
        <w:t>cuatro</w:t>
      </w:r>
      <w:r w:rsidR="00B03EDE" w:rsidRPr="0025691E">
        <w:rPr>
          <w:rFonts w:ascii="Palatino Linotype" w:hAnsi="Palatino Linotype" w:cs="Tahoma"/>
          <w:sz w:val="22"/>
          <w:szCs w:val="22"/>
          <w:lang w:val="es-ES"/>
        </w:rPr>
        <w:t xml:space="preserve">, </w:t>
      </w:r>
      <w:r w:rsidR="00D66151" w:rsidRPr="0025691E">
        <w:rPr>
          <w:rFonts w:ascii="Palatino Linotype" w:hAnsi="Palatino Linotype" w:cs="Tahoma"/>
          <w:sz w:val="22"/>
          <w:szCs w:val="22"/>
          <w:lang w:val="es-ES"/>
        </w:rPr>
        <w:t>el</w:t>
      </w:r>
      <w:r w:rsidR="00B03EDE" w:rsidRPr="0025691E">
        <w:rPr>
          <w:rFonts w:ascii="Palatino Linotype" w:hAnsi="Palatino Linotype" w:cs="Tahoma"/>
          <w:sz w:val="22"/>
          <w:szCs w:val="22"/>
          <w:lang w:val="es-ES"/>
        </w:rPr>
        <w:t xml:space="preserve"> Particular interpuso Recurso de Revisión ante este Instituto, a través del Sistema de Acceso a la Información Mexiquense (SAIMEX), en contra de la respuesta otorgada por el </w:t>
      </w:r>
      <w:r w:rsidR="00D259B0" w:rsidRPr="00D259B0">
        <w:rPr>
          <w:rFonts w:ascii="Palatino Linotype" w:hAnsi="Palatino Linotype" w:cs="Tahoma"/>
          <w:sz w:val="22"/>
          <w:szCs w:val="22"/>
          <w:lang w:val="es-ES"/>
        </w:rPr>
        <w:t>Ayuntamiento de Toluca</w:t>
      </w:r>
      <w:r w:rsidR="00B03EDE" w:rsidRPr="0025691E">
        <w:rPr>
          <w:rFonts w:ascii="Palatino Linotype" w:hAnsi="Palatino Linotype" w:cs="Tahoma"/>
          <w:sz w:val="22"/>
          <w:szCs w:val="22"/>
          <w:lang w:val="es-ES"/>
        </w:rPr>
        <w:t>, a la</w:t>
      </w:r>
      <w:r w:rsidR="00651CBC" w:rsidRPr="0025691E">
        <w:rPr>
          <w:rFonts w:ascii="Palatino Linotype" w:hAnsi="Palatino Linotype" w:cs="Tahoma"/>
          <w:sz w:val="22"/>
          <w:szCs w:val="22"/>
          <w:lang w:val="es-ES"/>
        </w:rPr>
        <w:t xml:space="preserve"> </w:t>
      </w:r>
      <w:r w:rsidR="00B03EDE" w:rsidRPr="0025691E">
        <w:rPr>
          <w:rFonts w:ascii="Palatino Linotype" w:hAnsi="Palatino Linotype" w:cs="Tahoma"/>
          <w:sz w:val="22"/>
          <w:szCs w:val="22"/>
          <w:lang w:val="es-ES"/>
        </w:rPr>
        <w:t>solicitud</w:t>
      </w:r>
      <w:r w:rsidR="00651CBC" w:rsidRPr="0025691E">
        <w:rPr>
          <w:rFonts w:ascii="Palatino Linotype" w:hAnsi="Palatino Linotype" w:cs="Tahoma"/>
          <w:sz w:val="22"/>
          <w:szCs w:val="22"/>
          <w:lang w:val="es-ES"/>
        </w:rPr>
        <w:t xml:space="preserve"> </w:t>
      </w:r>
      <w:r w:rsidR="00B03EDE" w:rsidRPr="0025691E">
        <w:rPr>
          <w:rFonts w:ascii="Palatino Linotype" w:hAnsi="Palatino Linotype" w:cs="Tahoma"/>
          <w:sz w:val="22"/>
          <w:szCs w:val="22"/>
          <w:lang w:val="es-ES"/>
        </w:rPr>
        <w:t>de información, en los siguientes términos:</w:t>
      </w:r>
      <w:r w:rsidR="00046E37" w:rsidRPr="0025691E">
        <w:rPr>
          <w:rFonts w:ascii="Palatino Linotype" w:hAnsi="Palatino Linotype" w:cs="Tahoma"/>
          <w:sz w:val="22"/>
          <w:szCs w:val="22"/>
          <w:lang w:val="es-ES"/>
        </w:rPr>
        <w:t xml:space="preserve"> </w:t>
      </w:r>
    </w:p>
    <w:p w14:paraId="1A7AA1A8" w14:textId="77777777" w:rsidR="00B03EDE" w:rsidRPr="0025691E" w:rsidRDefault="00B03EDE" w:rsidP="00CE18C8">
      <w:pPr>
        <w:widowControl w:val="0"/>
        <w:spacing w:line="360" w:lineRule="auto"/>
        <w:jc w:val="both"/>
        <w:rPr>
          <w:rFonts w:ascii="Palatino Linotype" w:hAnsi="Palatino Linotype" w:cs="Tahoma"/>
          <w:b/>
          <w:bCs/>
          <w:sz w:val="22"/>
          <w:szCs w:val="22"/>
          <w:lang w:val="es-ES"/>
        </w:rPr>
      </w:pPr>
    </w:p>
    <w:p w14:paraId="6D9868AB" w14:textId="77777777" w:rsidR="00B03EDE" w:rsidRPr="0025691E" w:rsidRDefault="00B03EDE" w:rsidP="00CE18C8">
      <w:pPr>
        <w:spacing w:line="360" w:lineRule="auto"/>
        <w:ind w:left="567" w:right="567"/>
        <w:contextualSpacing/>
        <w:jc w:val="both"/>
        <w:rPr>
          <w:rFonts w:ascii="Palatino Linotype" w:hAnsi="Palatino Linotype" w:cs="Tahoma"/>
          <w:b/>
          <w:i/>
          <w:iCs/>
        </w:rPr>
      </w:pPr>
      <w:r w:rsidRPr="0025691E">
        <w:rPr>
          <w:rFonts w:ascii="Palatino Linotype" w:hAnsi="Palatino Linotype" w:cs="Tahoma"/>
          <w:b/>
          <w:i/>
          <w:iCs/>
        </w:rPr>
        <w:t xml:space="preserve"> “ACTO IMPUGNADO</w:t>
      </w:r>
    </w:p>
    <w:p w14:paraId="5C7893BA" w14:textId="5B27FB5B" w:rsidR="00B03EDE" w:rsidRPr="0025691E" w:rsidRDefault="00D259B0" w:rsidP="00CE18C8">
      <w:pPr>
        <w:spacing w:line="360" w:lineRule="auto"/>
        <w:ind w:left="567" w:right="567"/>
        <w:contextualSpacing/>
        <w:jc w:val="both"/>
        <w:rPr>
          <w:rFonts w:ascii="Palatino Linotype" w:hAnsi="Palatino Linotype" w:cs="Tahoma"/>
          <w:i/>
          <w:iCs/>
        </w:rPr>
      </w:pPr>
      <w:r w:rsidRPr="00D259B0">
        <w:rPr>
          <w:rFonts w:ascii="Palatino Linotype" w:hAnsi="Palatino Linotype" w:cs="Tahoma"/>
          <w:i/>
          <w:iCs/>
        </w:rPr>
        <w:t>LA RESPUESTA</w:t>
      </w:r>
      <w:r w:rsidR="00B03EDE" w:rsidRPr="0025691E">
        <w:rPr>
          <w:rFonts w:ascii="Palatino Linotype" w:hAnsi="Palatino Linotype" w:cs="Tahoma"/>
          <w:i/>
          <w:iCs/>
        </w:rPr>
        <w:t xml:space="preserve">” </w:t>
      </w:r>
      <w:r w:rsidR="00BB38FC" w:rsidRPr="0025691E">
        <w:rPr>
          <w:rFonts w:ascii="Palatino Linotype" w:hAnsi="Palatino Linotype" w:cs="Tahoma"/>
          <w:i/>
          <w:iCs/>
        </w:rPr>
        <w:t>(Sic)</w:t>
      </w:r>
    </w:p>
    <w:p w14:paraId="13992F69" w14:textId="77777777" w:rsidR="00E31783" w:rsidRPr="0025691E" w:rsidRDefault="00E31783" w:rsidP="00CE18C8">
      <w:pPr>
        <w:spacing w:line="360" w:lineRule="auto"/>
        <w:ind w:left="567" w:right="567"/>
        <w:contextualSpacing/>
        <w:jc w:val="both"/>
        <w:rPr>
          <w:rFonts w:ascii="Palatino Linotype" w:hAnsi="Palatino Linotype" w:cs="Tahoma"/>
          <w:i/>
          <w:iCs/>
        </w:rPr>
      </w:pPr>
    </w:p>
    <w:p w14:paraId="0F66E56E" w14:textId="1DCFF765" w:rsidR="00E31783" w:rsidRPr="0025691E" w:rsidRDefault="00E31783" w:rsidP="00CE18C8">
      <w:pPr>
        <w:spacing w:line="360" w:lineRule="auto"/>
        <w:ind w:left="567" w:right="567"/>
        <w:contextualSpacing/>
        <w:jc w:val="both"/>
        <w:rPr>
          <w:rFonts w:ascii="Palatino Linotype" w:hAnsi="Palatino Linotype" w:cs="Tahoma"/>
          <w:b/>
          <w:i/>
          <w:iCs/>
        </w:rPr>
      </w:pPr>
      <w:r w:rsidRPr="0025691E">
        <w:rPr>
          <w:rFonts w:ascii="Palatino Linotype" w:hAnsi="Palatino Linotype" w:cs="Tahoma"/>
          <w:b/>
          <w:i/>
          <w:iCs/>
        </w:rPr>
        <w:t>RAZONES O MOTIVOS DE LA INCONFORMIDAD</w:t>
      </w:r>
    </w:p>
    <w:p w14:paraId="4E52B116" w14:textId="30B0798B" w:rsidR="00E31783" w:rsidRPr="0025691E" w:rsidRDefault="00D259B0" w:rsidP="00CE18C8">
      <w:pPr>
        <w:spacing w:line="360" w:lineRule="auto"/>
        <w:ind w:left="567" w:right="567"/>
        <w:contextualSpacing/>
        <w:jc w:val="both"/>
        <w:rPr>
          <w:rFonts w:ascii="Palatino Linotype" w:hAnsi="Palatino Linotype" w:cs="Tahoma"/>
          <w:i/>
          <w:iCs/>
        </w:rPr>
      </w:pPr>
      <w:r w:rsidRPr="00D259B0">
        <w:rPr>
          <w:rFonts w:ascii="Palatino Linotype" w:hAnsi="Palatino Linotype" w:cs="Tahoma"/>
          <w:i/>
          <w:iCs/>
        </w:rPr>
        <w:t>NO ME ENTREGARON LA INFORMACION, AUN CUANDO OBRA EN LOS ARCHIVOS DE ESTE SUJETO OBLIGADO, LA CUALFUE NOTIFICADA POR EL INFOEM</w:t>
      </w:r>
      <w:r w:rsidR="00E31783" w:rsidRPr="0025691E">
        <w:rPr>
          <w:rFonts w:ascii="Palatino Linotype" w:hAnsi="Palatino Linotype" w:cs="Tahoma"/>
          <w:i/>
          <w:iCs/>
        </w:rPr>
        <w:t>” (Sic.)</w:t>
      </w:r>
    </w:p>
    <w:p w14:paraId="15679E36" w14:textId="77777777" w:rsidR="00C17433" w:rsidRPr="0025691E" w:rsidRDefault="00C17433" w:rsidP="00CE18C8">
      <w:pPr>
        <w:spacing w:line="360" w:lineRule="auto"/>
        <w:ind w:right="567"/>
        <w:contextualSpacing/>
        <w:jc w:val="both"/>
        <w:rPr>
          <w:rFonts w:ascii="Palatino Linotype" w:eastAsia="Calibri" w:hAnsi="Palatino Linotype" w:cs="Tahoma"/>
          <w:bCs/>
          <w:sz w:val="22"/>
          <w:szCs w:val="22"/>
          <w:lang w:eastAsia="en-US"/>
        </w:rPr>
      </w:pPr>
    </w:p>
    <w:p w14:paraId="01EC7854" w14:textId="415CBD72" w:rsidR="00B03EDE" w:rsidRPr="0025691E" w:rsidRDefault="00CE18C8" w:rsidP="00CE18C8">
      <w:pPr>
        <w:spacing w:line="360" w:lineRule="auto"/>
        <w:jc w:val="both"/>
        <w:rPr>
          <w:rFonts w:ascii="Palatino Linotype" w:eastAsia="Batang" w:hAnsi="Palatino Linotype" w:cs="Tahoma"/>
          <w:b/>
          <w:bCs/>
          <w:sz w:val="22"/>
          <w:szCs w:val="22"/>
        </w:rPr>
      </w:pPr>
      <w:r w:rsidRPr="0025691E">
        <w:rPr>
          <w:rFonts w:ascii="Palatino Linotype" w:hAnsi="Palatino Linotype" w:cs="Tahoma"/>
          <w:b/>
          <w:sz w:val="22"/>
          <w:szCs w:val="22"/>
        </w:rPr>
        <w:t>I</w:t>
      </w:r>
      <w:r w:rsidR="00B03EDE" w:rsidRPr="0025691E">
        <w:rPr>
          <w:rFonts w:ascii="Palatino Linotype" w:hAnsi="Palatino Linotype" w:cs="Tahoma"/>
          <w:b/>
          <w:sz w:val="22"/>
          <w:szCs w:val="22"/>
        </w:rPr>
        <w:t xml:space="preserve">V. </w:t>
      </w:r>
      <w:r w:rsidR="00B03EDE" w:rsidRPr="0025691E">
        <w:rPr>
          <w:rFonts w:ascii="Palatino Linotype" w:eastAsia="Batang" w:hAnsi="Palatino Linotype" w:cs="Tahoma"/>
          <w:b/>
          <w:bCs/>
          <w:sz w:val="22"/>
          <w:szCs w:val="22"/>
        </w:rPr>
        <w:t>Trámite del Recurso de Revisión</w:t>
      </w:r>
      <w:r w:rsidR="00B03EDE" w:rsidRPr="0025691E">
        <w:rPr>
          <w:rFonts w:ascii="Palatino Linotype" w:hAnsi="Palatino Linotype" w:cs="Tahoma"/>
          <w:b/>
          <w:sz w:val="22"/>
          <w:szCs w:val="22"/>
        </w:rPr>
        <w:t xml:space="preserve"> </w:t>
      </w:r>
      <w:r w:rsidR="00B03EDE" w:rsidRPr="0025691E">
        <w:rPr>
          <w:rFonts w:ascii="Palatino Linotype" w:eastAsia="Batang" w:hAnsi="Palatino Linotype" w:cs="Tahoma"/>
          <w:b/>
          <w:bCs/>
          <w:sz w:val="22"/>
          <w:szCs w:val="22"/>
        </w:rPr>
        <w:t>ante el Instituto.</w:t>
      </w:r>
    </w:p>
    <w:p w14:paraId="67D0DF97" w14:textId="77777777" w:rsidR="00B03EDE" w:rsidRPr="0025691E" w:rsidRDefault="00B03EDE" w:rsidP="00CE18C8">
      <w:pPr>
        <w:spacing w:line="360" w:lineRule="auto"/>
        <w:jc w:val="both"/>
        <w:rPr>
          <w:rFonts w:ascii="Palatino Linotype" w:eastAsia="Batang" w:hAnsi="Palatino Linotype" w:cs="Tahoma"/>
          <w:b/>
          <w:bCs/>
          <w:sz w:val="22"/>
          <w:szCs w:val="22"/>
        </w:rPr>
      </w:pPr>
    </w:p>
    <w:p w14:paraId="531EA316" w14:textId="2D29B3E7" w:rsidR="00B03EDE" w:rsidRPr="0025691E" w:rsidRDefault="00B03EDE" w:rsidP="00CE18C8">
      <w:pPr>
        <w:spacing w:line="360" w:lineRule="auto"/>
        <w:jc w:val="both"/>
        <w:rPr>
          <w:rFonts w:ascii="Palatino Linotype" w:eastAsia="Batang" w:hAnsi="Palatino Linotype" w:cs="Tahoma"/>
          <w:sz w:val="22"/>
          <w:szCs w:val="22"/>
        </w:rPr>
      </w:pPr>
      <w:r w:rsidRPr="0025691E">
        <w:rPr>
          <w:rFonts w:ascii="Palatino Linotype" w:eastAsia="Batang" w:hAnsi="Palatino Linotype" w:cs="Tahoma"/>
          <w:b/>
          <w:bCs/>
          <w:sz w:val="22"/>
          <w:szCs w:val="22"/>
        </w:rPr>
        <w:t xml:space="preserve">a) Turno del Recurso de Revisión. </w:t>
      </w:r>
      <w:r w:rsidRPr="0025691E">
        <w:rPr>
          <w:rFonts w:ascii="Palatino Linotype" w:eastAsia="Batang" w:hAnsi="Palatino Linotype" w:cs="Tahoma"/>
          <w:sz w:val="22"/>
          <w:szCs w:val="22"/>
        </w:rPr>
        <w:t xml:space="preserve">El </w:t>
      </w:r>
      <w:r w:rsidR="00D259B0">
        <w:rPr>
          <w:rFonts w:ascii="Palatino Linotype" w:hAnsi="Palatino Linotype" w:cs="Tahoma"/>
          <w:sz w:val="22"/>
          <w:szCs w:val="22"/>
          <w:lang w:val="es-ES"/>
        </w:rPr>
        <w:t>veinte</w:t>
      </w:r>
      <w:r w:rsidR="00731FDC" w:rsidRPr="0025691E">
        <w:rPr>
          <w:rFonts w:ascii="Palatino Linotype" w:hAnsi="Palatino Linotype" w:cs="Tahoma"/>
          <w:sz w:val="22"/>
          <w:szCs w:val="22"/>
          <w:lang w:val="es-ES"/>
        </w:rPr>
        <w:t xml:space="preserve"> de </w:t>
      </w:r>
      <w:r w:rsidR="00252E0F" w:rsidRPr="0025691E">
        <w:rPr>
          <w:rFonts w:ascii="Palatino Linotype" w:hAnsi="Palatino Linotype" w:cs="Tahoma"/>
          <w:sz w:val="22"/>
          <w:szCs w:val="22"/>
          <w:lang w:val="es-ES"/>
        </w:rPr>
        <w:t>marzo</w:t>
      </w:r>
      <w:r w:rsidR="00731FDC" w:rsidRPr="0025691E">
        <w:rPr>
          <w:rFonts w:ascii="Palatino Linotype" w:hAnsi="Palatino Linotype" w:cs="Tahoma"/>
          <w:sz w:val="22"/>
          <w:szCs w:val="22"/>
          <w:lang w:val="es-ES"/>
        </w:rPr>
        <w:t xml:space="preserve"> de dos mil veinti</w:t>
      </w:r>
      <w:r w:rsidR="00D259B0">
        <w:rPr>
          <w:rFonts w:ascii="Palatino Linotype" w:hAnsi="Palatino Linotype" w:cs="Tahoma"/>
          <w:sz w:val="22"/>
          <w:szCs w:val="22"/>
          <w:lang w:val="es-ES"/>
        </w:rPr>
        <w:t>cuatro</w:t>
      </w:r>
      <w:r w:rsidRPr="0025691E">
        <w:rPr>
          <w:rFonts w:ascii="Palatino Linotype" w:eastAsia="Batang" w:hAnsi="Palatino Linotype" w:cs="Tahoma"/>
          <w:sz w:val="22"/>
          <w:szCs w:val="22"/>
        </w:rPr>
        <w:t xml:space="preserve">, el </w:t>
      </w:r>
      <w:r w:rsidRPr="0025691E">
        <w:rPr>
          <w:rFonts w:ascii="Palatino Linotype" w:eastAsia="Batang" w:hAnsi="Palatino Linotype" w:cs="Tahoma"/>
          <w:sz w:val="22"/>
          <w:szCs w:val="22"/>
          <w:lang w:val="es-ES"/>
        </w:rPr>
        <w:t>Sistema de Acceso a la Información Mexiquense (SAIMEX),</w:t>
      </w:r>
      <w:r w:rsidRPr="0025691E">
        <w:rPr>
          <w:rFonts w:ascii="Palatino Linotype" w:eastAsia="Batang" w:hAnsi="Palatino Linotype" w:cs="Tahoma"/>
          <w:sz w:val="22"/>
          <w:szCs w:val="22"/>
        </w:rPr>
        <w:t xml:space="preserve"> asignó el número de </w:t>
      </w:r>
      <w:r w:rsidR="00C17433" w:rsidRPr="0025691E">
        <w:rPr>
          <w:rFonts w:ascii="Palatino Linotype" w:eastAsia="Batang" w:hAnsi="Palatino Linotype" w:cs="Tahoma"/>
          <w:sz w:val="22"/>
          <w:szCs w:val="22"/>
        </w:rPr>
        <w:t xml:space="preserve">expediente </w:t>
      </w:r>
      <w:r w:rsidR="00D259B0" w:rsidRPr="00D259B0">
        <w:rPr>
          <w:rFonts w:ascii="Palatino Linotype" w:eastAsia="Calibri" w:hAnsi="Palatino Linotype" w:cs="Tahoma"/>
          <w:b/>
          <w:bCs/>
          <w:sz w:val="22"/>
          <w:szCs w:val="22"/>
        </w:rPr>
        <w:t>01501/INFOEM/IP/RR/2024</w:t>
      </w:r>
      <w:r w:rsidRPr="0025691E">
        <w:rPr>
          <w:rFonts w:ascii="Palatino Linotype" w:eastAsia="Batang" w:hAnsi="Palatino Linotype" w:cs="Tahoma"/>
          <w:sz w:val="22"/>
          <w:szCs w:val="22"/>
        </w:rPr>
        <w:t xml:space="preserve">, al medio de impugnación que nos ocupa, con base en el sistema aprobado por el Pleno de este Órgano Garante y lo turnó al </w:t>
      </w:r>
      <w:r w:rsidRPr="0025691E">
        <w:rPr>
          <w:rFonts w:ascii="Palatino Linotype" w:eastAsia="Batang" w:hAnsi="Palatino Linotype" w:cs="Tahoma"/>
          <w:b/>
          <w:bCs/>
          <w:sz w:val="22"/>
          <w:szCs w:val="22"/>
        </w:rPr>
        <w:t>Comisionado Ponente Luis Gustavo Parra Noriega</w:t>
      </w:r>
      <w:r w:rsidRPr="0025691E">
        <w:rPr>
          <w:rFonts w:ascii="Palatino Linotype" w:eastAsia="Batang" w:hAnsi="Palatino Linotype" w:cs="Tahoma"/>
          <w:sz w:val="22"/>
          <w:szCs w:val="22"/>
        </w:rPr>
        <w:t>, para los efectos del artículo 185, fracción I de la Ley de Transparencia y Acceso a la Información Pública del Estado de México y Municipios.</w:t>
      </w:r>
    </w:p>
    <w:p w14:paraId="098F9DD2" w14:textId="77777777" w:rsidR="00252E0F" w:rsidRPr="0025691E" w:rsidRDefault="00252E0F" w:rsidP="00CE18C8">
      <w:pPr>
        <w:spacing w:line="360" w:lineRule="auto"/>
        <w:jc w:val="both"/>
        <w:rPr>
          <w:rFonts w:ascii="Palatino Linotype" w:eastAsia="Batang" w:hAnsi="Palatino Linotype" w:cs="Tahoma"/>
          <w:b/>
          <w:bCs/>
          <w:sz w:val="22"/>
          <w:szCs w:val="22"/>
        </w:rPr>
      </w:pPr>
    </w:p>
    <w:p w14:paraId="5412875E" w14:textId="600D59F1" w:rsidR="00B03EDE" w:rsidRPr="0025691E" w:rsidRDefault="00B03EDE" w:rsidP="00CE18C8">
      <w:pPr>
        <w:spacing w:line="360" w:lineRule="auto"/>
        <w:jc w:val="both"/>
        <w:rPr>
          <w:rFonts w:ascii="Palatino Linotype" w:eastAsia="Batang" w:hAnsi="Palatino Linotype" w:cs="Tahoma"/>
          <w:b/>
          <w:bCs/>
          <w:sz w:val="22"/>
          <w:szCs w:val="22"/>
        </w:rPr>
      </w:pPr>
      <w:r w:rsidRPr="0025691E">
        <w:rPr>
          <w:rFonts w:ascii="Palatino Linotype" w:eastAsia="Batang" w:hAnsi="Palatino Linotype" w:cs="Tahoma"/>
          <w:b/>
          <w:bCs/>
          <w:sz w:val="22"/>
          <w:szCs w:val="22"/>
        </w:rPr>
        <w:t>b) Admisión del Recurso de Revisión</w:t>
      </w:r>
      <w:r w:rsidRPr="0025691E">
        <w:rPr>
          <w:rFonts w:ascii="Palatino Linotype" w:eastAsia="Batang" w:hAnsi="Palatino Linotype" w:cs="Tahoma"/>
          <w:b/>
          <w:bCs/>
          <w:sz w:val="22"/>
          <w:szCs w:val="22"/>
          <w:lang w:val="es-ES_tradnl"/>
        </w:rPr>
        <w:t xml:space="preserve">. </w:t>
      </w:r>
      <w:r w:rsidRPr="0025691E">
        <w:rPr>
          <w:rFonts w:ascii="Palatino Linotype" w:eastAsia="Batang" w:hAnsi="Palatino Linotype" w:cs="Tahoma"/>
          <w:sz w:val="22"/>
          <w:szCs w:val="22"/>
          <w:lang w:val="es-ES_tradnl"/>
        </w:rPr>
        <w:t xml:space="preserve">El </w:t>
      </w:r>
      <w:r w:rsidR="00D259B0">
        <w:rPr>
          <w:rFonts w:ascii="Palatino Linotype" w:eastAsia="Batang" w:hAnsi="Palatino Linotype" w:cs="Tahoma"/>
          <w:sz w:val="22"/>
          <w:szCs w:val="22"/>
          <w:lang w:val="es-ES_tradnl"/>
        </w:rPr>
        <w:t>primero de abril</w:t>
      </w:r>
      <w:r w:rsidRPr="0025691E">
        <w:rPr>
          <w:rFonts w:ascii="Palatino Linotype" w:eastAsia="Batang" w:hAnsi="Palatino Linotype" w:cs="Tahoma"/>
          <w:sz w:val="22"/>
          <w:szCs w:val="22"/>
          <w:lang w:val="es-ES_tradnl"/>
        </w:rPr>
        <w:t xml:space="preserve"> de dos mil veinti</w:t>
      </w:r>
      <w:r w:rsidR="00D259B0">
        <w:rPr>
          <w:rFonts w:ascii="Palatino Linotype" w:eastAsia="Batang" w:hAnsi="Palatino Linotype" w:cs="Tahoma"/>
          <w:sz w:val="22"/>
          <w:szCs w:val="22"/>
          <w:lang w:val="es-ES_tradnl"/>
        </w:rPr>
        <w:t>cuatro</w:t>
      </w:r>
      <w:r w:rsidRPr="0025691E">
        <w:rPr>
          <w:rFonts w:ascii="Palatino Linotype" w:eastAsia="Batang" w:hAnsi="Palatino Linotype" w:cs="Tahoma"/>
          <w:sz w:val="22"/>
          <w:szCs w:val="22"/>
          <w:lang w:val="es-ES_tradnl"/>
        </w:rPr>
        <w:t>,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w:t>
      </w:r>
      <w:r w:rsidR="003C2FCD" w:rsidRPr="0025691E">
        <w:rPr>
          <w:rFonts w:ascii="Palatino Linotype" w:eastAsia="Batang" w:hAnsi="Palatino Linotype" w:cs="Tahoma"/>
          <w:sz w:val="22"/>
          <w:szCs w:val="22"/>
          <w:lang w:val="es-ES_tradnl"/>
        </w:rPr>
        <w:t xml:space="preserve"> </w:t>
      </w:r>
      <w:r w:rsidRPr="0025691E">
        <w:rPr>
          <w:rFonts w:ascii="Palatino Linotype" w:eastAsia="Batang" w:hAnsi="Palatino Linotype" w:cs="Tahoma"/>
          <w:sz w:val="22"/>
          <w:szCs w:val="22"/>
          <w:lang w:val="es-ES_tradnl"/>
        </w:rPr>
        <w:t xml:space="preserve">, </w:t>
      </w:r>
      <w:r w:rsidR="00252E0F" w:rsidRPr="0025691E">
        <w:rPr>
          <w:rFonts w:ascii="Palatino Linotype" w:eastAsia="Batang" w:hAnsi="Palatino Linotype" w:cs="Tahoma"/>
          <w:sz w:val="22"/>
          <w:szCs w:val="22"/>
          <w:lang w:val="es-ES_tradnl"/>
        </w:rPr>
        <w:t xml:space="preserve">el mismo día, </w:t>
      </w:r>
      <w:r w:rsidRPr="0025691E">
        <w:rPr>
          <w:rFonts w:ascii="Palatino Linotype" w:eastAsia="Batang" w:hAnsi="Palatino Linotype" w:cs="Tahoma"/>
          <w:sz w:val="22"/>
          <w:szCs w:val="22"/>
          <w:lang w:val="es-ES_tradnl"/>
        </w:rPr>
        <w:t xml:space="preserve">a través del Sistema de Acceso a la Información Mexiquense (SAIMEX), en el </w:t>
      </w:r>
      <w:r w:rsidRPr="0025691E">
        <w:rPr>
          <w:rFonts w:ascii="Palatino Linotype" w:eastAsia="Batang" w:hAnsi="Palatino Linotype" w:cs="Tahoma"/>
          <w:sz w:val="22"/>
          <w:szCs w:val="22"/>
          <w:lang w:val="es-ES_tradnl"/>
        </w:rPr>
        <w:lastRenderedPageBreak/>
        <w:t>que se les otorgó un plazo de siete días hábiles posteriores a la misma, para que manifestaran lo que a su derecho conviniera y formularan alegatos.</w:t>
      </w:r>
    </w:p>
    <w:p w14:paraId="65E011B0" w14:textId="77777777" w:rsidR="00B03EDE" w:rsidRPr="0025691E" w:rsidRDefault="00B03EDE" w:rsidP="00CE18C8">
      <w:pPr>
        <w:spacing w:line="360" w:lineRule="auto"/>
        <w:jc w:val="both"/>
        <w:rPr>
          <w:rFonts w:ascii="Palatino Linotype" w:eastAsia="Batang" w:hAnsi="Palatino Linotype" w:cs="Tahoma"/>
          <w:bCs/>
          <w:sz w:val="22"/>
          <w:szCs w:val="22"/>
        </w:rPr>
      </w:pPr>
    </w:p>
    <w:p w14:paraId="6CD5D3CF" w14:textId="039B837B" w:rsidR="00D259B0" w:rsidRPr="00D259B0" w:rsidRDefault="00D259B0" w:rsidP="0099109F">
      <w:pPr>
        <w:widowControl w:val="0"/>
        <w:spacing w:line="360" w:lineRule="auto"/>
        <w:jc w:val="both"/>
        <w:rPr>
          <w:rFonts w:ascii="Palatino Linotype" w:hAnsi="Palatino Linotype"/>
          <w:bCs/>
          <w:sz w:val="22"/>
          <w:szCs w:val="22"/>
          <w:lang w:val="es-ES_tradnl"/>
        </w:rPr>
      </w:pPr>
      <w:r w:rsidRPr="00D259B0">
        <w:rPr>
          <w:rFonts w:ascii="Palatino Linotype" w:hAnsi="Palatino Linotype"/>
          <w:b/>
          <w:bCs/>
          <w:sz w:val="22"/>
          <w:szCs w:val="22"/>
        </w:rPr>
        <w:t xml:space="preserve">c) </w:t>
      </w:r>
      <w:r w:rsidRPr="00D259B0">
        <w:rPr>
          <w:rFonts w:ascii="Palatino Linotype" w:hAnsi="Palatino Linotype"/>
          <w:b/>
          <w:sz w:val="22"/>
          <w:szCs w:val="22"/>
          <w:lang w:val="es-ES_tradnl"/>
        </w:rPr>
        <w:t xml:space="preserve">Informe Justificado o manifestaciones. </w:t>
      </w:r>
      <w:r w:rsidRPr="00D259B0">
        <w:rPr>
          <w:rFonts w:ascii="Palatino Linotype" w:hAnsi="Palatino Linotype"/>
          <w:bCs/>
          <w:sz w:val="22"/>
          <w:szCs w:val="22"/>
          <w:lang w:val="es-ES_tradnl"/>
        </w:rPr>
        <w:t xml:space="preserve">El </w:t>
      </w:r>
      <w:r w:rsidR="0099109F">
        <w:rPr>
          <w:rFonts w:ascii="Palatino Linotype" w:hAnsi="Palatino Linotype"/>
          <w:bCs/>
          <w:sz w:val="22"/>
          <w:szCs w:val="22"/>
          <w:lang w:val="es-ES_tradnl"/>
        </w:rPr>
        <w:t>diez de abril</w:t>
      </w:r>
      <w:r w:rsidRPr="00D259B0">
        <w:rPr>
          <w:rFonts w:ascii="Palatino Linotype" w:hAnsi="Palatino Linotype"/>
          <w:bCs/>
          <w:sz w:val="22"/>
          <w:szCs w:val="22"/>
          <w:lang w:val="es-ES_tradnl"/>
        </w:rPr>
        <w:t xml:space="preserve"> de dos mil veintidós, se recibió, a través de Sistema de Acceso a la Información Mexiquense (SAIMEX), el Informe Justificado del Sujeto Obligado, por medio del oficio número </w:t>
      </w:r>
      <w:r w:rsidR="0099109F">
        <w:rPr>
          <w:rFonts w:ascii="Palatino Linotype" w:hAnsi="Palatino Linotype"/>
          <w:bCs/>
          <w:sz w:val="22"/>
          <w:szCs w:val="22"/>
          <w:lang w:val="es-ES_tradnl"/>
        </w:rPr>
        <w:t>2010A4000/UT/RR/0239/2024</w:t>
      </w:r>
      <w:r w:rsidRPr="00D259B0">
        <w:rPr>
          <w:rFonts w:ascii="Palatino Linotype" w:hAnsi="Palatino Linotype"/>
          <w:bCs/>
          <w:sz w:val="22"/>
          <w:szCs w:val="22"/>
          <w:lang w:val="es-ES_tradnl"/>
        </w:rPr>
        <w:t xml:space="preserve">, </w:t>
      </w:r>
      <w:r w:rsidR="0099109F">
        <w:rPr>
          <w:rFonts w:ascii="Palatino Linotype" w:hAnsi="Palatino Linotype"/>
          <w:bCs/>
          <w:sz w:val="22"/>
          <w:szCs w:val="22"/>
          <w:lang w:val="es-ES_tradnl"/>
        </w:rPr>
        <w:t>de la misma fecha de recepción</w:t>
      </w:r>
      <w:r w:rsidRPr="00D259B0">
        <w:rPr>
          <w:rFonts w:ascii="Palatino Linotype" w:hAnsi="Palatino Linotype"/>
          <w:bCs/>
          <w:sz w:val="22"/>
          <w:szCs w:val="22"/>
          <w:lang w:val="es-ES_tradnl"/>
        </w:rPr>
        <w:t xml:space="preserve">, signado por </w:t>
      </w:r>
      <w:r w:rsidR="0099109F">
        <w:rPr>
          <w:rFonts w:ascii="Palatino Linotype" w:hAnsi="Palatino Linotype"/>
          <w:bCs/>
          <w:sz w:val="22"/>
          <w:szCs w:val="22"/>
          <w:lang w:val="es-ES_tradnl"/>
        </w:rPr>
        <w:t xml:space="preserve">la Titular de la Unidad de Transparencia </w:t>
      </w:r>
      <w:r w:rsidRPr="00D259B0">
        <w:rPr>
          <w:rFonts w:ascii="Palatino Linotype" w:hAnsi="Palatino Linotype"/>
          <w:bCs/>
          <w:sz w:val="22"/>
          <w:szCs w:val="22"/>
          <w:lang w:val="es-ES_tradnl"/>
        </w:rPr>
        <w:t xml:space="preserve">y  dirigido </w:t>
      </w:r>
      <w:r w:rsidR="0099109F">
        <w:rPr>
          <w:rFonts w:ascii="Palatino Linotype" w:hAnsi="Palatino Linotype"/>
          <w:bCs/>
          <w:sz w:val="22"/>
          <w:szCs w:val="22"/>
          <w:lang w:val="es-ES_tradnl"/>
        </w:rPr>
        <w:t>al Comisionado Ponente, por medio del cual ratificó la respuesta,</w:t>
      </w:r>
      <w:r w:rsidRPr="00D259B0">
        <w:rPr>
          <w:rFonts w:ascii="Palatino Linotype" w:hAnsi="Palatino Linotype"/>
          <w:bCs/>
          <w:sz w:val="22"/>
          <w:szCs w:val="22"/>
          <w:lang w:val="es-ES_tradnl"/>
        </w:rPr>
        <w:t xml:space="preserve"> </w:t>
      </w:r>
      <w:r w:rsidR="0099109F">
        <w:rPr>
          <w:rFonts w:ascii="Palatino Linotype" w:hAnsi="Palatino Linotype"/>
          <w:bCs/>
          <w:sz w:val="22"/>
          <w:szCs w:val="22"/>
          <w:lang w:val="es-ES_tradnl"/>
        </w:rPr>
        <w:t>de conformidad con lo siguiente</w:t>
      </w:r>
      <w:r w:rsidRPr="00D259B0">
        <w:rPr>
          <w:rFonts w:ascii="Palatino Linotype" w:hAnsi="Palatino Linotype"/>
          <w:bCs/>
          <w:sz w:val="22"/>
          <w:szCs w:val="22"/>
          <w:lang w:val="es-ES_tradnl"/>
        </w:rPr>
        <w:t xml:space="preserve">: </w:t>
      </w:r>
    </w:p>
    <w:p w14:paraId="622B994B" w14:textId="77777777" w:rsidR="00D259B0" w:rsidRPr="00D259B0" w:rsidRDefault="00D259B0" w:rsidP="00D259B0">
      <w:pPr>
        <w:widowControl w:val="0"/>
        <w:spacing w:line="360" w:lineRule="auto"/>
        <w:ind w:left="1080" w:right="567"/>
        <w:contextualSpacing/>
        <w:jc w:val="both"/>
        <w:rPr>
          <w:rFonts w:ascii="Palatino Linotype" w:hAnsi="Palatino Linotype" w:cs="Tahoma"/>
          <w:bCs/>
          <w:sz w:val="22"/>
          <w:szCs w:val="22"/>
        </w:rPr>
      </w:pPr>
    </w:p>
    <w:p w14:paraId="3DA4BE12" w14:textId="4F6171D2" w:rsidR="00D259B0" w:rsidRPr="00D259B0" w:rsidRDefault="00D259B0" w:rsidP="00811AFF">
      <w:pPr>
        <w:widowControl w:val="0"/>
        <w:spacing w:line="360" w:lineRule="auto"/>
        <w:ind w:left="567" w:right="567"/>
        <w:contextualSpacing/>
        <w:jc w:val="both"/>
        <w:rPr>
          <w:rFonts w:ascii="Palatino Linotype" w:hAnsi="Palatino Linotype" w:cs="Tahoma"/>
          <w:b/>
          <w:i/>
          <w:iCs/>
        </w:rPr>
      </w:pPr>
      <w:r w:rsidRPr="00D259B0">
        <w:rPr>
          <w:rFonts w:ascii="Palatino Linotype" w:hAnsi="Palatino Linotype" w:cs="Tahoma"/>
          <w:b/>
          <w:i/>
          <w:iCs/>
        </w:rPr>
        <w:t>“</w:t>
      </w:r>
      <w:r w:rsidR="00BF1587">
        <w:rPr>
          <w:rFonts w:ascii="Palatino Linotype" w:hAnsi="Palatino Linotype" w:cs="Tahoma"/>
          <w:b/>
          <w:i/>
          <w:iCs/>
        </w:rPr>
        <w:t>…</w:t>
      </w:r>
    </w:p>
    <w:p w14:paraId="078B2CEF" w14:textId="242F97A2" w:rsidR="0099109F" w:rsidRDefault="0099109F" w:rsidP="00811AFF">
      <w:pPr>
        <w:autoSpaceDE w:val="0"/>
        <w:autoSpaceDN w:val="0"/>
        <w:adjustRightInd w:val="0"/>
        <w:spacing w:line="360" w:lineRule="auto"/>
        <w:ind w:left="567" w:right="567"/>
        <w:jc w:val="both"/>
        <w:rPr>
          <w:rFonts w:ascii="Palatino Linotype" w:hAnsi="Palatino Linotype" w:cs="Tahoma"/>
          <w:i/>
          <w:iCs/>
        </w:rPr>
      </w:pPr>
      <w:r w:rsidRPr="0099109F">
        <w:rPr>
          <w:rFonts w:ascii="Palatino Linotype" w:hAnsi="Palatino Linotype" w:cs="Tahoma"/>
          <w:i/>
          <w:iCs/>
        </w:rPr>
        <w:t>Por lo antes expuesto, se ratifica en todas y cada una de sus partes la respuesta a la solicitud de información de mérito, toda vez que, se le entregó la documentación que puede colmar la solicitud de acceso a la información pública, de acuerdo a lo manifestado por la Servidora Pública Habilitada Competente, cumpliendo con el principio de legalidad y el derecho de acceso a la información pública.</w:t>
      </w:r>
    </w:p>
    <w:p w14:paraId="50D8E357" w14:textId="2B965101" w:rsidR="0099109F" w:rsidRDefault="0099109F" w:rsidP="00811AFF">
      <w:pPr>
        <w:autoSpaceDE w:val="0"/>
        <w:autoSpaceDN w:val="0"/>
        <w:adjustRightInd w:val="0"/>
        <w:spacing w:line="360" w:lineRule="auto"/>
        <w:ind w:left="567" w:right="567"/>
        <w:jc w:val="both"/>
        <w:rPr>
          <w:rFonts w:ascii="Palatino Linotype" w:hAnsi="Palatino Linotype" w:cs="Tahoma"/>
          <w:i/>
          <w:iCs/>
        </w:rPr>
      </w:pPr>
    </w:p>
    <w:p w14:paraId="40AE6962" w14:textId="5339A254" w:rsidR="0099109F" w:rsidRDefault="00811AFF" w:rsidP="00811AFF">
      <w:pPr>
        <w:autoSpaceDE w:val="0"/>
        <w:autoSpaceDN w:val="0"/>
        <w:adjustRightInd w:val="0"/>
        <w:spacing w:line="360" w:lineRule="auto"/>
        <w:ind w:left="567" w:right="567"/>
        <w:jc w:val="both"/>
        <w:rPr>
          <w:rFonts w:ascii="Palatino Linotype" w:hAnsi="Palatino Linotype"/>
          <w:bCs/>
          <w:i/>
          <w:iCs/>
        </w:rPr>
      </w:pPr>
      <w:r w:rsidRPr="00811AFF">
        <w:rPr>
          <w:rFonts w:ascii="Palatino Linotype" w:hAnsi="Palatino Linotype"/>
          <w:bCs/>
          <w:i/>
          <w:iCs/>
        </w:rPr>
        <w:t>De tal manera que, por consiguiente, se puede confirmar que el folio 00327/TOLUCA/IP/2024, se tiene por cumplido, bajo la prerrogativa del derecho de acceso a la información.</w:t>
      </w:r>
    </w:p>
    <w:p w14:paraId="65156002" w14:textId="7792BED5" w:rsidR="00811AFF" w:rsidRDefault="00811AFF" w:rsidP="00811AFF">
      <w:pPr>
        <w:autoSpaceDE w:val="0"/>
        <w:autoSpaceDN w:val="0"/>
        <w:adjustRightInd w:val="0"/>
        <w:spacing w:line="360" w:lineRule="auto"/>
        <w:ind w:left="567" w:right="567"/>
        <w:jc w:val="both"/>
        <w:rPr>
          <w:rFonts w:ascii="Palatino Linotype" w:hAnsi="Palatino Linotype"/>
          <w:bCs/>
          <w:i/>
          <w:iCs/>
        </w:rPr>
      </w:pPr>
      <w:r>
        <w:rPr>
          <w:rFonts w:ascii="Palatino Linotype" w:hAnsi="Palatino Linotype"/>
          <w:bCs/>
          <w:i/>
          <w:iCs/>
        </w:rPr>
        <w:t xml:space="preserve">…” </w:t>
      </w:r>
    </w:p>
    <w:p w14:paraId="53AFF746" w14:textId="77777777" w:rsidR="00811AFF" w:rsidRPr="00811AFF" w:rsidRDefault="00811AFF" w:rsidP="00811AFF">
      <w:pPr>
        <w:autoSpaceDE w:val="0"/>
        <w:autoSpaceDN w:val="0"/>
        <w:adjustRightInd w:val="0"/>
        <w:spacing w:line="360" w:lineRule="auto"/>
        <w:ind w:left="567" w:right="567"/>
        <w:jc w:val="both"/>
        <w:rPr>
          <w:rFonts w:ascii="Palatino Linotype" w:hAnsi="Palatino Linotype"/>
          <w:bCs/>
          <w:i/>
          <w:iCs/>
        </w:rPr>
      </w:pPr>
    </w:p>
    <w:p w14:paraId="6F46D8C4" w14:textId="515C543C" w:rsidR="00811AFF" w:rsidRPr="00811AFF" w:rsidRDefault="00811AFF" w:rsidP="00811AFF">
      <w:pPr>
        <w:spacing w:line="360" w:lineRule="auto"/>
        <w:jc w:val="both"/>
        <w:rPr>
          <w:rFonts w:ascii="Palatino Linotype" w:hAnsi="Palatino Linotype" w:cs="Tahoma"/>
          <w:bCs/>
          <w:sz w:val="22"/>
          <w:szCs w:val="22"/>
          <w:lang w:val="es-ES"/>
        </w:rPr>
      </w:pPr>
      <w:r w:rsidRPr="00811AFF">
        <w:rPr>
          <w:rFonts w:ascii="Palatino Linotype" w:eastAsia="Calibri" w:hAnsi="Palatino Linotype" w:cs="Tahoma"/>
          <w:b/>
          <w:bCs/>
          <w:color w:val="000000" w:themeColor="text1"/>
          <w:sz w:val="22"/>
          <w:szCs w:val="22"/>
          <w:lang w:eastAsia="en-US"/>
        </w:rPr>
        <w:t xml:space="preserve">d) </w:t>
      </w:r>
      <w:r w:rsidRPr="00811AFF">
        <w:rPr>
          <w:rFonts w:ascii="Palatino Linotype" w:hAnsi="Palatino Linotype" w:cs="Tahoma"/>
          <w:b/>
          <w:bCs/>
          <w:sz w:val="22"/>
          <w:szCs w:val="22"/>
          <w:lang w:val="es-ES"/>
        </w:rPr>
        <w:t xml:space="preserve">Ampliación de plazo para resolver. </w:t>
      </w:r>
      <w:r w:rsidRPr="00811AFF">
        <w:rPr>
          <w:rFonts w:ascii="Palatino Linotype" w:hAnsi="Palatino Linotype" w:cs="Tahoma"/>
          <w:bCs/>
          <w:sz w:val="22"/>
          <w:szCs w:val="22"/>
          <w:lang w:val="es-ES"/>
        </w:rPr>
        <w:t xml:space="preserve">El </w:t>
      </w:r>
      <w:r w:rsidRPr="003C0EA7">
        <w:rPr>
          <w:rFonts w:ascii="Palatino Linotype" w:hAnsi="Palatino Linotype" w:cs="Tahoma"/>
          <w:bCs/>
          <w:sz w:val="22"/>
          <w:szCs w:val="22"/>
          <w:lang w:val="es-ES"/>
        </w:rPr>
        <w:t xml:space="preserve">cinco de agosto de dos mil </w:t>
      </w:r>
      <w:r w:rsidR="00622A53" w:rsidRPr="003C0EA7">
        <w:rPr>
          <w:rFonts w:ascii="Palatino Linotype" w:hAnsi="Palatino Linotype" w:cs="Tahoma"/>
          <w:bCs/>
          <w:sz w:val="22"/>
          <w:szCs w:val="22"/>
          <w:lang w:val="es-ES"/>
        </w:rPr>
        <w:t>veinticuatro</w:t>
      </w:r>
      <w:r w:rsidRPr="003C0EA7">
        <w:rPr>
          <w:rFonts w:ascii="Palatino Linotype" w:hAnsi="Palatino Linotype" w:cs="Tahoma"/>
          <w:bCs/>
          <w:sz w:val="22"/>
          <w:szCs w:val="22"/>
          <w:lang w:val="es-ES"/>
        </w:rPr>
        <w:t>,</w:t>
      </w:r>
      <w:r w:rsidRPr="00811AFF">
        <w:rPr>
          <w:rFonts w:ascii="Palatino Linotype" w:hAnsi="Palatino Linotype" w:cs="Tahoma"/>
          <w:bCs/>
          <w:sz w:val="22"/>
          <w:szCs w:val="22"/>
          <w:lang w:val="es-ES"/>
        </w:rPr>
        <w:t xml:space="preserve">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r w:rsidR="00622A53">
        <w:rPr>
          <w:rFonts w:ascii="Palatino Linotype" w:hAnsi="Palatino Linotype" w:cs="Tahoma"/>
          <w:bCs/>
          <w:sz w:val="22"/>
          <w:szCs w:val="22"/>
          <w:lang w:val="es-ES"/>
        </w:rPr>
        <w:t xml:space="preserve"> </w:t>
      </w:r>
    </w:p>
    <w:p w14:paraId="0BF6CCFE" w14:textId="77777777" w:rsidR="00811AFF" w:rsidRPr="00811AFF" w:rsidRDefault="00811AFF" w:rsidP="00811AFF">
      <w:pPr>
        <w:spacing w:line="360" w:lineRule="auto"/>
        <w:jc w:val="both"/>
        <w:rPr>
          <w:rFonts w:ascii="Palatino Linotype" w:eastAsia="Calibri" w:hAnsi="Palatino Linotype" w:cs="Tahoma"/>
          <w:b/>
          <w:bCs/>
          <w:color w:val="000000" w:themeColor="text1"/>
          <w:sz w:val="22"/>
          <w:szCs w:val="22"/>
          <w:lang w:eastAsia="en-US"/>
        </w:rPr>
      </w:pPr>
    </w:p>
    <w:p w14:paraId="1622F46F" w14:textId="77777777" w:rsidR="00811AFF" w:rsidRPr="00811AFF" w:rsidRDefault="00811AFF" w:rsidP="00811AFF">
      <w:pPr>
        <w:spacing w:line="360" w:lineRule="auto"/>
        <w:jc w:val="both"/>
        <w:rPr>
          <w:rFonts w:ascii="Palatino Linotype" w:eastAsia="Calibri" w:hAnsi="Palatino Linotype" w:cs="Tahoma"/>
          <w:color w:val="000000" w:themeColor="text1"/>
          <w:sz w:val="22"/>
          <w:szCs w:val="22"/>
          <w:lang w:eastAsia="en-US"/>
        </w:rPr>
      </w:pPr>
      <w:r w:rsidRPr="00811AFF">
        <w:rPr>
          <w:rFonts w:ascii="Palatino Linotype" w:eastAsia="Calibri" w:hAnsi="Palatino Linotype" w:cs="Tahoma"/>
          <w:color w:val="000000" w:themeColor="text1"/>
          <w:sz w:val="22"/>
          <w:szCs w:val="22"/>
          <w:lang w:eastAsia="en-US"/>
        </w:rPr>
        <w:lastRenderedPageBreak/>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5607F6BA" w14:textId="77777777" w:rsidR="00811AFF" w:rsidRPr="00811AFF" w:rsidRDefault="00811AFF" w:rsidP="00811AFF">
      <w:pPr>
        <w:spacing w:line="360" w:lineRule="auto"/>
        <w:jc w:val="both"/>
        <w:rPr>
          <w:rFonts w:ascii="Palatino Linotype" w:eastAsia="Calibri" w:hAnsi="Palatino Linotype" w:cs="Tahoma"/>
          <w:color w:val="000000" w:themeColor="text1"/>
          <w:sz w:val="22"/>
          <w:szCs w:val="22"/>
          <w:lang w:eastAsia="en-US"/>
        </w:rPr>
      </w:pPr>
    </w:p>
    <w:p w14:paraId="0A912473" w14:textId="77777777" w:rsidR="00811AFF" w:rsidRPr="00811AFF" w:rsidRDefault="00811AFF" w:rsidP="00811AFF">
      <w:pPr>
        <w:spacing w:line="360" w:lineRule="auto"/>
        <w:jc w:val="both"/>
        <w:rPr>
          <w:rFonts w:ascii="Palatino Linotype" w:eastAsia="Calibri" w:hAnsi="Palatino Linotype" w:cs="Tahoma"/>
          <w:color w:val="000000" w:themeColor="text1"/>
          <w:sz w:val="22"/>
          <w:szCs w:val="22"/>
          <w:lang w:eastAsia="en-US"/>
        </w:rPr>
      </w:pPr>
      <w:r w:rsidRPr="00811AFF">
        <w:rPr>
          <w:rFonts w:ascii="Palatino Linotype" w:eastAsia="Calibri" w:hAnsi="Palatino Linotype" w:cs="Tahoma"/>
          <w:color w:val="000000" w:themeColor="text1"/>
          <w:sz w:val="22"/>
          <w:szCs w:val="22"/>
          <w:lang w:eastAsia="en-US"/>
        </w:rPr>
        <w:t xml:space="preserve"> 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D30124F" w14:textId="77777777" w:rsidR="00811AFF" w:rsidRPr="00811AFF" w:rsidRDefault="00811AFF" w:rsidP="00811AFF">
      <w:pPr>
        <w:spacing w:line="360" w:lineRule="auto"/>
        <w:jc w:val="both"/>
        <w:rPr>
          <w:rFonts w:ascii="Palatino Linotype" w:eastAsia="Calibri" w:hAnsi="Palatino Linotype" w:cs="Tahoma"/>
          <w:color w:val="000000" w:themeColor="text1"/>
          <w:sz w:val="22"/>
          <w:szCs w:val="22"/>
          <w:lang w:eastAsia="en-US"/>
        </w:rPr>
      </w:pPr>
    </w:p>
    <w:p w14:paraId="383B6C4B" w14:textId="77777777" w:rsidR="00811AFF" w:rsidRPr="00811AFF" w:rsidRDefault="00811AFF" w:rsidP="00811AFF">
      <w:pPr>
        <w:spacing w:line="360" w:lineRule="auto"/>
        <w:jc w:val="both"/>
        <w:rPr>
          <w:rFonts w:ascii="Palatino Linotype" w:eastAsia="Calibri" w:hAnsi="Palatino Linotype" w:cs="Tahoma"/>
          <w:color w:val="000000" w:themeColor="text1"/>
          <w:sz w:val="22"/>
          <w:szCs w:val="22"/>
          <w:lang w:eastAsia="en-US"/>
        </w:rPr>
      </w:pPr>
      <w:r w:rsidRPr="00811AFF">
        <w:rPr>
          <w:rFonts w:ascii="Palatino Linotype" w:eastAsia="Calibri" w:hAnsi="Palatino Linotype" w:cs="Tahoma"/>
          <w:color w:val="000000" w:themeColor="text1"/>
          <w:sz w:val="22"/>
          <w:szCs w:val="22"/>
          <w:lang w:eastAsia="en-US"/>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5AB63C02" w14:textId="77777777" w:rsidR="00811AFF" w:rsidRPr="00811AFF" w:rsidRDefault="00811AFF" w:rsidP="00811AFF">
      <w:pPr>
        <w:spacing w:line="360" w:lineRule="auto"/>
        <w:jc w:val="both"/>
        <w:rPr>
          <w:rFonts w:ascii="Palatino Linotype" w:eastAsia="Calibri" w:hAnsi="Palatino Linotype" w:cs="Tahoma"/>
          <w:color w:val="000000" w:themeColor="text1"/>
          <w:sz w:val="22"/>
          <w:szCs w:val="22"/>
          <w:lang w:eastAsia="en-US"/>
        </w:rPr>
      </w:pPr>
      <w:r w:rsidRPr="00811AFF">
        <w:rPr>
          <w:rFonts w:ascii="Palatino Linotype" w:eastAsia="Calibri" w:hAnsi="Palatino Linotype" w:cs="Tahoma"/>
          <w:color w:val="000000" w:themeColor="text1"/>
          <w:sz w:val="22"/>
          <w:szCs w:val="22"/>
          <w:lang w:eastAsia="en-US"/>
        </w:rPr>
        <w:t xml:space="preserve"> </w:t>
      </w:r>
    </w:p>
    <w:p w14:paraId="1C28EC80"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r w:rsidRPr="00811AFF">
        <w:rPr>
          <w:rFonts w:ascii="Palatino Linotype" w:eastAsia="Calibri" w:hAnsi="Palatino Linotype" w:cs="Tahoma"/>
          <w:bCs/>
          <w:color w:val="000000" w:themeColor="text1"/>
          <w:sz w:val="22"/>
          <w:szCs w:val="22"/>
          <w:lang w:eastAsia="en-US"/>
        </w:rPr>
        <w:t xml:space="preserve">Por ello, excepcionalmente, si un asunto es resuelto con posterioridad a los plazos señalados por la norma debe analizarse la razonabilidad del tiempo necesario para su resolución, atentos a los siguientes criterios:  </w:t>
      </w:r>
    </w:p>
    <w:p w14:paraId="6905A0D2"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r w:rsidRPr="00811AFF">
        <w:rPr>
          <w:rFonts w:ascii="Palatino Linotype" w:eastAsia="Calibri" w:hAnsi="Palatino Linotype" w:cs="Tahoma"/>
          <w:bCs/>
          <w:color w:val="000000" w:themeColor="text1"/>
          <w:sz w:val="22"/>
          <w:szCs w:val="22"/>
          <w:lang w:eastAsia="en-US"/>
        </w:rPr>
        <w:t xml:space="preserve"> </w:t>
      </w:r>
    </w:p>
    <w:p w14:paraId="17F78C95" w14:textId="77777777" w:rsidR="00811AFF" w:rsidRDefault="00811AFF" w:rsidP="00811AFF">
      <w:pPr>
        <w:numPr>
          <w:ilvl w:val="0"/>
          <w:numId w:val="38"/>
        </w:numPr>
        <w:spacing w:after="160" w:line="360" w:lineRule="auto"/>
        <w:contextualSpacing/>
        <w:jc w:val="both"/>
        <w:rPr>
          <w:rFonts w:ascii="Palatino Linotype" w:eastAsia="Palatino Linotype" w:hAnsi="Palatino Linotype" w:cs="Palatino Linotype"/>
          <w:color w:val="000000" w:themeColor="text1"/>
          <w:sz w:val="22"/>
          <w:szCs w:val="24"/>
        </w:rPr>
      </w:pPr>
      <w:r w:rsidRPr="00811AFF">
        <w:rPr>
          <w:rFonts w:ascii="Palatino Linotype" w:eastAsia="Palatino Linotype" w:hAnsi="Palatino Linotype" w:cs="Palatino Linotype"/>
          <w:b/>
          <w:bCs/>
          <w:color w:val="000000" w:themeColor="text1"/>
          <w:sz w:val="22"/>
          <w:szCs w:val="24"/>
        </w:rPr>
        <w:t>Complejidad del asunto:</w:t>
      </w:r>
      <w:r w:rsidRPr="00811AFF">
        <w:rPr>
          <w:rFonts w:ascii="Palatino Linotype" w:eastAsia="Palatino Linotype" w:hAnsi="Palatino Linotype" w:cs="Palatino Linotype"/>
          <w:color w:val="000000" w:themeColor="text1"/>
          <w:sz w:val="22"/>
          <w:szCs w:val="24"/>
        </w:rPr>
        <w:t xml:space="preserve"> La complejidad de la prueba, la pluralidad de sujetos procesales, el tiempo transcurrido, las características y contexto del recurso.</w:t>
      </w:r>
    </w:p>
    <w:p w14:paraId="0003C534" w14:textId="77777777" w:rsidR="004D2055" w:rsidRPr="00811AFF" w:rsidRDefault="004D2055" w:rsidP="004D2055">
      <w:pPr>
        <w:spacing w:after="160" w:line="360" w:lineRule="auto"/>
        <w:ind w:left="720"/>
        <w:contextualSpacing/>
        <w:jc w:val="both"/>
        <w:rPr>
          <w:rFonts w:ascii="Palatino Linotype" w:eastAsia="Palatino Linotype" w:hAnsi="Palatino Linotype" w:cs="Palatino Linotype"/>
          <w:color w:val="000000" w:themeColor="text1"/>
          <w:sz w:val="22"/>
          <w:szCs w:val="24"/>
        </w:rPr>
      </w:pPr>
    </w:p>
    <w:p w14:paraId="0ED8E003" w14:textId="77777777" w:rsidR="00811AFF" w:rsidRDefault="00811AFF" w:rsidP="00811AFF">
      <w:pPr>
        <w:numPr>
          <w:ilvl w:val="0"/>
          <w:numId w:val="38"/>
        </w:numPr>
        <w:spacing w:after="160" w:line="360" w:lineRule="auto"/>
        <w:contextualSpacing/>
        <w:jc w:val="both"/>
        <w:rPr>
          <w:rFonts w:ascii="Palatino Linotype" w:eastAsia="Palatino Linotype" w:hAnsi="Palatino Linotype" w:cs="Palatino Linotype"/>
          <w:color w:val="000000" w:themeColor="text1"/>
          <w:sz w:val="22"/>
          <w:szCs w:val="24"/>
        </w:rPr>
      </w:pPr>
      <w:r w:rsidRPr="00811AFF">
        <w:rPr>
          <w:rFonts w:ascii="Palatino Linotype" w:eastAsia="Palatino Linotype" w:hAnsi="Palatino Linotype" w:cs="Palatino Linotype"/>
          <w:b/>
          <w:bCs/>
          <w:color w:val="000000" w:themeColor="text1"/>
          <w:sz w:val="22"/>
          <w:szCs w:val="24"/>
        </w:rPr>
        <w:t>Actividad Procesal del interesado:</w:t>
      </w:r>
      <w:r w:rsidRPr="00811AFF">
        <w:rPr>
          <w:rFonts w:ascii="Palatino Linotype" w:eastAsia="Palatino Linotype" w:hAnsi="Palatino Linotype" w:cs="Palatino Linotype"/>
          <w:color w:val="000000" w:themeColor="text1"/>
          <w:sz w:val="22"/>
          <w:szCs w:val="24"/>
        </w:rPr>
        <w:t xml:space="preserve"> Acciones u omisiones del interesado.</w:t>
      </w:r>
    </w:p>
    <w:p w14:paraId="44DDACD8" w14:textId="77777777" w:rsidR="004D2055" w:rsidRDefault="004D2055" w:rsidP="004D2055">
      <w:pPr>
        <w:pStyle w:val="Prrafodelista"/>
        <w:rPr>
          <w:rFonts w:ascii="Palatino Linotype" w:eastAsia="Palatino Linotype" w:hAnsi="Palatino Linotype" w:cs="Palatino Linotype"/>
          <w:color w:val="000000" w:themeColor="text1"/>
        </w:rPr>
      </w:pPr>
    </w:p>
    <w:p w14:paraId="2BB11E21" w14:textId="77777777" w:rsidR="004D2055" w:rsidRPr="00811AFF" w:rsidRDefault="004D2055" w:rsidP="004D2055">
      <w:pPr>
        <w:spacing w:after="160" w:line="360" w:lineRule="auto"/>
        <w:ind w:left="720"/>
        <w:contextualSpacing/>
        <w:jc w:val="both"/>
        <w:rPr>
          <w:rFonts w:ascii="Palatino Linotype" w:eastAsia="Palatino Linotype" w:hAnsi="Palatino Linotype" w:cs="Palatino Linotype"/>
          <w:color w:val="000000" w:themeColor="text1"/>
          <w:sz w:val="22"/>
          <w:szCs w:val="24"/>
        </w:rPr>
      </w:pPr>
    </w:p>
    <w:p w14:paraId="31168930" w14:textId="77777777" w:rsidR="00811AFF" w:rsidRDefault="00811AFF" w:rsidP="00811AFF">
      <w:pPr>
        <w:numPr>
          <w:ilvl w:val="0"/>
          <w:numId w:val="38"/>
        </w:numPr>
        <w:spacing w:after="160" w:line="360" w:lineRule="auto"/>
        <w:contextualSpacing/>
        <w:jc w:val="both"/>
        <w:rPr>
          <w:rFonts w:ascii="Palatino Linotype" w:eastAsia="Palatino Linotype" w:hAnsi="Palatino Linotype" w:cs="Palatino Linotype"/>
          <w:color w:val="000000" w:themeColor="text1"/>
          <w:sz w:val="22"/>
          <w:szCs w:val="24"/>
        </w:rPr>
      </w:pPr>
      <w:r w:rsidRPr="00811AFF">
        <w:rPr>
          <w:rFonts w:ascii="Palatino Linotype" w:eastAsia="Palatino Linotype" w:hAnsi="Palatino Linotype" w:cs="Palatino Linotype"/>
          <w:b/>
          <w:bCs/>
          <w:color w:val="000000" w:themeColor="text1"/>
          <w:sz w:val="22"/>
          <w:szCs w:val="24"/>
        </w:rPr>
        <w:t>Conducta de la Autoridad:</w:t>
      </w:r>
      <w:r w:rsidRPr="00811AFF">
        <w:rPr>
          <w:rFonts w:ascii="Palatino Linotype" w:eastAsia="Palatino Linotype" w:hAnsi="Palatino Linotype" w:cs="Palatino Linotype"/>
          <w:color w:val="000000" w:themeColor="text1"/>
          <w:sz w:val="22"/>
          <w:szCs w:val="24"/>
        </w:rPr>
        <w:t xml:space="preserve"> Las Acciones u omisiones realizadas en el procedimiento. Así como si la autoridad actuó con la debida diligencia.</w:t>
      </w:r>
    </w:p>
    <w:p w14:paraId="073CA7A6" w14:textId="77777777" w:rsidR="004D2055" w:rsidRPr="00811AFF" w:rsidRDefault="004D2055" w:rsidP="004D2055">
      <w:pPr>
        <w:spacing w:after="160" w:line="360" w:lineRule="auto"/>
        <w:ind w:left="720"/>
        <w:contextualSpacing/>
        <w:jc w:val="both"/>
        <w:rPr>
          <w:rFonts w:ascii="Palatino Linotype" w:eastAsia="Palatino Linotype" w:hAnsi="Palatino Linotype" w:cs="Palatino Linotype"/>
          <w:color w:val="000000" w:themeColor="text1"/>
          <w:sz w:val="22"/>
          <w:szCs w:val="24"/>
        </w:rPr>
      </w:pPr>
    </w:p>
    <w:p w14:paraId="4899D5D2" w14:textId="77777777" w:rsidR="00811AFF" w:rsidRPr="00811AFF" w:rsidRDefault="00811AFF" w:rsidP="00811AFF">
      <w:pPr>
        <w:numPr>
          <w:ilvl w:val="0"/>
          <w:numId w:val="38"/>
        </w:numPr>
        <w:spacing w:after="160" w:line="360" w:lineRule="auto"/>
        <w:contextualSpacing/>
        <w:jc w:val="both"/>
        <w:rPr>
          <w:rFonts w:ascii="Palatino Linotype" w:eastAsia="Palatino Linotype" w:hAnsi="Palatino Linotype" w:cs="Palatino Linotype"/>
          <w:color w:val="000000" w:themeColor="text1"/>
          <w:sz w:val="22"/>
          <w:szCs w:val="24"/>
        </w:rPr>
      </w:pPr>
      <w:r w:rsidRPr="00811AFF">
        <w:rPr>
          <w:rFonts w:ascii="Palatino Linotype" w:eastAsia="Palatino Linotype" w:hAnsi="Palatino Linotype" w:cs="Palatino Linotype"/>
          <w:b/>
          <w:bCs/>
          <w:color w:val="000000" w:themeColor="text1"/>
          <w:sz w:val="22"/>
          <w:szCs w:val="24"/>
        </w:rPr>
        <w:t xml:space="preserve">La afectación generada en la situación jurídica de la persona involucrada en el proceso: </w:t>
      </w:r>
      <w:r w:rsidRPr="00811AFF">
        <w:rPr>
          <w:rFonts w:ascii="Palatino Linotype" w:eastAsia="Palatino Linotype" w:hAnsi="Palatino Linotype" w:cs="Palatino Linotype"/>
          <w:color w:val="000000" w:themeColor="text1"/>
          <w:sz w:val="22"/>
          <w:szCs w:val="24"/>
        </w:rPr>
        <w:t>Violación a sus derechos humanos.</w:t>
      </w:r>
    </w:p>
    <w:p w14:paraId="50ACBBE5"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p>
    <w:p w14:paraId="0DB11B88"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r w:rsidRPr="00811AFF">
        <w:rPr>
          <w:rFonts w:ascii="Palatino Linotype" w:eastAsia="Calibri" w:hAnsi="Palatino Linotype" w:cs="Tahoma"/>
          <w:bCs/>
          <w:color w:val="000000" w:themeColor="text1"/>
          <w:sz w:val="22"/>
          <w:szCs w:val="22"/>
          <w:lang w:eastAsia="en-US"/>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79F3FD"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r w:rsidRPr="00811AFF">
        <w:rPr>
          <w:rFonts w:ascii="Palatino Linotype" w:eastAsia="Calibri" w:hAnsi="Palatino Linotype" w:cs="Tahoma"/>
          <w:bCs/>
          <w:color w:val="000000" w:themeColor="text1"/>
          <w:sz w:val="22"/>
          <w:szCs w:val="22"/>
          <w:lang w:eastAsia="en-US"/>
        </w:rPr>
        <w:t xml:space="preserve"> </w:t>
      </w:r>
    </w:p>
    <w:p w14:paraId="07922AF9"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r w:rsidRPr="00811AFF">
        <w:rPr>
          <w:rFonts w:ascii="Palatino Linotype" w:eastAsia="Calibri" w:hAnsi="Palatino Linotype" w:cs="Tahoma"/>
          <w:bCs/>
          <w:color w:val="000000" w:themeColor="text1"/>
          <w:sz w:val="22"/>
          <w:szCs w:val="22"/>
          <w:lang w:eastAsia="en-US"/>
        </w:rPr>
        <w:t xml:space="preserve">Argumento que encuentra sustento en la jurisprudencia P./J. 32/92 emitida por el Pleno de la Suprema Corte de Justicia de la Nación de rubro </w:t>
      </w:r>
      <w:r w:rsidRPr="00811AFF">
        <w:rPr>
          <w:rFonts w:ascii="Palatino Linotype" w:eastAsia="Calibri" w:hAnsi="Palatino Linotype" w:cs="Tahoma"/>
          <w:b/>
          <w:color w:val="000000" w:themeColor="text1"/>
          <w:sz w:val="22"/>
          <w:szCs w:val="22"/>
          <w:lang w:eastAsia="en-US"/>
        </w:rPr>
        <w:t>“TÉRMINOS PROCESALES. PARA DETERMINAR SI UN FUNCIONARIO JUDICIAL ACTUÓ INDEBIDAMENTE POR NO RESPETARLOS SE DEBE ATENDER AL PRESUPUESTO QUE CONSIDERÓ EL LEGISLADOR AL FIJARLOS Y LAS CARACTERÍSTICAS DEL CASO.”</w:t>
      </w:r>
      <w:r w:rsidRPr="00811AFF">
        <w:rPr>
          <w:rFonts w:ascii="Palatino Linotype" w:eastAsia="Calibri" w:hAnsi="Palatino Linotype" w:cs="Tahoma"/>
          <w:bCs/>
          <w:color w:val="000000" w:themeColor="text1"/>
          <w:sz w:val="22"/>
          <w:szCs w:val="22"/>
          <w:lang w:eastAsia="en-US"/>
        </w:rPr>
        <w:t>, visible en la Gaceta del Seminario Judicial de la Federación con el registro digital 205635.</w:t>
      </w:r>
    </w:p>
    <w:p w14:paraId="0D8741D1"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r w:rsidRPr="00811AFF">
        <w:rPr>
          <w:rFonts w:ascii="Palatino Linotype" w:eastAsia="Calibri" w:hAnsi="Palatino Linotype" w:cs="Tahoma"/>
          <w:bCs/>
          <w:color w:val="000000" w:themeColor="text1"/>
          <w:sz w:val="22"/>
          <w:szCs w:val="22"/>
          <w:lang w:eastAsia="en-US"/>
        </w:rPr>
        <w:t xml:space="preserve"> </w:t>
      </w:r>
    </w:p>
    <w:p w14:paraId="18F49A9D"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r w:rsidRPr="00811AFF">
        <w:rPr>
          <w:rFonts w:ascii="Palatino Linotype" w:eastAsia="Calibri" w:hAnsi="Palatino Linotype" w:cs="Tahoma"/>
          <w:bCs/>
          <w:color w:val="000000" w:themeColor="text1"/>
          <w:sz w:val="22"/>
          <w:szCs w:val="22"/>
          <w:lang w:eastAsia="en-US"/>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w:t>
      </w:r>
      <w:r w:rsidRPr="00811AFF">
        <w:rPr>
          <w:rFonts w:ascii="Palatino Linotype" w:eastAsia="Calibri" w:hAnsi="Palatino Linotype" w:cs="Tahoma"/>
          <w:bCs/>
          <w:color w:val="000000" w:themeColor="text1"/>
          <w:sz w:val="22"/>
          <w:szCs w:val="22"/>
          <w:lang w:eastAsia="en-US"/>
        </w:rPr>
        <w:lastRenderedPageBreak/>
        <w:t>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ADC2889"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p>
    <w:p w14:paraId="6B0C161D"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r w:rsidRPr="00811AFF">
        <w:rPr>
          <w:rFonts w:ascii="Palatino Linotype" w:eastAsia="Calibri" w:hAnsi="Palatino Linotype" w:cs="Tahoma"/>
          <w:bCs/>
          <w:color w:val="000000" w:themeColor="text1"/>
          <w:sz w:val="22"/>
          <w:szCs w:val="22"/>
          <w:lang w:eastAsia="en-US"/>
        </w:rPr>
        <w:t>Al respecto, también son de considerar los criterios sostenidos por el Cuarto Tribunal Colegiado en Materia Administrativa del Primer Circuito, cuyos rubros y datos de identificación son los siguientes:</w:t>
      </w:r>
    </w:p>
    <w:p w14:paraId="49B94A99"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r w:rsidRPr="00811AFF">
        <w:rPr>
          <w:rFonts w:ascii="Palatino Linotype" w:eastAsia="Calibri" w:hAnsi="Palatino Linotype" w:cs="Tahoma"/>
          <w:bCs/>
          <w:color w:val="000000" w:themeColor="text1"/>
          <w:sz w:val="22"/>
          <w:szCs w:val="22"/>
          <w:lang w:eastAsia="en-US"/>
        </w:rPr>
        <w:t xml:space="preserve"> </w:t>
      </w:r>
    </w:p>
    <w:p w14:paraId="646FB75B"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r w:rsidRPr="00811AFF">
        <w:rPr>
          <w:rFonts w:ascii="Palatino Linotype" w:eastAsia="Calibri" w:hAnsi="Palatino Linotype" w:cs="Tahoma"/>
          <w:b/>
          <w:color w:val="000000" w:themeColor="text1"/>
          <w:sz w:val="22"/>
          <w:szCs w:val="22"/>
          <w:lang w:eastAsia="en-US"/>
        </w:rPr>
        <w:t>“PLAZO RAZONABLE PARA RESOLVER. DIMENSIÓN Y EFECTOS DE ESTE CONCEPTO CUANDO SE ADUCE EXCESIVA CARGA DE TRABAJO.”</w:t>
      </w:r>
      <w:r w:rsidRPr="00811AFF">
        <w:rPr>
          <w:rFonts w:ascii="Palatino Linotype" w:eastAsia="Calibri" w:hAnsi="Palatino Linotype" w:cs="Tahoma"/>
          <w:bCs/>
          <w:color w:val="000000" w:themeColor="text1"/>
          <w:sz w:val="22"/>
          <w:szCs w:val="22"/>
          <w:lang w:eastAsia="en-US"/>
        </w:rPr>
        <w:t xml:space="preserve"> consultable en el Seminario Judicial de la Federación y su gaceta, con el registro digital 2002351.</w:t>
      </w:r>
    </w:p>
    <w:p w14:paraId="2CDA0DDA"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r w:rsidRPr="00811AFF">
        <w:rPr>
          <w:rFonts w:ascii="Palatino Linotype" w:eastAsia="Calibri" w:hAnsi="Palatino Linotype" w:cs="Tahoma"/>
          <w:bCs/>
          <w:color w:val="000000" w:themeColor="text1"/>
          <w:sz w:val="22"/>
          <w:szCs w:val="22"/>
          <w:lang w:eastAsia="en-US"/>
        </w:rPr>
        <w:t xml:space="preserve"> </w:t>
      </w:r>
    </w:p>
    <w:p w14:paraId="44523E56"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r w:rsidRPr="00811AFF">
        <w:rPr>
          <w:rFonts w:ascii="Palatino Linotype" w:eastAsia="Calibri" w:hAnsi="Palatino Linotype" w:cs="Tahoma"/>
          <w:b/>
          <w:color w:val="000000" w:themeColor="text1"/>
          <w:sz w:val="22"/>
          <w:szCs w:val="22"/>
          <w:lang w:eastAsia="en-US"/>
        </w:rPr>
        <w:t>“PLAZO RAZONABLE PARA RESOLVER. CONCEPTO Y ELEMENTOS QUE LO INTEGRAN A LA LUZ DEL DERECHO INTERNACIONAL DE LOS DERECHOS HUMANOS.”</w:t>
      </w:r>
      <w:r w:rsidRPr="00811AFF">
        <w:rPr>
          <w:rFonts w:ascii="Palatino Linotype" w:eastAsia="Calibri" w:hAnsi="Palatino Linotype" w:cs="Tahoma"/>
          <w:bCs/>
          <w:color w:val="000000" w:themeColor="text1"/>
          <w:sz w:val="22"/>
          <w:szCs w:val="22"/>
          <w:lang w:eastAsia="en-US"/>
        </w:rPr>
        <w:t>, visible en el Seminario Judicial de la Federación y su gaceta, con el registro digital 2002350.</w:t>
      </w:r>
    </w:p>
    <w:p w14:paraId="222E306D"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p>
    <w:p w14:paraId="61048E80" w14:textId="77777777" w:rsidR="00811AFF" w:rsidRPr="00811AFF" w:rsidRDefault="00811AFF" w:rsidP="00811AFF">
      <w:pPr>
        <w:spacing w:line="360" w:lineRule="auto"/>
        <w:jc w:val="both"/>
        <w:rPr>
          <w:rFonts w:ascii="Palatino Linotype" w:eastAsia="Calibri" w:hAnsi="Palatino Linotype" w:cs="Tahoma"/>
          <w:bCs/>
          <w:color w:val="000000" w:themeColor="text1"/>
          <w:sz w:val="22"/>
          <w:szCs w:val="22"/>
          <w:lang w:eastAsia="en-US"/>
        </w:rPr>
      </w:pPr>
      <w:r w:rsidRPr="00811AFF">
        <w:rPr>
          <w:rFonts w:ascii="Palatino Linotype" w:eastAsia="Calibri" w:hAnsi="Palatino Linotype" w:cs="Tahoma"/>
          <w:bCs/>
          <w:color w:val="000000" w:themeColor="text1"/>
          <w:sz w:val="22"/>
          <w:szCs w:val="22"/>
          <w:lang w:eastAsia="en-US"/>
        </w:rPr>
        <w:t>Por ello, este organismo garante comprometido con la tutela de los derechos humanos confiados, señala que este exceso del plazo legal para resolver el presente asunto, resulta de carácter excepcional.</w:t>
      </w:r>
    </w:p>
    <w:p w14:paraId="06DBBA97" w14:textId="77777777" w:rsidR="00811AFF" w:rsidRPr="00811AFF" w:rsidRDefault="00811AFF" w:rsidP="00811AFF">
      <w:pPr>
        <w:widowControl w:val="0"/>
        <w:spacing w:line="360" w:lineRule="auto"/>
        <w:ind w:right="567"/>
        <w:contextualSpacing/>
        <w:jc w:val="both"/>
        <w:rPr>
          <w:rFonts w:ascii="Palatino Linotype" w:hAnsi="Palatino Linotype"/>
          <w:i/>
          <w:iCs/>
          <w:sz w:val="22"/>
          <w:szCs w:val="24"/>
        </w:rPr>
      </w:pPr>
    </w:p>
    <w:p w14:paraId="3691F086" w14:textId="1A9AFAF1" w:rsidR="00811AFF" w:rsidRPr="00811AFF" w:rsidRDefault="00811AFF" w:rsidP="00811AFF">
      <w:pPr>
        <w:widowControl w:val="0"/>
        <w:spacing w:line="360" w:lineRule="auto"/>
        <w:jc w:val="both"/>
        <w:rPr>
          <w:rFonts w:ascii="Palatino Linotype" w:hAnsi="Palatino Linotype"/>
          <w:bCs/>
          <w:sz w:val="22"/>
          <w:szCs w:val="22"/>
          <w:lang w:val="es-ES_tradnl"/>
        </w:rPr>
      </w:pPr>
      <w:r w:rsidRPr="00811AFF">
        <w:rPr>
          <w:rFonts w:ascii="Palatino Linotype" w:hAnsi="Palatino Linotype"/>
          <w:b/>
          <w:sz w:val="22"/>
          <w:szCs w:val="22"/>
          <w:lang w:val="es-ES_tradnl"/>
        </w:rPr>
        <w:t>e) Vista del Informe Justificado.</w:t>
      </w:r>
      <w:r w:rsidRPr="00811AFF">
        <w:rPr>
          <w:rFonts w:ascii="Palatino Linotype" w:hAnsi="Palatino Linotype"/>
          <w:bCs/>
          <w:sz w:val="22"/>
          <w:szCs w:val="22"/>
          <w:lang w:val="es-ES_tradnl"/>
        </w:rPr>
        <w:t xml:space="preserve"> El </w:t>
      </w:r>
      <w:r w:rsidR="00382B72">
        <w:rPr>
          <w:rFonts w:ascii="Palatino Linotype" w:hAnsi="Palatino Linotype"/>
          <w:bCs/>
          <w:sz w:val="22"/>
          <w:szCs w:val="22"/>
          <w:lang w:val="es-ES_tradnl"/>
        </w:rPr>
        <w:t>veinticuatro de septiembre</w:t>
      </w:r>
      <w:r w:rsidRPr="00811AFF">
        <w:rPr>
          <w:rFonts w:ascii="Palatino Linotype" w:hAnsi="Palatino Linotype"/>
          <w:bCs/>
          <w:sz w:val="22"/>
          <w:szCs w:val="22"/>
          <w:lang w:val="es-ES_tradnl"/>
        </w:rPr>
        <w:t xml:space="preserve"> de dos mil veint</w:t>
      </w:r>
      <w:r w:rsidR="00382B72">
        <w:rPr>
          <w:rFonts w:ascii="Palatino Linotype" w:hAnsi="Palatino Linotype"/>
          <w:bCs/>
          <w:sz w:val="22"/>
          <w:szCs w:val="22"/>
          <w:lang w:val="es-ES_tradnl"/>
        </w:rPr>
        <w:t>icuatro</w:t>
      </w:r>
      <w:r w:rsidRPr="00811AFF">
        <w:rPr>
          <w:rFonts w:ascii="Palatino Linotype" w:hAnsi="Palatino Linotype"/>
          <w:bCs/>
          <w:sz w:val="22"/>
          <w:szCs w:val="22"/>
          <w:lang w:val="es-ES_tradnl"/>
        </w:rPr>
        <w:t xml:space="preserve">, se dictó acuerdo mediante el cual se puso a la vista del Particular el Informe Justificado, entregado por el Sujeto Obligado, para robustecer su respuesta inicial, el cual fue notificado a las partes el mismo día, mes y año, a través del Sistema de Acceso a la Información Mexiquense </w:t>
      </w:r>
      <w:r w:rsidRPr="00811AFF">
        <w:rPr>
          <w:rFonts w:ascii="Palatino Linotype" w:hAnsi="Palatino Linotype"/>
          <w:bCs/>
          <w:sz w:val="22"/>
          <w:szCs w:val="22"/>
          <w:lang w:val="es-ES_tradnl"/>
        </w:rPr>
        <w:lastRenderedPageBreak/>
        <w:t xml:space="preserve">(SAIMEX). </w:t>
      </w:r>
      <w:r w:rsidRPr="00811AFF">
        <w:rPr>
          <w:rFonts w:ascii="Palatino Linotype" w:hAnsi="Palatino Linotype"/>
          <w:b/>
          <w:sz w:val="22"/>
          <w:szCs w:val="22"/>
          <w:lang w:val="es-ES_tradnl"/>
        </w:rPr>
        <w:t>Cabe señalar que el Recurrente fue omiso en realizar alguna manifestación que a su derecho conviniera y asistiera.</w:t>
      </w:r>
      <w:r w:rsidRPr="00811AFF">
        <w:rPr>
          <w:rFonts w:ascii="Palatino Linotype" w:hAnsi="Palatino Linotype"/>
          <w:bCs/>
          <w:sz w:val="22"/>
          <w:szCs w:val="22"/>
          <w:lang w:val="es-ES_tradnl"/>
        </w:rPr>
        <w:t xml:space="preserve"> </w:t>
      </w:r>
    </w:p>
    <w:p w14:paraId="2E80D071" w14:textId="77777777" w:rsidR="001B2EB8" w:rsidRPr="0025691E" w:rsidRDefault="001B2EB8" w:rsidP="00CE18C8">
      <w:pPr>
        <w:spacing w:line="360" w:lineRule="auto"/>
        <w:jc w:val="both"/>
        <w:rPr>
          <w:rFonts w:ascii="Palatino Linotype" w:hAnsi="Palatino Linotype" w:cs="Tahoma"/>
          <w:sz w:val="22"/>
          <w:szCs w:val="22"/>
        </w:rPr>
      </w:pPr>
    </w:p>
    <w:p w14:paraId="73BBE7E1" w14:textId="7BF49FAB" w:rsidR="00CE18C8" w:rsidRPr="003C0EA7" w:rsidRDefault="001B2EB8" w:rsidP="00CE18C8">
      <w:pPr>
        <w:spacing w:line="360" w:lineRule="auto"/>
        <w:jc w:val="both"/>
        <w:rPr>
          <w:rFonts w:ascii="Palatino Linotype" w:hAnsi="Palatino Linotype" w:cs="Tahoma"/>
          <w:sz w:val="22"/>
          <w:szCs w:val="22"/>
        </w:rPr>
      </w:pPr>
      <w:r w:rsidRPr="003C0EA7">
        <w:rPr>
          <w:rFonts w:ascii="Palatino Linotype" w:hAnsi="Palatino Linotype" w:cs="Tahoma"/>
          <w:b/>
          <w:sz w:val="22"/>
          <w:szCs w:val="22"/>
        </w:rPr>
        <w:t>f)</w:t>
      </w:r>
      <w:r w:rsidR="00CE18C8" w:rsidRPr="003C0EA7">
        <w:rPr>
          <w:rFonts w:ascii="Palatino Linotype" w:hAnsi="Palatino Linotype" w:cs="Tahoma"/>
          <w:b/>
          <w:sz w:val="22"/>
          <w:szCs w:val="22"/>
        </w:rPr>
        <w:t xml:space="preserve"> Consulta a la Dirección General de Transparencia, Acceso a la Información Pública y Gobierno Abierto. </w:t>
      </w:r>
      <w:r w:rsidR="00CE18C8" w:rsidRPr="003C0EA7">
        <w:rPr>
          <w:rFonts w:ascii="Palatino Linotype" w:hAnsi="Palatino Linotype" w:cs="Tahoma"/>
          <w:sz w:val="22"/>
          <w:szCs w:val="22"/>
        </w:rPr>
        <w:t xml:space="preserve">El </w:t>
      </w:r>
      <w:r w:rsidR="003C0EA7" w:rsidRPr="003C0EA7">
        <w:rPr>
          <w:rFonts w:ascii="Palatino Linotype" w:hAnsi="Palatino Linotype" w:cs="Tahoma"/>
          <w:sz w:val="22"/>
          <w:szCs w:val="22"/>
        </w:rPr>
        <w:t>dos de octubre</w:t>
      </w:r>
      <w:r w:rsidR="00CE18C8" w:rsidRPr="003C0EA7">
        <w:rPr>
          <w:rFonts w:ascii="Palatino Linotype" w:hAnsi="Palatino Linotype" w:cs="Tahoma"/>
          <w:sz w:val="22"/>
          <w:szCs w:val="22"/>
        </w:rPr>
        <w:t xml:space="preserve"> de dos mil veint</w:t>
      </w:r>
      <w:r w:rsidR="00E04FB9" w:rsidRPr="003C0EA7">
        <w:rPr>
          <w:rFonts w:ascii="Palatino Linotype" w:hAnsi="Palatino Linotype" w:cs="Tahoma"/>
          <w:sz w:val="22"/>
          <w:szCs w:val="22"/>
        </w:rPr>
        <w:t>icuatro</w:t>
      </w:r>
      <w:r w:rsidR="00CE18C8" w:rsidRPr="003C0EA7">
        <w:rPr>
          <w:rFonts w:ascii="Palatino Linotype" w:hAnsi="Palatino Linotype" w:cs="Tahoma"/>
          <w:sz w:val="22"/>
          <w:szCs w:val="22"/>
        </w:rPr>
        <w:t xml:space="preserve">, a través de correo electrónico institucional, la Coordinadora de Proyectos de la Ponencia del Comisionado Ponente, realizó una consulta a la Dirección General de Transparencia, Acceso a la Información Pública y Gobierno Abierto, a efecto de que precisará </w:t>
      </w:r>
      <w:r w:rsidR="003C0EA7" w:rsidRPr="003C0EA7">
        <w:rPr>
          <w:rFonts w:ascii="Palatino Linotype" w:hAnsi="Palatino Linotype" w:cs="Tahoma"/>
          <w:sz w:val="22"/>
          <w:szCs w:val="22"/>
        </w:rPr>
        <w:t>si únicamente emit</w:t>
      </w:r>
      <w:r w:rsidR="00BF1587">
        <w:rPr>
          <w:rFonts w:ascii="Palatino Linotype" w:hAnsi="Palatino Linotype" w:cs="Tahoma"/>
          <w:sz w:val="22"/>
          <w:szCs w:val="22"/>
        </w:rPr>
        <w:t>ía</w:t>
      </w:r>
      <w:r w:rsidR="003C0EA7" w:rsidRPr="003C0EA7">
        <w:rPr>
          <w:rFonts w:ascii="Palatino Linotype" w:hAnsi="Palatino Linotype" w:cs="Tahoma"/>
          <w:sz w:val="22"/>
          <w:szCs w:val="22"/>
        </w:rPr>
        <w:t xml:space="preserve">n los Dictámenes para Determinar el Reconocimiento de Prácticas de Transparencia Proactiva u otro tipo de dictamen y </w:t>
      </w:r>
      <w:r w:rsidR="008340C0" w:rsidRPr="003C0EA7">
        <w:rPr>
          <w:rFonts w:ascii="Palatino Linotype" w:hAnsi="Palatino Linotype" w:cs="Tahoma"/>
          <w:sz w:val="22"/>
          <w:szCs w:val="22"/>
        </w:rPr>
        <w:t>cuáles</w:t>
      </w:r>
      <w:r w:rsidR="003C0EA7" w:rsidRPr="003C0EA7">
        <w:rPr>
          <w:rFonts w:ascii="Palatino Linotype" w:hAnsi="Palatino Linotype" w:cs="Tahoma"/>
          <w:sz w:val="22"/>
          <w:szCs w:val="22"/>
        </w:rPr>
        <w:t xml:space="preserve"> han sido los dictámenes </w:t>
      </w:r>
      <w:r w:rsidR="00CE18C8" w:rsidRPr="003C0EA7">
        <w:rPr>
          <w:rFonts w:ascii="Palatino Linotype" w:hAnsi="Palatino Linotype" w:cs="Tahoma"/>
          <w:sz w:val="22"/>
          <w:szCs w:val="22"/>
        </w:rPr>
        <w:t xml:space="preserve">entregados </w:t>
      </w:r>
      <w:r w:rsidR="003C0EA7" w:rsidRPr="003C0EA7">
        <w:rPr>
          <w:rFonts w:ascii="Palatino Linotype" w:hAnsi="Palatino Linotype" w:cs="Tahoma"/>
          <w:sz w:val="22"/>
          <w:szCs w:val="22"/>
        </w:rPr>
        <w:t>a</w:t>
      </w:r>
      <w:r w:rsidR="00BF1587">
        <w:rPr>
          <w:rFonts w:ascii="Palatino Linotype" w:hAnsi="Palatino Linotype" w:cs="Tahoma"/>
          <w:sz w:val="22"/>
          <w:szCs w:val="22"/>
        </w:rPr>
        <w:t>l</w:t>
      </w:r>
      <w:r w:rsidR="003C0EA7" w:rsidRPr="003C0EA7">
        <w:rPr>
          <w:rFonts w:ascii="Palatino Linotype" w:hAnsi="Palatino Linotype" w:cs="Tahoma"/>
          <w:sz w:val="22"/>
          <w:szCs w:val="22"/>
        </w:rPr>
        <w:t xml:space="preserve"> </w:t>
      </w:r>
      <w:r w:rsidR="00CE18C8" w:rsidRPr="003C0EA7">
        <w:rPr>
          <w:rFonts w:ascii="Palatino Linotype" w:hAnsi="Palatino Linotype" w:cs="Tahoma"/>
          <w:sz w:val="22"/>
          <w:szCs w:val="22"/>
        </w:rPr>
        <w:t xml:space="preserve"> Sujeto Obligado.</w:t>
      </w:r>
    </w:p>
    <w:p w14:paraId="607AE451" w14:textId="77777777" w:rsidR="00B03EDE" w:rsidRPr="00382B72" w:rsidRDefault="00B03EDE" w:rsidP="00CE18C8">
      <w:pPr>
        <w:spacing w:line="360" w:lineRule="auto"/>
        <w:jc w:val="both"/>
        <w:rPr>
          <w:rFonts w:ascii="Palatino Linotype" w:hAnsi="Palatino Linotype" w:cs="Tahoma"/>
          <w:sz w:val="22"/>
          <w:szCs w:val="22"/>
          <w:highlight w:val="yellow"/>
        </w:rPr>
      </w:pPr>
    </w:p>
    <w:p w14:paraId="351CD995" w14:textId="1472CDF4" w:rsidR="001B2EB8" w:rsidRPr="0025691E" w:rsidRDefault="001B2EB8" w:rsidP="00CE18C8">
      <w:pPr>
        <w:spacing w:line="360" w:lineRule="auto"/>
        <w:jc w:val="both"/>
        <w:rPr>
          <w:rFonts w:ascii="Palatino Linotype" w:hAnsi="Palatino Linotype" w:cs="Tahoma"/>
          <w:sz w:val="22"/>
          <w:szCs w:val="22"/>
        </w:rPr>
      </w:pPr>
      <w:r w:rsidRPr="00EF5876">
        <w:rPr>
          <w:rFonts w:ascii="Palatino Linotype" w:hAnsi="Palatino Linotype" w:cs="Tahoma"/>
          <w:b/>
          <w:sz w:val="22"/>
          <w:szCs w:val="22"/>
        </w:rPr>
        <w:t xml:space="preserve">g) </w:t>
      </w:r>
      <w:r w:rsidR="00CE18C8" w:rsidRPr="00EF5876">
        <w:rPr>
          <w:rFonts w:ascii="Palatino Linotype" w:hAnsi="Palatino Linotype" w:cs="Tahoma"/>
          <w:b/>
          <w:sz w:val="22"/>
          <w:szCs w:val="22"/>
        </w:rPr>
        <w:t xml:space="preserve">Respuesta de la Dirección General de Transparencia, Acceso a la Información Pública y Gobierno Abierto. </w:t>
      </w:r>
      <w:r w:rsidR="00CE18C8" w:rsidRPr="00EF5876">
        <w:rPr>
          <w:rFonts w:ascii="Palatino Linotype" w:hAnsi="Palatino Linotype" w:cs="Tahoma"/>
          <w:sz w:val="22"/>
          <w:szCs w:val="22"/>
        </w:rPr>
        <w:t xml:space="preserve">El </w:t>
      </w:r>
      <w:r w:rsidR="00EF5876">
        <w:rPr>
          <w:rFonts w:ascii="Palatino Linotype" w:hAnsi="Palatino Linotype" w:cs="Tahoma"/>
          <w:sz w:val="22"/>
          <w:szCs w:val="22"/>
        </w:rPr>
        <w:t>tres de octubre</w:t>
      </w:r>
      <w:r w:rsidR="00CE18C8" w:rsidRPr="00EF5876">
        <w:rPr>
          <w:rFonts w:ascii="Palatino Linotype" w:hAnsi="Palatino Linotype" w:cs="Tahoma"/>
          <w:sz w:val="22"/>
          <w:szCs w:val="22"/>
        </w:rPr>
        <w:t xml:space="preserve"> de dos mil veintitrés, se recibió la respuesta a la consulta referida en el antecedente IV, inciso f, por medio de correo electrónico, por medio del cual precisó los </w:t>
      </w:r>
      <w:r w:rsidR="003C0EA7" w:rsidRPr="00EF5876">
        <w:rPr>
          <w:rFonts w:ascii="Palatino Linotype" w:hAnsi="Palatino Linotype" w:cs="Tahoma"/>
          <w:sz w:val="22"/>
          <w:szCs w:val="22"/>
        </w:rPr>
        <w:t xml:space="preserve">dictámenes que generaban y los registros del </w:t>
      </w:r>
      <w:r w:rsidR="00EF5876" w:rsidRPr="00EF5876">
        <w:rPr>
          <w:rFonts w:ascii="Palatino Linotype" w:hAnsi="Palatino Linotype" w:cs="Tahoma"/>
          <w:sz w:val="22"/>
          <w:szCs w:val="22"/>
        </w:rPr>
        <w:t>Ayuntamiento de Toluca en los que participó</w:t>
      </w:r>
      <w:r w:rsidR="00EF5876">
        <w:rPr>
          <w:rFonts w:ascii="Palatino Linotype" w:hAnsi="Palatino Linotype" w:cs="Tahoma"/>
          <w:sz w:val="22"/>
          <w:szCs w:val="22"/>
        </w:rPr>
        <w:t xml:space="preserve">. </w:t>
      </w:r>
    </w:p>
    <w:p w14:paraId="1D59AD5D" w14:textId="77777777" w:rsidR="001B2EB8" w:rsidRDefault="001B2EB8" w:rsidP="00CE18C8">
      <w:pPr>
        <w:spacing w:line="360" w:lineRule="auto"/>
        <w:jc w:val="both"/>
        <w:rPr>
          <w:rFonts w:ascii="Palatino Linotype" w:hAnsi="Palatino Linotype" w:cs="Tahoma"/>
          <w:b/>
          <w:sz w:val="22"/>
          <w:szCs w:val="22"/>
        </w:rPr>
      </w:pPr>
    </w:p>
    <w:p w14:paraId="61E797F7" w14:textId="68C137CD" w:rsidR="003C0EA7" w:rsidRPr="0025691E" w:rsidRDefault="003C0EA7" w:rsidP="003C0EA7">
      <w:pPr>
        <w:spacing w:line="360" w:lineRule="auto"/>
        <w:jc w:val="both"/>
        <w:rPr>
          <w:rFonts w:ascii="Palatino Linotype" w:hAnsi="Palatino Linotype" w:cs="Tahoma"/>
          <w:sz w:val="22"/>
          <w:szCs w:val="22"/>
        </w:rPr>
      </w:pPr>
      <w:r>
        <w:rPr>
          <w:rFonts w:ascii="Palatino Linotype" w:hAnsi="Palatino Linotype" w:cs="Tahoma"/>
          <w:b/>
          <w:sz w:val="22"/>
          <w:szCs w:val="22"/>
        </w:rPr>
        <w:t>h</w:t>
      </w:r>
      <w:r w:rsidRPr="0025691E">
        <w:rPr>
          <w:rFonts w:ascii="Palatino Linotype" w:hAnsi="Palatino Linotype" w:cs="Tahoma"/>
          <w:b/>
          <w:sz w:val="22"/>
          <w:szCs w:val="22"/>
        </w:rPr>
        <w:t>) Cierre de instrucción.</w:t>
      </w:r>
      <w:r w:rsidRPr="0025691E">
        <w:rPr>
          <w:rFonts w:ascii="Palatino Linotype" w:hAnsi="Palatino Linotype" w:cs="Tahoma"/>
          <w:sz w:val="22"/>
          <w:szCs w:val="22"/>
        </w:rPr>
        <w:t xml:space="preserve"> </w:t>
      </w:r>
      <w:r w:rsidRPr="00C220AD">
        <w:rPr>
          <w:rFonts w:ascii="Palatino Linotype" w:hAnsi="Palatino Linotype" w:cs="Tahoma"/>
          <w:sz w:val="22"/>
          <w:szCs w:val="22"/>
        </w:rPr>
        <w:t xml:space="preserve">El </w:t>
      </w:r>
      <w:r w:rsidR="00EF5876" w:rsidRPr="00C220AD">
        <w:rPr>
          <w:rFonts w:ascii="Palatino Linotype" w:hAnsi="Palatino Linotype" w:cs="Tahoma"/>
          <w:sz w:val="22"/>
          <w:szCs w:val="22"/>
          <w:lang w:val="es-ES"/>
        </w:rPr>
        <w:t>ocho de octubre</w:t>
      </w:r>
      <w:r w:rsidRPr="00C220AD">
        <w:rPr>
          <w:rFonts w:ascii="Palatino Linotype" w:hAnsi="Palatino Linotype" w:cs="Tahoma"/>
          <w:sz w:val="22"/>
          <w:szCs w:val="22"/>
          <w:lang w:val="es-ES"/>
        </w:rPr>
        <w:t xml:space="preserve"> de dos mil veinticuatro</w:t>
      </w:r>
      <w:r w:rsidRPr="00C220AD">
        <w:rPr>
          <w:rFonts w:ascii="Palatino Linotype" w:hAnsi="Palatino Linotype" w:cs="Tahoma"/>
          <w:sz w:val="22"/>
          <w:szCs w:val="22"/>
        </w:rPr>
        <w:t>,</w:t>
      </w:r>
      <w:r w:rsidRPr="0025691E">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25691E">
        <w:rPr>
          <w:rFonts w:ascii="Palatino Linotype" w:hAnsi="Palatino Linotype" w:cs="Tahoma"/>
          <w:sz w:val="22"/>
          <w:szCs w:val="22"/>
          <w:lang w:val="es-ES"/>
        </w:rPr>
        <w:t>Sistema de Acceso a la Información Mexiquense (SAIMEX)</w:t>
      </w:r>
      <w:r w:rsidRPr="0025691E">
        <w:rPr>
          <w:rFonts w:ascii="Palatino Linotype" w:hAnsi="Palatino Linotype" w:cs="Tahoma"/>
          <w:sz w:val="22"/>
          <w:szCs w:val="22"/>
        </w:rPr>
        <w:t>.</w:t>
      </w:r>
    </w:p>
    <w:p w14:paraId="5B9E45C6" w14:textId="77777777" w:rsidR="003C0EA7" w:rsidRPr="0025691E" w:rsidRDefault="003C0EA7" w:rsidP="00CE18C8">
      <w:pPr>
        <w:spacing w:line="360" w:lineRule="auto"/>
        <w:jc w:val="both"/>
        <w:rPr>
          <w:rFonts w:ascii="Palatino Linotype" w:hAnsi="Palatino Linotype" w:cs="Tahoma"/>
          <w:b/>
          <w:sz w:val="22"/>
          <w:szCs w:val="22"/>
        </w:rPr>
      </w:pPr>
    </w:p>
    <w:p w14:paraId="435583AA" w14:textId="072F9E93" w:rsidR="00B03EDE" w:rsidRPr="0025691E" w:rsidRDefault="00B03EDE" w:rsidP="00CE18C8">
      <w:pPr>
        <w:spacing w:line="360" w:lineRule="auto"/>
        <w:jc w:val="both"/>
        <w:rPr>
          <w:rFonts w:ascii="Palatino Linotype" w:hAnsi="Palatino Linotype" w:cs="Tahoma"/>
          <w:color w:val="000000"/>
          <w:sz w:val="22"/>
          <w:szCs w:val="22"/>
        </w:rPr>
      </w:pPr>
      <w:r w:rsidRPr="0025691E">
        <w:rPr>
          <w:rFonts w:ascii="Palatino Linotype" w:hAnsi="Palatino Linotype" w:cs="Tahoma"/>
          <w:color w:val="000000"/>
          <w:sz w:val="22"/>
          <w:szCs w:val="22"/>
        </w:rPr>
        <w:t xml:space="preserve">En razón de que fue debidamente sustanciado e integrado el expediente electrónico y no existe diligencia pendiente de desahogo, se emite la resolución que conforme a Derecho proceda, de acuerdo a los siguientes: </w:t>
      </w:r>
    </w:p>
    <w:p w14:paraId="2F5EBCC6" w14:textId="77777777" w:rsidR="00EF6D8F" w:rsidRPr="0025691E" w:rsidRDefault="00EF6D8F" w:rsidP="00CE18C8">
      <w:pPr>
        <w:spacing w:line="360" w:lineRule="auto"/>
        <w:jc w:val="both"/>
        <w:rPr>
          <w:rFonts w:ascii="Palatino Linotype" w:hAnsi="Palatino Linotype" w:cs="Tahoma"/>
          <w:color w:val="000000"/>
          <w:sz w:val="22"/>
          <w:szCs w:val="22"/>
        </w:rPr>
      </w:pPr>
    </w:p>
    <w:p w14:paraId="49591973" w14:textId="273C9ED1" w:rsidR="005F04C9" w:rsidRPr="0025691E" w:rsidRDefault="005F04C9" w:rsidP="00CE18C8">
      <w:pPr>
        <w:spacing w:line="360" w:lineRule="auto"/>
        <w:jc w:val="center"/>
        <w:rPr>
          <w:rFonts w:ascii="Palatino Linotype" w:hAnsi="Palatino Linotype" w:cs="Tahoma"/>
          <w:b/>
          <w:sz w:val="22"/>
          <w:szCs w:val="22"/>
          <w:lang w:val="es-ES"/>
        </w:rPr>
      </w:pPr>
      <w:r w:rsidRPr="0025691E">
        <w:rPr>
          <w:rFonts w:ascii="Palatino Linotype" w:hAnsi="Palatino Linotype" w:cs="Tahoma"/>
          <w:b/>
          <w:sz w:val="22"/>
          <w:szCs w:val="22"/>
          <w:lang w:val="es-ES"/>
        </w:rPr>
        <w:t>C O N S I D E R A N D O S</w:t>
      </w:r>
    </w:p>
    <w:p w14:paraId="7A323434" w14:textId="77777777" w:rsidR="005F04C9" w:rsidRPr="0025691E" w:rsidRDefault="005F04C9" w:rsidP="00CE18C8">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7309B084" w14:textId="5BA57B23" w:rsidR="005F04C9" w:rsidRPr="0025691E" w:rsidRDefault="005F04C9" w:rsidP="00CE18C8">
      <w:pPr>
        <w:autoSpaceDE w:val="0"/>
        <w:autoSpaceDN w:val="0"/>
        <w:adjustRightInd w:val="0"/>
        <w:spacing w:line="360" w:lineRule="auto"/>
        <w:jc w:val="both"/>
        <w:rPr>
          <w:rFonts w:ascii="Palatino Linotype" w:hAnsi="Palatino Linotype" w:cs="Tahoma"/>
          <w:b/>
          <w:sz w:val="22"/>
          <w:szCs w:val="22"/>
          <w:lang w:val="es-ES"/>
        </w:rPr>
      </w:pPr>
      <w:r w:rsidRPr="0025691E">
        <w:rPr>
          <w:rFonts w:ascii="Palatino Linotype" w:eastAsia="Calibri" w:hAnsi="Palatino Linotype" w:cs="Tahoma"/>
          <w:b/>
          <w:color w:val="000000"/>
          <w:sz w:val="22"/>
          <w:szCs w:val="22"/>
          <w:lang w:val="es-ES" w:eastAsia="es-MX"/>
        </w:rPr>
        <w:t>PRIMERO</w:t>
      </w:r>
      <w:r w:rsidRPr="0025691E">
        <w:rPr>
          <w:rFonts w:ascii="Palatino Linotype" w:eastAsia="Calibri" w:hAnsi="Palatino Linotype" w:cs="Tahoma"/>
          <w:color w:val="000000"/>
          <w:sz w:val="22"/>
          <w:szCs w:val="22"/>
          <w:lang w:val="es-ES" w:eastAsia="es-MX"/>
        </w:rPr>
        <w:t xml:space="preserve">. </w:t>
      </w:r>
      <w:r w:rsidRPr="0025691E">
        <w:rPr>
          <w:rFonts w:ascii="Palatino Linotype" w:hAnsi="Palatino Linotype" w:cs="Tahoma"/>
          <w:b/>
          <w:sz w:val="22"/>
          <w:szCs w:val="22"/>
          <w:lang w:val="es-ES"/>
        </w:rPr>
        <w:t>Competencia</w:t>
      </w:r>
    </w:p>
    <w:p w14:paraId="55C59B15" w14:textId="77777777" w:rsidR="005F04C9" w:rsidRPr="0025691E" w:rsidRDefault="005F04C9" w:rsidP="00CE18C8">
      <w:pPr>
        <w:autoSpaceDE w:val="0"/>
        <w:autoSpaceDN w:val="0"/>
        <w:adjustRightInd w:val="0"/>
        <w:spacing w:line="360" w:lineRule="auto"/>
        <w:jc w:val="both"/>
        <w:rPr>
          <w:rFonts w:ascii="Palatino Linotype" w:hAnsi="Palatino Linotype" w:cs="Tahoma"/>
          <w:b/>
          <w:sz w:val="22"/>
          <w:szCs w:val="22"/>
          <w:lang w:val="es-ES"/>
        </w:rPr>
      </w:pPr>
    </w:p>
    <w:p w14:paraId="3E46BB8C" w14:textId="77777777" w:rsidR="00A237E1" w:rsidRPr="00BC69DD" w:rsidRDefault="00A237E1" w:rsidP="00A237E1">
      <w:pPr>
        <w:spacing w:line="360" w:lineRule="auto"/>
        <w:jc w:val="both"/>
        <w:rPr>
          <w:rFonts w:ascii="Palatino Linotype" w:eastAsia="Palatino Linotype" w:hAnsi="Palatino Linotype" w:cs="Palatino Linotype"/>
          <w:color w:val="000000"/>
          <w:sz w:val="22"/>
          <w:szCs w:val="22"/>
          <w:lang w:eastAsia="es-MX"/>
        </w:rPr>
      </w:pPr>
      <w:r w:rsidRPr="00BC69DD">
        <w:rPr>
          <w:rFonts w:ascii="Palatino Linotype" w:eastAsia="Palatino Linotype" w:hAnsi="Palatino Linotype" w:cs="Palatino Linotype"/>
          <w:color w:val="000000"/>
          <w:sz w:val="22"/>
          <w:szCs w:val="22"/>
          <w:lang w:eastAsia="es-MX"/>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 II, III, IV y V de la Constitución Política del Estado Libre y Soberano de México; 1°, 8°, 9°, 10, 56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3A95CFC3" w14:textId="77777777" w:rsidR="00A237E1" w:rsidRPr="00632E2F" w:rsidRDefault="00A237E1" w:rsidP="00A237E1">
      <w:pPr>
        <w:spacing w:line="360" w:lineRule="auto"/>
        <w:jc w:val="both"/>
        <w:rPr>
          <w:rFonts w:ascii="Palatino Linotype" w:hAnsi="Palatino Linotype" w:cs="Tahoma"/>
          <w:bCs/>
          <w:sz w:val="22"/>
          <w:szCs w:val="22"/>
        </w:rPr>
      </w:pPr>
    </w:p>
    <w:p w14:paraId="205046E1" w14:textId="77777777" w:rsidR="00A237E1" w:rsidRPr="009802FE" w:rsidRDefault="00A237E1" w:rsidP="00A237E1">
      <w:pPr>
        <w:spacing w:line="360" w:lineRule="auto"/>
        <w:jc w:val="both"/>
        <w:rPr>
          <w:rFonts w:ascii="Palatino Linotype" w:eastAsia="Palatino Linotype" w:hAnsi="Palatino Linotype" w:cs="Palatino Linotype"/>
          <w:color w:val="000000"/>
          <w:sz w:val="22"/>
          <w:szCs w:val="22"/>
          <w:lang w:eastAsia="es-MX"/>
        </w:rPr>
      </w:pPr>
      <w:r w:rsidRPr="009802FE">
        <w:rPr>
          <w:rFonts w:ascii="Palatino Linotype" w:eastAsia="Palatino Linotype" w:hAnsi="Palatino Linotype" w:cs="Palatino Linotype"/>
          <w:b/>
          <w:color w:val="000000"/>
          <w:sz w:val="22"/>
          <w:szCs w:val="22"/>
          <w:lang w:eastAsia="es-MX"/>
        </w:rPr>
        <w:t>SEGUNDO</w:t>
      </w:r>
      <w:r w:rsidRPr="009802FE">
        <w:rPr>
          <w:rFonts w:ascii="Palatino Linotype" w:eastAsia="Palatino Linotype" w:hAnsi="Palatino Linotype" w:cs="Palatino Linotype"/>
          <w:color w:val="000000"/>
          <w:sz w:val="22"/>
          <w:szCs w:val="22"/>
          <w:lang w:eastAsia="es-MX"/>
        </w:rPr>
        <w:t xml:space="preserve">. </w:t>
      </w:r>
      <w:r w:rsidRPr="009802FE">
        <w:rPr>
          <w:rFonts w:ascii="Palatino Linotype" w:eastAsia="Palatino Linotype" w:hAnsi="Palatino Linotype" w:cs="Palatino Linotype"/>
          <w:b/>
          <w:color w:val="000000"/>
          <w:sz w:val="22"/>
          <w:szCs w:val="22"/>
          <w:lang w:eastAsia="es-MX"/>
        </w:rPr>
        <w:t>Causales de improcedencia y sobreseimiento</w:t>
      </w:r>
    </w:p>
    <w:p w14:paraId="42BBF3D0" w14:textId="77777777" w:rsidR="00A237E1" w:rsidRPr="009802FE" w:rsidRDefault="00A237E1" w:rsidP="00A237E1">
      <w:pPr>
        <w:spacing w:line="360" w:lineRule="auto"/>
        <w:jc w:val="both"/>
        <w:rPr>
          <w:rFonts w:ascii="Palatino Linotype" w:eastAsia="Palatino Linotype" w:hAnsi="Palatino Linotype" w:cs="Palatino Linotype"/>
          <w:color w:val="000000"/>
          <w:sz w:val="22"/>
          <w:szCs w:val="22"/>
          <w:lang w:eastAsia="es-MX"/>
        </w:rPr>
      </w:pPr>
    </w:p>
    <w:p w14:paraId="3F8556BE" w14:textId="77777777" w:rsidR="00A237E1" w:rsidRPr="009802FE" w:rsidRDefault="00A237E1" w:rsidP="00A237E1">
      <w:pPr>
        <w:spacing w:line="360" w:lineRule="auto"/>
        <w:jc w:val="both"/>
        <w:rPr>
          <w:rFonts w:ascii="Palatino Linotype" w:eastAsia="Palatino Linotype" w:hAnsi="Palatino Linotype" w:cs="Palatino Linotype"/>
          <w:color w:val="000000"/>
          <w:sz w:val="22"/>
          <w:szCs w:val="22"/>
          <w:lang w:eastAsia="es-MX"/>
        </w:rPr>
      </w:pPr>
      <w:r w:rsidRPr="009802FE">
        <w:rPr>
          <w:rFonts w:ascii="Palatino Linotype" w:eastAsia="Palatino Linotype" w:hAnsi="Palatino Linotype" w:cs="Palatino Linotype"/>
          <w:color w:val="000000"/>
          <w:sz w:val="22"/>
          <w:szCs w:val="22"/>
          <w:lang w:eastAsia="es-MX"/>
        </w:rPr>
        <w:t xml:space="preserve">De las constancias que forma parte del Recurso de Revisión que se analiza, se advierte que previo al estudio del fondo de la </w:t>
      </w:r>
      <w:r w:rsidRPr="009802FE">
        <w:rPr>
          <w:rFonts w:ascii="Palatino Linotype" w:eastAsia="Palatino Linotype" w:hAnsi="Palatino Linotype" w:cs="Palatino Linotype"/>
          <w:i/>
          <w:color w:val="000000"/>
          <w:sz w:val="22"/>
          <w:szCs w:val="22"/>
          <w:lang w:eastAsia="es-MX"/>
        </w:rPr>
        <w:t>litis</w:t>
      </w:r>
      <w:r w:rsidRPr="009802FE">
        <w:rPr>
          <w:rFonts w:ascii="Palatino Linotype" w:eastAsia="Palatino Linotype" w:hAnsi="Palatino Linotype" w:cs="Palatino Linotype"/>
          <w:color w:val="000000"/>
          <w:sz w:val="22"/>
          <w:szCs w:val="22"/>
          <w:lang w:eastAsia="es-MX"/>
        </w:rPr>
        <w:t>, es necesario estudiar las causales de improcedencia y sobreseimiento que se adviertan, para determinar lo que en Derecho proceda.</w:t>
      </w:r>
    </w:p>
    <w:p w14:paraId="795D8B3D" w14:textId="77777777" w:rsidR="00A237E1" w:rsidRPr="009802FE" w:rsidRDefault="00A237E1" w:rsidP="00A237E1">
      <w:pPr>
        <w:spacing w:line="360" w:lineRule="auto"/>
        <w:jc w:val="both"/>
        <w:rPr>
          <w:rFonts w:ascii="Palatino Linotype" w:eastAsia="Palatino Linotype" w:hAnsi="Palatino Linotype" w:cs="Palatino Linotype"/>
          <w:b/>
          <w:sz w:val="22"/>
          <w:szCs w:val="22"/>
          <w:lang w:eastAsia="es-MX"/>
        </w:rPr>
      </w:pPr>
    </w:p>
    <w:p w14:paraId="14B3A9A9" w14:textId="77777777" w:rsidR="00A237E1" w:rsidRPr="009802FE" w:rsidRDefault="00A237E1" w:rsidP="00A237E1">
      <w:pPr>
        <w:spacing w:line="360" w:lineRule="auto"/>
        <w:jc w:val="both"/>
        <w:rPr>
          <w:rFonts w:ascii="Palatino Linotype" w:eastAsia="Palatino Linotype" w:hAnsi="Palatino Linotype" w:cs="Palatino Linotype"/>
          <w:b/>
          <w:sz w:val="22"/>
          <w:szCs w:val="22"/>
          <w:lang w:eastAsia="es-MX"/>
        </w:rPr>
      </w:pPr>
      <w:r w:rsidRPr="009802FE">
        <w:rPr>
          <w:rFonts w:ascii="Palatino Linotype" w:eastAsia="Palatino Linotype" w:hAnsi="Palatino Linotype" w:cs="Palatino Linotype"/>
          <w:b/>
          <w:sz w:val="22"/>
          <w:szCs w:val="22"/>
          <w:lang w:eastAsia="es-MX"/>
        </w:rPr>
        <w:t>Causales de improcedencia</w:t>
      </w:r>
    </w:p>
    <w:p w14:paraId="4B806DAB" w14:textId="77777777" w:rsidR="00A237E1" w:rsidRPr="009802FE" w:rsidRDefault="00A237E1" w:rsidP="00A237E1">
      <w:pPr>
        <w:spacing w:line="360" w:lineRule="auto"/>
        <w:jc w:val="both"/>
        <w:rPr>
          <w:rFonts w:ascii="Palatino Linotype" w:eastAsia="Palatino Linotype" w:hAnsi="Palatino Linotype" w:cs="Palatino Linotype"/>
          <w:sz w:val="22"/>
          <w:szCs w:val="22"/>
          <w:lang w:eastAsia="es-MX"/>
        </w:rPr>
      </w:pPr>
    </w:p>
    <w:p w14:paraId="18FC1895" w14:textId="77777777" w:rsidR="00A237E1" w:rsidRPr="009802FE" w:rsidRDefault="00A237E1" w:rsidP="00A237E1">
      <w:pPr>
        <w:spacing w:line="360" w:lineRule="auto"/>
        <w:jc w:val="both"/>
        <w:rPr>
          <w:rFonts w:ascii="Palatino Linotype" w:eastAsia="Palatino Linotype" w:hAnsi="Palatino Linotype" w:cs="Palatino Linotype"/>
          <w:color w:val="000000"/>
          <w:sz w:val="22"/>
          <w:szCs w:val="22"/>
          <w:lang w:eastAsia="es-MX"/>
        </w:rPr>
      </w:pPr>
      <w:r w:rsidRPr="009802FE">
        <w:rPr>
          <w:rFonts w:ascii="Palatino Linotype" w:eastAsia="Palatino Linotype" w:hAnsi="Palatino Linotype" w:cs="Palatino Linotype"/>
          <w:color w:val="000000"/>
          <w:sz w:val="22"/>
          <w:szCs w:val="22"/>
          <w:lang w:eastAsia="es-MX"/>
        </w:rPr>
        <w:lastRenderedPageBreak/>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A47CF58" w14:textId="77777777" w:rsidR="00A237E1" w:rsidRPr="009802FE" w:rsidRDefault="00A237E1" w:rsidP="00A237E1">
      <w:pPr>
        <w:spacing w:line="360" w:lineRule="auto"/>
        <w:jc w:val="both"/>
        <w:rPr>
          <w:rFonts w:ascii="Palatino Linotype" w:eastAsia="Palatino Linotype" w:hAnsi="Palatino Linotype" w:cs="Palatino Linotype"/>
          <w:color w:val="000000"/>
          <w:sz w:val="22"/>
          <w:szCs w:val="22"/>
          <w:lang w:eastAsia="es-MX"/>
        </w:rPr>
      </w:pPr>
    </w:p>
    <w:p w14:paraId="4FEA13D2" w14:textId="77777777" w:rsidR="00A237E1" w:rsidRPr="009802FE" w:rsidRDefault="00A237E1" w:rsidP="00A237E1">
      <w:pPr>
        <w:spacing w:line="360" w:lineRule="auto"/>
        <w:jc w:val="both"/>
        <w:rPr>
          <w:rFonts w:ascii="Palatino Linotype" w:eastAsia="Palatino Linotype" w:hAnsi="Palatino Linotype" w:cs="Palatino Linotype"/>
          <w:color w:val="000000"/>
          <w:sz w:val="22"/>
          <w:szCs w:val="22"/>
          <w:lang w:eastAsia="es-MX"/>
        </w:rPr>
      </w:pPr>
      <w:r w:rsidRPr="009802FE">
        <w:rPr>
          <w:rFonts w:ascii="Palatino Linotype" w:eastAsia="Palatino Linotype" w:hAnsi="Palatino Linotype" w:cs="Palatino Linotype"/>
          <w:color w:val="000000"/>
          <w:sz w:val="22"/>
          <w:szCs w:val="22"/>
          <w:lang w:eastAsia="es-MX"/>
        </w:rPr>
        <w:t>En el presente caso, </w:t>
      </w:r>
      <w:r w:rsidRPr="009802FE">
        <w:rPr>
          <w:rFonts w:ascii="Palatino Linotype" w:eastAsia="Palatino Linotype" w:hAnsi="Palatino Linotype" w:cs="Palatino Linotype"/>
          <w:b/>
          <w:color w:val="000000"/>
          <w:sz w:val="22"/>
          <w:szCs w:val="22"/>
          <w:lang w:eastAsia="es-MX"/>
        </w:rPr>
        <w:t>no se actualiza ninguna de las causales de improcedencia</w:t>
      </w:r>
      <w:r w:rsidRPr="009802FE">
        <w:rPr>
          <w:rFonts w:ascii="Palatino Linotype" w:eastAsia="Palatino Linotype" w:hAnsi="Palatino Linotype" w:cs="Palatino Linotype"/>
          <w:color w:val="000000"/>
          <w:sz w:val="22"/>
          <w:szCs w:val="22"/>
          <w:lang w:eastAsia="es-MX"/>
        </w:rPr>
        <w:t> establecidas en el ordenamiento jurídico previamente señalado, toda vez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6207499C" w14:textId="77777777" w:rsidR="00A237E1" w:rsidRPr="009802FE" w:rsidRDefault="00A237E1" w:rsidP="00A237E1">
      <w:pPr>
        <w:spacing w:line="360" w:lineRule="auto"/>
        <w:jc w:val="both"/>
        <w:rPr>
          <w:rFonts w:ascii="Palatino Linotype" w:eastAsia="Palatino Linotype" w:hAnsi="Palatino Linotype" w:cs="Palatino Linotype"/>
          <w:color w:val="000000"/>
          <w:sz w:val="22"/>
          <w:szCs w:val="22"/>
          <w:lang w:eastAsia="es-MX"/>
        </w:rPr>
      </w:pPr>
    </w:p>
    <w:p w14:paraId="4C9FDC35" w14:textId="66E3145F" w:rsidR="00A237E1" w:rsidRDefault="00A237E1" w:rsidP="00A237E1">
      <w:pPr>
        <w:widowControl w:val="0"/>
        <w:spacing w:line="360" w:lineRule="auto"/>
        <w:jc w:val="both"/>
        <w:rPr>
          <w:rFonts w:ascii="Palatino Linotype" w:hAnsi="Palatino Linotype"/>
          <w:color w:val="222222"/>
        </w:rPr>
      </w:pPr>
      <w:r w:rsidRPr="009802FE">
        <w:rPr>
          <w:rFonts w:ascii="Palatino Linotype" w:eastAsia="Palatino Linotype" w:hAnsi="Palatino Linotype" w:cs="Palatino Linotype"/>
          <w:sz w:val="22"/>
          <w:szCs w:val="22"/>
          <w:lang w:eastAsia="es-MX"/>
        </w:rPr>
        <w:t>Por lo cual,</w:t>
      </w:r>
      <w:r>
        <w:rPr>
          <w:rFonts w:ascii="Palatino Linotype" w:hAnsi="Palatino Linotype" w:cs="Tahoma"/>
          <w:sz w:val="22"/>
          <w:szCs w:val="22"/>
        </w:rPr>
        <w:t xml:space="preserve"> se actualiza la causal de procedencia del Recurso de Revisión señalada en el artículo 179, fracción V</w:t>
      </w:r>
      <w:r w:rsidR="00FD2325">
        <w:rPr>
          <w:rFonts w:ascii="Palatino Linotype" w:hAnsi="Palatino Linotype" w:cs="Tahoma"/>
          <w:sz w:val="22"/>
          <w:szCs w:val="22"/>
        </w:rPr>
        <w:t>I</w:t>
      </w:r>
      <w:r>
        <w:rPr>
          <w:rFonts w:ascii="Palatino Linotype" w:hAnsi="Palatino Linotype" w:cs="Tahoma"/>
          <w:sz w:val="22"/>
          <w:szCs w:val="22"/>
        </w:rPr>
        <w:t xml:space="preserve">, de la Ley en cita, </w:t>
      </w:r>
      <w:r>
        <w:rPr>
          <w:rFonts w:ascii="Palatino Linotype" w:eastAsia="Calibri" w:hAnsi="Palatino Linotype" w:cs="Tahoma"/>
          <w:color w:val="000000"/>
          <w:sz w:val="22"/>
          <w:szCs w:val="22"/>
          <w:lang w:eastAsia="es-MX"/>
        </w:rPr>
        <w:t xml:space="preserve">pues la Recurrente se inconformó por la entrega de información </w:t>
      </w:r>
      <w:r w:rsidR="00FD2325">
        <w:rPr>
          <w:rFonts w:ascii="Palatino Linotype" w:eastAsia="Calibri" w:hAnsi="Palatino Linotype" w:cs="Tahoma"/>
          <w:color w:val="000000"/>
          <w:sz w:val="22"/>
          <w:szCs w:val="22"/>
          <w:lang w:eastAsia="es-MX"/>
        </w:rPr>
        <w:t xml:space="preserve">que no corresponde con lo </w:t>
      </w:r>
      <w:r w:rsidR="000C2A57">
        <w:rPr>
          <w:rFonts w:ascii="Palatino Linotype" w:eastAsia="Calibri" w:hAnsi="Palatino Linotype" w:cs="Tahoma"/>
          <w:color w:val="000000"/>
          <w:sz w:val="22"/>
          <w:szCs w:val="22"/>
          <w:lang w:eastAsia="es-MX"/>
        </w:rPr>
        <w:t>solicitado</w:t>
      </w:r>
      <w:r>
        <w:rPr>
          <w:rFonts w:ascii="Palatino Linotype" w:eastAsia="Calibri" w:hAnsi="Palatino Linotype" w:cs="Tahoma"/>
          <w:color w:val="000000"/>
          <w:sz w:val="22"/>
          <w:szCs w:val="22"/>
          <w:lang w:eastAsia="es-MX"/>
        </w:rPr>
        <w:t xml:space="preserve">. </w:t>
      </w:r>
    </w:p>
    <w:p w14:paraId="3D7E231B" w14:textId="77777777" w:rsidR="005F04C9" w:rsidRPr="0025691E" w:rsidRDefault="005F04C9" w:rsidP="00CE18C8">
      <w:pPr>
        <w:spacing w:line="360" w:lineRule="auto"/>
        <w:jc w:val="both"/>
        <w:rPr>
          <w:rFonts w:ascii="Palatino Linotype" w:hAnsi="Palatino Linotype" w:cs="Tahoma"/>
          <w:bCs/>
          <w:sz w:val="22"/>
          <w:szCs w:val="22"/>
          <w:lang w:val="es-ES"/>
        </w:rPr>
      </w:pPr>
    </w:p>
    <w:p w14:paraId="2B159515" w14:textId="7671C4EE" w:rsidR="005F04C9" w:rsidRPr="0025691E" w:rsidRDefault="005F04C9" w:rsidP="00CE18C8">
      <w:pPr>
        <w:spacing w:line="360" w:lineRule="auto"/>
        <w:jc w:val="both"/>
        <w:rPr>
          <w:rFonts w:ascii="Palatino Linotype" w:hAnsi="Palatino Linotype" w:cs="Tahoma"/>
          <w:bCs/>
          <w:color w:val="0D0D0D" w:themeColor="text1" w:themeTint="F2"/>
          <w:sz w:val="22"/>
          <w:szCs w:val="22"/>
        </w:rPr>
      </w:pPr>
      <w:r w:rsidRPr="0025691E">
        <w:rPr>
          <w:rFonts w:ascii="Palatino Linotype" w:hAnsi="Palatino Linotype" w:cs="Tahoma"/>
          <w:b/>
          <w:bCs/>
          <w:color w:val="0D0D0D" w:themeColor="text1" w:themeTint="F2"/>
          <w:sz w:val="22"/>
          <w:szCs w:val="22"/>
        </w:rPr>
        <w:t>Causales de sobreseimiento</w:t>
      </w:r>
    </w:p>
    <w:p w14:paraId="76050B09" w14:textId="77777777" w:rsidR="005F04C9" w:rsidRPr="0025691E" w:rsidRDefault="005F04C9" w:rsidP="00CE18C8">
      <w:pPr>
        <w:spacing w:line="360" w:lineRule="auto"/>
        <w:jc w:val="both"/>
        <w:rPr>
          <w:rFonts w:ascii="Palatino Linotype" w:hAnsi="Palatino Linotype" w:cs="Tahoma"/>
          <w:bCs/>
          <w:color w:val="0D0D0D" w:themeColor="text1" w:themeTint="F2"/>
          <w:sz w:val="22"/>
          <w:szCs w:val="22"/>
        </w:rPr>
      </w:pPr>
    </w:p>
    <w:p w14:paraId="607CD510" w14:textId="77777777" w:rsidR="00EF6D8F" w:rsidRPr="0025691E" w:rsidRDefault="00217539"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 xml:space="preserve">Por ser de previo y especial pronunciamiento, este Instituto analiza si se actualiza alguna causal de sobreseimiento. </w:t>
      </w:r>
    </w:p>
    <w:p w14:paraId="0DC8E4BE" w14:textId="77777777" w:rsidR="00EF6D8F" w:rsidRPr="0025691E" w:rsidRDefault="00EF6D8F" w:rsidP="00CE18C8">
      <w:pPr>
        <w:spacing w:line="360" w:lineRule="auto"/>
        <w:jc w:val="both"/>
        <w:rPr>
          <w:rFonts w:ascii="Palatino Linotype" w:hAnsi="Palatino Linotype" w:cs="Tahoma"/>
          <w:sz w:val="22"/>
          <w:szCs w:val="22"/>
        </w:rPr>
      </w:pPr>
    </w:p>
    <w:p w14:paraId="504E9082" w14:textId="3006BE8D" w:rsidR="00217539" w:rsidRPr="0025691E" w:rsidRDefault="00217539"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 xml:space="preserve">El artículo 192 de la Ley Transparencia y Acceso a la Información Pública del Estado de México y Municipios, señala las causales por las cuales se puede sobreseer en todo o en parte, el </w:t>
      </w:r>
      <w:r w:rsidRPr="0025691E">
        <w:rPr>
          <w:rFonts w:ascii="Palatino Linotype" w:hAnsi="Palatino Linotype" w:cs="Tahoma"/>
          <w:sz w:val="22"/>
          <w:szCs w:val="22"/>
        </w:rPr>
        <w:lastRenderedPageBreak/>
        <w:t>Recurso de Revisión; así, del análisis realizado por este Instituto, se advierte que no se actualiza algún supuesto de sobreseimiento; lo anterior, en virtud de que no hay constancias en el expediente en que se actúa, de que la Recurrente se haya desistido del recurso, haya fallecido, sobreviniera alguna causal de improcedencia, que el Sujeto Obligado hubiese modificado o revocado el acto impugnado o bien, haya quedado sin materia.</w:t>
      </w:r>
    </w:p>
    <w:p w14:paraId="710AB40C" w14:textId="77777777" w:rsidR="00217539" w:rsidRPr="0025691E" w:rsidRDefault="00217539" w:rsidP="00CE18C8">
      <w:pPr>
        <w:widowControl w:val="0"/>
        <w:spacing w:line="360" w:lineRule="auto"/>
        <w:jc w:val="both"/>
        <w:rPr>
          <w:rFonts w:ascii="Palatino Linotype" w:hAnsi="Palatino Linotype" w:cs="Tahoma"/>
          <w:sz w:val="22"/>
          <w:szCs w:val="22"/>
        </w:rPr>
      </w:pPr>
      <w:r w:rsidRPr="0025691E">
        <w:rPr>
          <w:rFonts w:ascii="Palatino Linotype" w:hAnsi="Palatino Linotype" w:cs="Tahoma"/>
          <w:sz w:val="22"/>
          <w:szCs w:val="22"/>
        </w:rPr>
        <w:t> </w:t>
      </w:r>
    </w:p>
    <w:p w14:paraId="42AA34FC" w14:textId="77777777" w:rsidR="00217539" w:rsidRPr="0025691E" w:rsidRDefault="00217539" w:rsidP="00CE18C8">
      <w:pPr>
        <w:widowControl w:val="0"/>
        <w:spacing w:line="360" w:lineRule="auto"/>
        <w:jc w:val="both"/>
        <w:rPr>
          <w:rFonts w:ascii="Palatino Linotype" w:hAnsi="Palatino Linotype" w:cs="Tahoma"/>
          <w:sz w:val="22"/>
          <w:szCs w:val="22"/>
        </w:rPr>
      </w:pPr>
      <w:r w:rsidRPr="0025691E">
        <w:rPr>
          <w:rFonts w:ascii="Palatino Linotype" w:hAnsi="Palatino Linotype" w:cs="Tahoma"/>
          <w:sz w:val="22"/>
          <w:szCs w:val="22"/>
        </w:rPr>
        <w:t>Por tales motivos, se considera procedente entrar al fondo del presente asunto. </w:t>
      </w:r>
    </w:p>
    <w:p w14:paraId="2C50FA77" w14:textId="77777777" w:rsidR="005F04C9" w:rsidRPr="0025691E" w:rsidRDefault="005F04C9" w:rsidP="00CE18C8">
      <w:pPr>
        <w:spacing w:line="360" w:lineRule="auto"/>
        <w:jc w:val="both"/>
        <w:rPr>
          <w:rFonts w:ascii="Palatino Linotype" w:hAnsi="Palatino Linotype" w:cs="Tahoma"/>
          <w:sz w:val="22"/>
          <w:szCs w:val="22"/>
          <w:lang w:val="es-ES"/>
        </w:rPr>
      </w:pPr>
    </w:p>
    <w:p w14:paraId="39A57F46" w14:textId="6ACF9744" w:rsidR="005F04C9" w:rsidRPr="0025691E" w:rsidRDefault="005F04C9" w:rsidP="00CE18C8">
      <w:pPr>
        <w:tabs>
          <w:tab w:val="left" w:pos="4962"/>
        </w:tabs>
        <w:spacing w:line="360" w:lineRule="auto"/>
        <w:jc w:val="both"/>
        <w:rPr>
          <w:rFonts w:ascii="Palatino Linotype" w:eastAsia="Calibri" w:hAnsi="Palatino Linotype" w:cs="Tahoma"/>
          <w:b/>
          <w:iCs/>
          <w:sz w:val="22"/>
          <w:szCs w:val="22"/>
          <w:lang w:val="es-ES" w:eastAsia="es-ES_tradnl"/>
        </w:rPr>
      </w:pPr>
      <w:r w:rsidRPr="0025691E">
        <w:rPr>
          <w:rFonts w:ascii="Palatino Linotype" w:eastAsia="Calibri" w:hAnsi="Palatino Linotype" w:cs="Tahoma"/>
          <w:b/>
          <w:iCs/>
          <w:sz w:val="22"/>
          <w:szCs w:val="22"/>
          <w:lang w:val="es-ES" w:eastAsia="es-ES_tradnl"/>
        </w:rPr>
        <w:t>TERCERO. Determinación de la Controversia</w:t>
      </w:r>
    </w:p>
    <w:p w14:paraId="1D106451" w14:textId="77777777" w:rsidR="005F04C9" w:rsidRPr="0025691E" w:rsidRDefault="005F04C9" w:rsidP="00CE18C8">
      <w:pPr>
        <w:spacing w:line="360" w:lineRule="auto"/>
        <w:jc w:val="both"/>
        <w:rPr>
          <w:rFonts w:ascii="Palatino Linotype" w:hAnsi="Palatino Linotype" w:cs="Tahoma"/>
          <w:sz w:val="22"/>
          <w:szCs w:val="22"/>
        </w:rPr>
      </w:pPr>
    </w:p>
    <w:p w14:paraId="3C1D4BC3" w14:textId="0FE679E6" w:rsidR="007D3BE5" w:rsidRPr="0025691E" w:rsidRDefault="005F04C9"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Con el objetivo de ilustrar la controversia planteada, resulta conveniente precisar, que una vez realizado el estudio de las constancias que integran el expediente en el qu</w:t>
      </w:r>
      <w:r w:rsidR="00C0623A" w:rsidRPr="0025691E">
        <w:rPr>
          <w:rFonts w:ascii="Palatino Linotype" w:hAnsi="Palatino Linotype" w:cs="Tahoma"/>
          <w:sz w:val="22"/>
          <w:szCs w:val="22"/>
        </w:rPr>
        <w:t>e</w:t>
      </w:r>
      <w:r w:rsidR="00680F6C" w:rsidRPr="0025691E">
        <w:rPr>
          <w:rFonts w:ascii="Palatino Linotype" w:hAnsi="Palatino Linotype" w:cs="Tahoma"/>
          <w:sz w:val="22"/>
          <w:szCs w:val="22"/>
        </w:rPr>
        <w:t xml:space="preserve"> se actúa, se desprende que el </w:t>
      </w:r>
      <w:r w:rsidRPr="0025691E">
        <w:rPr>
          <w:rFonts w:ascii="Palatino Linotype" w:hAnsi="Palatino Linotype" w:cs="Tahoma"/>
          <w:sz w:val="22"/>
          <w:szCs w:val="22"/>
        </w:rPr>
        <w:t xml:space="preserve">Particular </w:t>
      </w:r>
      <w:bookmarkStart w:id="0" w:name="_Hlk134046015"/>
      <w:r w:rsidRPr="0025691E">
        <w:rPr>
          <w:rFonts w:ascii="Palatino Linotype" w:hAnsi="Palatino Linotype" w:cs="Tahoma"/>
          <w:sz w:val="22"/>
          <w:szCs w:val="22"/>
        </w:rPr>
        <w:t xml:space="preserve">requirió </w:t>
      </w:r>
      <w:bookmarkEnd w:id="0"/>
      <w:r w:rsidR="00A237E1">
        <w:rPr>
          <w:rFonts w:ascii="Palatino Linotype" w:hAnsi="Palatino Linotype" w:cs="Tahoma"/>
          <w:sz w:val="22"/>
          <w:szCs w:val="22"/>
        </w:rPr>
        <w:t xml:space="preserve">los Dictámenes realizados por el INFOEM al Ayuntamiento de Toluca en relación a los resultados de transparencia proactiva </w:t>
      </w:r>
      <w:r w:rsidR="004B3DA4">
        <w:rPr>
          <w:rFonts w:ascii="Palatino Linotype" w:hAnsi="Palatino Linotype" w:cs="Tahoma"/>
          <w:sz w:val="22"/>
          <w:szCs w:val="22"/>
        </w:rPr>
        <w:t xml:space="preserve">por año del primero de enero de dos mil diecinueve al catorce de febrero de dos mil veinticuatro. </w:t>
      </w:r>
    </w:p>
    <w:p w14:paraId="7AE725E2" w14:textId="77777777" w:rsidR="00005597" w:rsidRPr="0025691E" w:rsidRDefault="00005597" w:rsidP="00CE18C8">
      <w:pPr>
        <w:spacing w:line="360" w:lineRule="auto"/>
        <w:jc w:val="both"/>
        <w:rPr>
          <w:rFonts w:ascii="Palatino Linotype" w:hAnsi="Palatino Linotype" w:cs="Tahoma"/>
          <w:szCs w:val="22"/>
        </w:rPr>
      </w:pPr>
    </w:p>
    <w:p w14:paraId="07CFFF7D" w14:textId="4745C499" w:rsidR="00005597" w:rsidRPr="0025691E" w:rsidRDefault="005F04C9" w:rsidP="00CE18C8">
      <w:pPr>
        <w:pStyle w:val="NormalWeb"/>
        <w:spacing w:after="0" w:line="360" w:lineRule="auto"/>
        <w:ind w:right="-28"/>
        <w:rPr>
          <w:rFonts w:ascii="Palatino Linotype" w:hAnsi="Palatino Linotype" w:cs="Tahoma"/>
          <w:bCs/>
          <w:iCs/>
          <w:sz w:val="22"/>
          <w:szCs w:val="22"/>
          <w:lang w:val="es-ES"/>
        </w:rPr>
      </w:pPr>
      <w:r w:rsidRPr="0025691E">
        <w:rPr>
          <w:rFonts w:ascii="Palatino Linotype" w:hAnsi="Palatino Linotype"/>
          <w:sz w:val="22"/>
          <w:szCs w:val="22"/>
        </w:rPr>
        <w:t>En respuesta, el Sujeto Obligado</w:t>
      </w:r>
      <w:r w:rsidR="00672007" w:rsidRPr="0025691E">
        <w:rPr>
          <w:rFonts w:ascii="Palatino Linotype" w:hAnsi="Palatino Linotype"/>
          <w:sz w:val="22"/>
          <w:szCs w:val="22"/>
        </w:rPr>
        <w:t xml:space="preserve">, </w:t>
      </w:r>
      <w:r w:rsidR="00005597" w:rsidRPr="0025691E">
        <w:rPr>
          <w:rFonts w:ascii="Palatino Linotype" w:hAnsi="Palatino Linotype"/>
          <w:sz w:val="22"/>
          <w:szCs w:val="22"/>
        </w:rPr>
        <w:t xml:space="preserve">proporcionó los </w:t>
      </w:r>
      <w:r w:rsidR="004B3DA4">
        <w:rPr>
          <w:rFonts w:ascii="Palatino Linotype" w:hAnsi="Palatino Linotype"/>
          <w:sz w:val="22"/>
          <w:szCs w:val="22"/>
        </w:rPr>
        <w:t>Dictámenes para determinar el Reconocimiento de Prácticas de Transparencia Proactiva de dos mil veintiuno a dos mil veintitrés, así mismo precisó que respecto a los años dos mil diecinueve, dos mil veinte y dos mil veinticuatro  no contaba con la información toda vez que dependía directamente del INFOEM</w:t>
      </w:r>
      <w:r w:rsidRPr="0025691E">
        <w:rPr>
          <w:rFonts w:ascii="Palatino Linotype" w:hAnsi="Palatino Linotype"/>
          <w:sz w:val="22"/>
          <w:szCs w:val="22"/>
        </w:rPr>
        <w:t xml:space="preserve">; ante dicha circunstancia, la parte Recurrente se inconformó </w:t>
      </w:r>
      <w:r w:rsidR="00E8327D" w:rsidRPr="0025691E">
        <w:rPr>
          <w:rFonts w:ascii="Palatino Linotype" w:hAnsi="Palatino Linotype"/>
          <w:sz w:val="22"/>
          <w:szCs w:val="22"/>
        </w:rPr>
        <w:t xml:space="preserve">de la entrega de </w:t>
      </w:r>
      <w:r w:rsidR="00E8327D" w:rsidRPr="000C2A57">
        <w:rPr>
          <w:rFonts w:ascii="Palatino Linotype" w:hAnsi="Palatino Linotype"/>
          <w:sz w:val="22"/>
          <w:szCs w:val="22"/>
        </w:rPr>
        <w:t xml:space="preserve">información </w:t>
      </w:r>
      <w:r w:rsidR="000C2A57" w:rsidRPr="000C2A57">
        <w:rPr>
          <w:rFonts w:ascii="Palatino Linotype" w:hAnsi="Palatino Linotype"/>
          <w:sz w:val="22"/>
          <w:szCs w:val="22"/>
        </w:rPr>
        <w:t>que</w:t>
      </w:r>
      <w:r w:rsidR="000C2A57">
        <w:rPr>
          <w:rFonts w:ascii="Palatino Linotype" w:hAnsi="Palatino Linotype"/>
          <w:sz w:val="22"/>
          <w:szCs w:val="22"/>
        </w:rPr>
        <w:t xml:space="preserve"> no corresponde con lo solicitado</w:t>
      </w:r>
      <w:r w:rsidRPr="0025691E">
        <w:rPr>
          <w:rFonts w:ascii="Palatino Linotype" w:hAnsi="Palatino Linotype"/>
          <w:sz w:val="22"/>
          <w:szCs w:val="22"/>
        </w:rPr>
        <w:t>,</w:t>
      </w:r>
      <w:r w:rsidRPr="0025691E">
        <w:rPr>
          <w:rFonts w:ascii="Palatino Linotype" w:eastAsia="Calibri" w:hAnsi="Palatino Linotype"/>
          <w:sz w:val="22"/>
          <w:szCs w:val="22"/>
        </w:rPr>
        <w:t xml:space="preserve"> situación que actualiza el supuesto previsto en el artículo 179, </w:t>
      </w:r>
      <w:r w:rsidRPr="000C2A57">
        <w:rPr>
          <w:rFonts w:ascii="Palatino Linotype" w:eastAsia="Calibri" w:hAnsi="Palatino Linotype"/>
          <w:sz w:val="22"/>
          <w:szCs w:val="22"/>
        </w:rPr>
        <w:t>fracción V</w:t>
      </w:r>
      <w:r w:rsidR="000C2A57" w:rsidRPr="000C2A57">
        <w:rPr>
          <w:rFonts w:ascii="Palatino Linotype" w:eastAsia="Calibri" w:hAnsi="Palatino Linotype"/>
          <w:sz w:val="22"/>
          <w:szCs w:val="22"/>
        </w:rPr>
        <w:t>I</w:t>
      </w:r>
      <w:r w:rsidRPr="000C2A57">
        <w:rPr>
          <w:rFonts w:ascii="Palatino Linotype" w:eastAsia="Calibri" w:hAnsi="Palatino Linotype"/>
          <w:sz w:val="22"/>
          <w:szCs w:val="22"/>
        </w:rPr>
        <w:t>,</w:t>
      </w:r>
      <w:r w:rsidRPr="0025691E">
        <w:rPr>
          <w:rFonts w:ascii="Palatino Linotype" w:eastAsia="Calibri" w:hAnsi="Palatino Linotype"/>
          <w:sz w:val="22"/>
          <w:szCs w:val="22"/>
        </w:rPr>
        <w:t xml:space="preserve"> de la Ley de Transparencia y Acceso a la Información Pública del Estado de México y Municipios</w:t>
      </w:r>
      <w:r w:rsidR="00A013B5">
        <w:rPr>
          <w:rFonts w:ascii="Palatino Linotype" w:eastAsia="Calibri" w:hAnsi="Palatino Linotype"/>
          <w:sz w:val="22"/>
          <w:szCs w:val="22"/>
        </w:rPr>
        <w:t xml:space="preserve">; </w:t>
      </w:r>
      <w:r w:rsidR="00A013B5" w:rsidRPr="00A013B5">
        <w:rPr>
          <w:rFonts w:ascii="Palatino Linotype" w:eastAsia="Times New Roman" w:hAnsi="Palatino Linotype"/>
          <w:color w:val="000000"/>
          <w:sz w:val="22"/>
          <w:szCs w:val="22"/>
          <w:lang w:eastAsia="es-ES"/>
        </w:rPr>
        <w:t>dicha situación, al aplicar la suplencia de la queja a favor de la Solicitante, en términos de los diversos 13 y, penúltimo párrafo, del 181 del ordenamiento señalado, relacionados con el último párrafo, del 146 de la Ley General de Transparencia y Acceso a la Información Pública.</w:t>
      </w:r>
      <w:r w:rsidR="00A013B5" w:rsidRPr="00A013B5">
        <w:rPr>
          <w:rFonts w:eastAsia="Times New Roman"/>
          <w:color w:val="000000"/>
          <w:sz w:val="22"/>
          <w:szCs w:val="22"/>
          <w:lang w:eastAsia="es-ES"/>
        </w:rPr>
        <w:t xml:space="preserve">  </w:t>
      </w:r>
      <w:r w:rsidR="00005597" w:rsidRPr="0025691E">
        <w:rPr>
          <w:rFonts w:ascii="Palatino Linotype" w:hAnsi="Palatino Linotype" w:cs="Tahoma"/>
          <w:sz w:val="22"/>
          <w:szCs w:val="22"/>
          <w:lang w:val="es-ES"/>
        </w:rPr>
        <w:t xml:space="preserve">Así las cosas, una vez admitido y notificado el Recurso de </w:t>
      </w:r>
      <w:r w:rsidR="00005597" w:rsidRPr="0025691E">
        <w:rPr>
          <w:rFonts w:ascii="Palatino Linotype" w:hAnsi="Palatino Linotype" w:cs="Tahoma"/>
          <w:sz w:val="22"/>
          <w:szCs w:val="22"/>
          <w:lang w:val="es-ES"/>
        </w:rPr>
        <w:lastRenderedPageBreak/>
        <w:t xml:space="preserve">Revisión a las partes, </w:t>
      </w:r>
      <w:r w:rsidR="00A013B5">
        <w:rPr>
          <w:rFonts w:ascii="Palatino Linotype" w:hAnsi="Palatino Linotype" w:cs="Tahoma"/>
          <w:sz w:val="22"/>
          <w:szCs w:val="22"/>
          <w:lang w:val="es-ES"/>
        </w:rPr>
        <w:t xml:space="preserve">el Sujeto Obligado ratificó su respuesta, mientras que la persona Recurrente omitió manifestarse. </w:t>
      </w:r>
    </w:p>
    <w:p w14:paraId="51891302" w14:textId="77777777" w:rsidR="00005597" w:rsidRPr="0025691E" w:rsidRDefault="00005597" w:rsidP="00CE18C8">
      <w:pPr>
        <w:tabs>
          <w:tab w:val="left" w:pos="4962"/>
        </w:tabs>
        <w:spacing w:line="360" w:lineRule="auto"/>
        <w:jc w:val="both"/>
        <w:rPr>
          <w:rFonts w:ascii="Palatino Linotype" w:eastAsia="Calibri" w:hAnsi="Palatino Linotype" w:cs="Tahoma"/>
          <w:iCs/>
          <w:color w:val="000000" w:themeColor="text1"/>
          <w:sz w:val="22"/>
          <w:szCs w:val="22"/>
          <w:lang w:val="es-ES" w:eastAsia="en-US"/>
        </w:rPr>
      </w:pPr>
    </w:p>
    <w:p w14:paraId="12AB2133" w14:textId="59F377F9" w:rsidR="00005597" w:rsidRPr="0025691E" w:rsidRDefault="00005597" w:rsidP="00CE18C8">
      <w:pPr>
        <w:tabs>
          <w:tab w:val="left" w:pos="4962"/>
        </w:tabs>
        <w:spacing w:line="360" w:lineRule="auto"/>
        <w:jc w:val="both"/>
        <w:rPr>
          <w:rFonts w:ascii="Palatino Linotype" w:eastAsia="Calibri" w:hAnsi="Palatino Linotype" w:cs="Tahoma"/>
          <w:bCs/>
          <w:color w:val="000000" w:themeColor="text1"/>
          <w:sz w:val="22"/>
          <w:szCs w:val="22"/>
          <w:lang w:eastAsia="en-US"/>
        </w:rPr>
      </w:pPr>
      <w:r w:rsidRPr="0025691E">
        <w:rPr>
          <w:rFonts w:ascii="Palatino Linotype" w:eastAsia="Calibri" w:hAnsi="Palatino Linotype" w:cs="Tahoma"/>
          <w:iCs/>
          <w:color w:val="000000" w:themeColor="text1"/>
          <w:sz w:val="22"/>
          <w:szCs w:val="22"/>
          <w:lang w:val="es-ES" w:eastAsia="es-ES_tradnl"/>
        </w:rPr>
        <w:t xml:space="preserve">Lo anterior, se desprende de las documentales que obran en el expediente de referencia, materia de la presente resolución, consistente en: la solicitud de acceso a la </w:t>
      </w:r>
      <w:r w:rsidR="00B577AB" w:rsidRPr="0025691E">
        <w:rPr>
          <w:rFonts w:ascii="Palatino Linotype" w:eastAsia="Calibri" w:hAnsi="Palatino Linotype" w:cs="Tahoma"/>
          <w:iCs/>
          <w:color w:val="000000" w:themeColor="text1"/>
          <w:sz w:val="22"/>
          <w:szCs w:val="22"/>
          <w:lang w:val="es-ES" w:eastAsia="es-ES_tradnl"/>
        </w:rPr>
        <w:t>información, la respuest</w:t>
      </w:r>
      <w:r w:rsidR="00A013B5">
        <w:rPr>
          <w:rFonts w:ascii="Palatino Linotype" w:eastAsia="Calibri" w:hAnsi="Palatino Linotype" w:cs="Tahoma"/>
          <w:iCs/>
          <w:color w:val="000000" w:themeColor="text1"/>
          <w:sz w:val="22"/>
          <w:szCs w:val="22"/>
          <w:lang w:val="es-ES" w:eastAsia="es-ES_tradnl"/>
        </w:rPr>
        <w:t>a,</w:t>
      </w:r>
      <w:r w:rsidRPr="0025691E">
        <w:rPr>
          <w:rFonts w:ascii="Palatino Linotype" w:eastAsia="Calibri" w:hAnsi="Palatino Linotype" w:cs="Tahoma"/>
          <w:iCs/>
          <w:color w:val="000000" w:themeColor="text1"/>
          <w:sz w:val="22"/>
          <w:szCs w:val="22"/>
          <w:lang w:eastAsia="es-ES_tradnl"/>
        </w:rPr>
        <w:t xml:space="preserve"> el escrito </w:t>
      </w:r>
      <w:proofErr w:type="spellStart"/>
      <w:r w:rsidRPr="0025691E">
        <w:rPr>
          <w:rFonts w:ascii="Palatino Linotype" w:eastAsia="Calibri" w:hAnsi="Palatino Linotype" w:cs="Tahoma"/>
          <w:iCs/>
          <w:color w:val="000000" w:themeColor="text1"/>
          <w:sz w:val="22"/>
          <w:szCs w:val="22"/>
          <w:lang w:eastAsia="es-ES_tradnl"/>
        </w:rPr>
        <w:t>recurs</w:t>
      </w:r>
      <w:r w:rsidR="00A013B5">
        <w:rPr>
          <w:rFonts w:ascii="Palatino Linotype" w:eastAsia="Calibri" w:hAnsi="Palatino Linotype" w:cs="Tahoma"/>
          <w:iCs/>
          <w:color w:val="000000" w:themeColor="text1"/>
          <w:sz w:val="22"/>
          <w:szCs w:val="22"/>
          <w:lang w:eastAsia="es-ES_tradnl"/>
        </w:rPr>
        <w:t>al</w:t>
      </w:r>
      <w:proofErr w:type="spellEnd"/>
      <w:r w:rsidR="00A013B5">
        <w:rPr>
          <w:rFonts w:ascii="Palatino Linotype" w:eastAsia="Calibri" w:hAnsi="Palatino Linotype" w:cs="Tahoma"/>
          <w:iCs/>
          <w:color w:val="000000" w:themeColor="text1"/>
          <w:sz w:val="22"/>
          <w:szCs w:val="22"/>
          <w:lang w:eastAsia="es-ES_tradnl"/>
        </w:rPr>
        <w:t xml:space="preserve"> y el informe con justificación</w:t>
      </w:r>
      <w:r w:rsidRPr="0025691E">
        <w:rPr>
          <w:rFonts w:ascii="Palatino Linotype" w:eastAsia="Calibri" w:hAnsi="Palatino Linotype" w:cs="Tahoma"/>
          <w:iCs/>
          <w:color w:val="000000" w:themeColor="text1"/>
          <w:sz w:val="22"/>
          <w:szCs w:val="22"/>
          <w:lang w:eastAsia="es-ES_tradnl"/>
        </w:rPr>
        <w:t xml:space="preserve">; </w:t>
      </w:r>
      <w:r w:rsidRPr="0025691E">
        <w:rPr>
          <w:rFonts w:ascii="Palatino Linotype" w:eastAsia="Calibri" w:hAnsi="Palatino Linotype" w:cs="Tahoma"/>
          <w:bCs/>
          <w:color w:val="000000" w:themeColor="text1"/>
          <w:sz w:val="22"/>
          <w:szCs w:val="22"/>
          <w:lang w:eastAsia="en-US"/>
        </w:rPr>
        <w:t>instrumentales que se toman en cuenta a efecto de resolver el presente medio de impugnación, conforme a lo dispuesto por el artículo 185, fracción IV, de la Ley de Transparencia y Acceso a la Información Pública del Estado de México y Municipios.</w:t>
      </w:r>
    </w:p>
    <w:p w14:paraId="1F042808" w14:textId="2B982BAB" w:rsidR="00E53931" w:rsidRPr="0025691E" w:rsidRDefault="00E53931" w:rsidP="00CE18C8">
      <w:pPr>
        <w:spacing w:line="360" w:lineRule="auto"/>
        <w:jc w:val="both"/>
        <w:rPr>
          <w:rFonts w:ascii="Palatino Linotype" w:hAnsi="Palatino Linotype" w:cs="Tahoma"/>
          <w:bCs/>
          <w:sz w:val="22"/>
          <w:szCs w:val="22"/>
          <w:lang w:val="es-ES"/>
        </w:rPr>
      </w:pPr>
    </w:p>
    <w:p w14:paraId="18949599" w14:textId="38EAFA26" w:rsidR="005F04C9" w:rsidRPr="0025691E" w:rsidRDefault="005F04C9" w:rsidP="00CE18C8">
      <w:pPr>
        <w:spacing w:line="360" w:lineRule="auto"/>
        <w:jc w:val="both"/>
        <w:rPr>
          <w:rFonts w:ascii="Palatino Linotype" w:hAnsi="Palatino Linotype" w:cs="Tahoma"/>
          <w:b/>
          <w:sz w:val="22"/>
          <w:szCs w:val="22"/>
        </w:rPr>
      </w:pPr>
      <w:r w:rsidRPr="0025691E">
        <w:rPr>
          <w:rFonts w:ascii="Palatino Linotype" w:hAnsi="Palatino Linotype" w:cs="Tahoma"/>
          <w:b/>
          <w:sz w:val="22"/>
          <w:szCs w:val="22"/>
        </w:rPr>
        <w:t>CUARTO. Marco normativo aplicable en materia de transparencia y acceso a la información pública</w:t>
      </w:r>
    </w:p>
    <w:p w14:paraId="648380E8" w14:textId="77777777" w:rsidR="00E810A2" w:rsidRPr="0025691E" w:rsidRDefault="00E810A2" w:rsidP="00CE18C8">
      <w:pPr>
        <w:spacing w:line="360" w:lineRule="auto"/>
        <w:jc w:val="both"/>
        <w:rPr>
          <w:rFonts w:ascii="Palatino Linotype" w:hAnsi="Palatino Linotype" w:cs="Tahoma"/>
          <w:b/>
          <w:sz w:val="22"/>
          <w:szCs w:val="22"/>
        </w:rPr>
      </w:pPr>
    </w:p>
    <w:p w14:paraId="173BDF0F" w14:textId="77777777" w:rsidR="005F04C9" w:rsidRPr="0025691E" w:rsidRDefault="005F04C9"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EE8F912" w14:textId="77777777" w:rsidR="005F04C9" w:rsidRPr="0025691E" w:rsidRDefault="005F04C9" w:rsidP="00CE18C8">
      <w:pPr>
        <w:spacing w:line="360" w:lineRule="auto"/>
        <w:jc w:val="both"/>
        <w:rPr>
          <w:rFonts w:ascii="Palatino Linotype" w:hAnsi="Palatino Linotype" w:cs="Tahoma"/>
          <w:sz w:val="22"/>
          <w:szCs w:val="22"/>
        </w:rPr>
      </w:pPr>
    </w:p>
    <w:p w14:paraId="7AA81156" w14:textId="77777777" w:rsidR="005F04C9" w:rsidRPr="0025691E" w:rsidRDefault="005F04C9"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La Ley General de Transparencia y Acceso a la Información Pública, publicada en el Diario Oficial de la Federación el cuatro de mayo de dos mil quince, dispone en su artículo 70, la información que se considera corresponde a las Obligaciones de Transparencia, la cual debe estar disponible para cualquier persona de manera permanente y actualizada.</w:t>
      </w:r>
    </w:p>
    <w:p w14:paraId="508FC1DC" w14:textId="77777777" w:rsidR="00CE18C8" w:rsidRPr="0025691E" w:rsidRDefault="00CE18C8" w:rsidP="00CE18C8">
      <w:pPr>
        <w:spacing w:line="360" w:lineRule="auto"/>
        <w:jc w:val="both"/>
        <w:rPr>
          <w:rFonts w:ascii="Palatino Linotype" w:hAnsi="Palatino Linotype" w:cs="Tahoma"/>
          <w:sz w:val="22"/>
          <w:szCs w:val="22"/>
        </w:rPr>
      </w:pPr>
    </w:p>
    <w:p w14:paraId="69FDA58D" w14:textId="48E321C7" w:rsidR="005F04C9" w:rsidRPr="0025691E" w:rsidRDefault="005F04C9"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3AA7FE42" w14:textId="77777777" w:rsidR="00672007" w:rsidRPr="0025691E" w:rsidRDefault="00672007" w:rsidP="00CE18C8">
      <w:pPr>
        <w:spacing w:line="360" w:lineRule="auto"/>
        <w:jc w:val="both"/>
        <w:rPr>
          <w:rFonts w:ascii="Palatino Linotype" w:hAnsi="Palatino Linotype" w:cs="Tahoma"/>
          <w:sz w:val="22"/>
          <w:szCs w:val="22"/>
        </w:rPr>
      </w:pPr>
    </w:p>
    <w:p w14:paraId="42C51160" w14:textId="77777777" w:rsidR="005F04C9" w:rsidRPr="0025691E" w:rsidRDefault="005F04C9"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Por su parte, la Ley de Transparencia y Acceso a la Información Pública del Estado de México y Municipios (Reglamentaria del artículo 5° de la Constitución Local), establece lo siguiente:</w:t>
      </w:r>
    </w:p>
    <w:p w14:paraId="19A3B2FD" w14:textId="77777777" w:rsidR="005F04C9" w:rsidRPr="0025691E" w:rsidRDefault="005F04C9"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El artículo 12, que, quienes generen, recopilen, administren, manejen, procesen, archiven o conserven información pública serán responsables de la misma.</w:t>
      </w:r>
    </w:p>
    <w:p w14:paraId="38165CE4" w14:textId="77777777" w:rsidR="005F04C9" w:rsidRPr="0025691E" w:rsidRDefault="005F04C9" w:rsidP="00CE18C8">
      <w:pPr>
        <w:spacing w:line="360" w:lineRule="auto"/>
        <w:jc w:val="both"/>
        <w:rPr>
          <w:rFonts w:ascii="Palatino Linotype" w:hAnsi="Palatino Linotype" w:cs="Tahoma"/>
          <w:sz w:val="22"/>
          <w:szCs w:val="22"/>
        </w:rPr>
      </w:pPr>
    </w:p>
    <w:p w14:paraId="4CF66D85" w14:textId="77777777" w:rsidR="005F04C9" w:rsidRPr="0025691E" w:rsidRDefault="005F04C9"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24D4673A" w14:textId="77777777" w:rsidR="005F04C9" w:rsidRPr="0025691E" w:rsidRDefault="005F04C9" w:rsidP="00CE18C8">
      <w:pPr>
        <w:spacing w:line="360" w:lineRule="auto"/>
        <w:jc w:val="both"/>
        <w:rPr>
          <w:rFonts w:ascii="Palatino Linotype" w:hAnsi="Palatino Linotype" w:cs="Tahoma"/>
          <w:sz w:val="22"/>
          <w:szCs w:val="22"/>
        </w:rPr>
      </w:pPr>
    </w:p>
    <w:p w14:paraId="0388E2BB" w14:textId="77777777" w:rsidR="005F04C9" w:rsidRPr="0025691E" w:rsidRDefault="005F04C9"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6B2DD3E" w14:textId="77777777" w:rsidR="005F04C9" w:rsidRPr="0025691E" w:rsidRDefault="005F04C9" w:rsidP="00CE18C8">
      <w:pPr>
        <w:spacing w:line="360" w:lineRule="auto"/>
        <w:jc w:val="both"/>
        <w:rPr>
          <w:rFonts w:ascii="Palatino Linotype" w:hAnsi="Palatino Linotype" w:cs="Tahoma"/>
          <w:iCs/>
          <w:sz w:val="22"/>
          <w:szCs w:val="22"/>
        </w:rPr>
      </w:pPr>
    </w:p>
    <w:p w14:paraId="06DE7276" w14:textId="298B53C1" w:rsidR="005F04C9" w:rsidRPr="0025691E" w:rsidRDefault="005F04C9" w:rsidP="00CE18C8">
      <w:pPr>
        <w:spacing w:line="360" w:lineRule="auto"/>
        <w:jc w:val="both"/>
        <w:rPr>
          <w:rFonts w:ascii="Palatino Linotype" w:hAnsi="Palatino Linotype" w:cs="Tahoma"/>
          <w:b/>
          <w:sz w:val="22"/>
          <w:szCs w:val="22"/>
        </w:rPr>
      </w:pPr>
      <w:r w:rsidRPr="008E2812">
        <w:rPr>
          <w:rFonts w:ascii="Palatino Linotype" w:hAnsi="Palatino Linotype" w:cs="Tahoma"/>
          <w:b/>
          <w:sz w:val="22"/>
          <w:szCs w:val="22"/>
        </w:rPr>
        <w:t>QUINTO. Estudio de Fondo</w:t>
      </w:r>
    </w:p>
    <w:p w14:paraId="1ED9D1AA" w14:textId="77777777" w:rsidR="005F04C9" w:rsidRPr="0025691E" w:rsidRDefault="005F04C9" w:rsidP="00CE18C8">
      <w:pPr>
        <w:spacing w:line="360" w:lineRule="auto"/>
        <w:jc w:val="both"/>
        <w:rPr>
          <w:rFonts w:ascii="Palatino Linotype" w:hAnsi="Palatino Linotype" w:cs="Tahoma"/>
          <w:sz w:val="22"/>
          <w:szCs w:val="22"/>
        </w:rPr>
      </w:pPr>
    </w:p>
    <w:p w14:paraId="254D3476" w14:textId="653A78C8" w:rsidR="005F04C9" w:rsidRPr="00B04159" w:rsidRDefault="005F04C9" w:rsidP="00B04159">
      <w:pPr>
        <w:spacing w:line="360" w:lineRule="auto"/>
        <w:jc w:val="both"/>
        <w:rPr>
          <w:rFonts w:ascii="Palatino Linotype" w:hAnsi="Palatino Linotype"/>
          <w:sz w:val="22"/>
          <w:szCs w:val="22"/>
        </w:rPr>
      </w:pPr>
      <w:r w:rsidRPr="0025691E">
        <w:rPr>
          <w:rFonts w:ascii="Palatino Linotype" w:hAnsi="Palatino Linotype"/>
          <w:sz w:val="22"/>
          <w:szCs w:val="22"/>
        </w:rPr>
        <w:t xml:space="preserve">Expuestas las posturas de las partes, se procede al análisis del agravio hecho valer por </w:t>
      </w:r>
      <w:r w:rsidR="00F17ED8" w:rsidRPr="0025691E">
        <w:rPr>
          <w:rFonts w:ascii="Palatino Linotype" w:hAnsi="Palatino Linotype"/>
          <w:sz w:val="22"/>
          <w:szCs w:val="22"/>
        </w:rPr>
        <w:t>el</w:t>
      </w:r>
      <w:r w:rsidRPr="0025691E">
        <w:rPr>
          <w:rFonts w:ascii="Palatino Linotype" w:hAnsi="Palatino Linotype"/>
          <w:sz w:val="22"/>
          <w:szCs w:val="22"/>
        </w:rPr>
        <w:t xml:space="preserve"> ahora Recurrente, concerniente a la entrega de información </w:t>
      </w:r>
      <w:r w:rsidR="0095692D" w:rsidRPr="0025691E">
        <w:rPr>
          <w:rFonts w:ascii="Palatino Linotype" w:hAnsi="Palatino Linotype"/>
          <w:sz w:val="22"/>
          <w:szCs w:val="22"/>
        </w:rPr>
        <w:t>incompleta</w:t>
      </w:r>
      <w:r w:rsidRPr="0025691E">
        <w:rPr>
          <w:rFonts w:ascii="Palatino Linotype" w:hAnsi="Palatino Linotype"/>
          <w:sz w:val="22"/>
          <w:szCs w:val="22"/>
        </w:rPr>
        <w:t>; sin embargo, para realizar dicha acción, en principio es necesario</w:t>
      </w:r>
      <w:r w:rsidR="0095692D" w:rsidRPr="0025691E">
        <w:rPr>
          <w:rFonts w:ascii="Palatino Linotype" w:hAnsi="Palatino Linotype"/>
          <w:sz w:val="22"/>
          <w:szCs w:val="22"/>
        </w:rPr>
        <w:t xml:space="preserve"> contextualizar la solicitud de información, en relación con </w:t>
      </w:r>
      <w:r w:rsidR="000C2A57">
        <w:rPr>
          <w:rFonts w:ascii="Palatino Linotype" w:hAnsi="Palatino Linotype"/>
          <w:sz w:val="22"/>
          <w:szCs w:val="22"/>
        </w:rPr>
        <w:t xml:space="preserve">los Dictámenes realizados por el </w:t>
      </w:r>
      <w:r w:rsidR="00B04159" w:rsidRPr="00B04159">
        <w:rPr>
          <w:rFonts w:ascii="Palatino Linotype" w:hAnsi="Palatino Linotype"/>
          <w:sz w:val="22"/>
          <w:szCs w:val="22"/>
        </w:rPr>
        <w:t xml:space="preserve"> Instituto de Transparencia, Acceso a la Información Pública y Protección de Datos</w:t>
      </w:r>
      <w:r w:rsidR="00B04159">
        <w:rPr>
          <w:rFonts w:ascii="Palatino Linotype" w:hAnsi="Palatino Linotype"/>
          <w:sz w:val="22"/>
          <w:szCs w:val="22"/>
        </w:rPr>
        <w:t xml:space="preserve"> </w:t>
      </w:r>
      <w:r w:rsidR="00B04159" w:rsidRPr="00B04159">
        <w:rPr>
          <w:rFonts w:ascii="Palatino Linotype" w:hAnsi="Palatino Linotype"/>
          <w:sz w:val="22"/>
          <w:szCs w:val="22"/>
        </w:rPr>
        <w:t>Personales del Estado de México y Municipios (</w:t>
      </w:r>
      <w:proofErr w:type="spellStart"/>
      <w:r w:rsidR="00B04159" w:rsidRPr="00B04159">
        <w:rPr>
          <w:rFonts w:ascii="Palatino Linotype" w:hAnsi="Palatino Linotype"/>
          <w:sz w:val="22"/>
          <w:szCs w:val="22"/>
        </w:rPr>
        <w:t>Infoem</w:t>
      </w:r>
      <w:proofErr w:type="spellEnd"/>
      <w:r w:rsidR="00B04159" w:rsidRPr="00B04159">
        <w:rPr>
          <w:rFonts w:ascii="Palatino Linotype" w:hAnsi="Palatino Linotype"/>
          <w:sz w:val="22"/>
          <w:szCs w:val="22"/>
        </w:rPr>
        <w:t>)</w:t>
      </w:r>
      <w:r w:rsidR="00B04159">
        <w:rPr>
          <w:rFonts w:ascii="Palatino Linotype" w:hAnsi="Palatino Linotype"/>
          <w:sz w:val="22"/>
          <w:szCs w:val="22"/>
        </w:rPr>
        <w:t xml:space="preserve"> al Ayuntamiento de Toluca, en relación a los resultados de Transparencia Proactiva, correspondientes de dos mil diecinueve al catorce de febrero de dos mil veinticuatro. </w:t>
      </w:r>
    </w:p>
    <w:p w14:paraId="71FCBBE4" w14:textId="77777777" w:rsidR="00900362" w:rsidRPr="0025691E" w:rsidRDefault="00900362" w:rsidP="00CE18C8">
      <w:pPr>
        <w:spacing w:line="360" w:lineRule="auto"/>
        <w:jc w:val="both"/>
        <w:rPr>
          <w:rFonts w:ascii="Palatino Linotype" w:hAnsi="Palatino Linotype"/>
          <w:sz w:val="22"/>
          <w:szCs w:val="22"/>
        </w:rPr>
      </w:pPr>
    </w:p>
    <w:p w14:paraId="6D985CC5" w14:textId="4C108608" w:rsidR="00CE7360" w:rsidRDefault="00CE7360"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 xml:space="preserve">Al respecto, </w:t>
      </w:r>
      <w:r w:rsidR="00FF5805">
        <w:rPr>
          <w:rFonts w:ascii="Palatino Linotype" w:hAnsi="Palatino Linotype" w:cs="Tahoma"/>
          <w:sz w:val="22"/>
          <w:szCs w:val="22"/>
        </w:rPr>
        <w:t xml:space="preserve">los </w:t>
      </w:r>
      <w:r w:rsidR="001B2EB8" w:rsidRPr="0025691E">
        <w:rPr>
          <w:rFonts w:ascii="Palatino Linotype" w:hAnsi="Palatino Linotype" w:cs="Tahoma"/>
          <w:sz w:val="22"/>
          <w:szCs w:val="22"/>
        </w:rPr>
        <w:t>artículo</w:t>
      </w:r>
      <w:r w:rsidR="00FF5805">
        <w:rPr>
          <w:rFonts w:ascii="Palatino Linotype" w:hAnsi="Palatino Linotype" w:cs="Tahoma"/>
          <w:sz w:val="22"/>
          <w:szCs w:val="22"/>
        </w:rPr>
        <w:t>s</w:t>
      </w:r>
      <w:r w:rsidR="001B2EB8" w:rsidRPr="0025691E">
        <w:rPr>
          <w:rFonts w:ascii="Palatino Linotype" w:hAnsi="Palatino Linotype" w:cs="Tahoma"/>
          <w:sz w:val="22"/>
          <w:szCs w:val="22"/>
        </w:rPr>
        <w:t xml:space="preserve"> </w:t>
      </w:r>
      <w:r w:rsidR="00B04159">
        <w:rPr>
          <w:rFonts w:ascii="Palatino Linotype" w:hAnsi="Palatino Linotype" w:cs="Tahoma"/>
          <w:sz w:val="22"/>
          <w:szCs w:val="22"/>
        </w:rPr>
        <w:t>70</w:t>
      </w:r>
      <w:r w:rsidR="00FF5805">
        <w:rPr>
          <w:rFonts w:ascii="Palatino Linotype" w:hAnsi="Palatino Linotype" w:cs="Tahoma"/>
          <w:sz w:val="22"/>
          <w:szCs w:val="22"/>
        </w:rPr>
        <w:t xml:space="preserve"> y 72</w:t>
      </w:r>
      <w:r w:rsidR="00BF1587">
        <w:rPr>
          <w:rFonts w:ascii="Palatino Linotype" w:hAnsi="Palatino Linotype" w:cs="Tahoma"/>
          <w:sz w:val="22"/>
          <w:szCs w:val="22"/>
        </w:rPr>
        <w:t xml:space="preserve"> de la</w:t>
      </w:r>
      <w:r w:rsidR="001B2EB8" w:rsidRPr="0025691E">
        <w:rPr>
          <w:rFonts w:ascii="Palatino Linotype" w:hAnsi="Palatino Linotype" w:cs="Tahoma"/>
          <w:sz w:val="22"/>
          <w:szCs w:val="22"/>
        </w:rPr>
        <w:t xml:space="preserve"> </w:t>
      </w:r>
      <w:r w:rsidR="00BF1587" w:rsidRPr="0025691E">
        <w:rPr>
          <w:rFonts w:ascii="Palatino Linotype" w:hAnsi="Palatino Linotype" w:cs="Tahoma"/>
          <w:sz w:val="22"/>
          <w:szCs w:val="24"/>
          <w:lang w:val="es-ES"/>
        </w:rPr>
        <w:t>Ley de Transparencia y Acceso a la Información Pública del Estado de México y Municipios</w:t>
      </w:r>
      <w:r w:rsidR="00BF1587">
        <w:rPr>
          <w:rFonts w:ascii="Palatino Linotype" w:hAnsi="Palatino Linotype" w:cs="Tahoma"/>
          <w:sz w:val="22"/>
          <w:szCs w:val="24"/>
          <w:lang w:val="es-ES"/>
        </w:rPr>
        <w:t>,</w:t>
      </w:r>
      <w:r w:rsidR="00BF1587" w:rsidRPr="0025691E">
        <w:rPr>
          <w:rFonts w:ascii="Palatino Linotype" w:hAnsi="Palatino Linotype" w:cs="Tahoma"/>
          <w:sz w:val="22"/>
          <w:szCs w:val="22"/>
        </w:rPr>
        <w:t xml:space="preserve"> </w:t>
      </w:r>
      <w:r w:rsidR="007000DF" w:rsidRPr="0025691E">
        <w:rPr>
          <w:rFonts w:ascii="Palatino Linotype" w:hAnsi="Palatino Linotype" w:cs="Tahoma"/>
          <w:sz w:val="22"/>
          <w:szCs w:val="22"/>
        </w:rPr>
        <w:t>precisa</w:t>
      </w:r>
      <w:r w:rsidR="00BF1587">
        <w:rPr>
          <w:rFonts w:ascii="Palatino Linotype" w:hAnsi="Palatino Linotype" w:cs="Tahoma"/>
          <w:sz w:val="22"/>
          <w:szCs w:val="22"/>
        </w:rPr>
        <w:t>n</w:t>
      </w:r>
      <w:r w:rsidR="007000DF" w:rsidRPr="0025691E">
        <w:rPr>
          <w:rFonts w:ascii="Palatino Linotype" w:hAnsi="Palatino Linotype" w:cs="Tahoma"/>
          <w:sz w:val="22"/>
          <w:szCs w:val="22"/>
        </w:rPr>
        <w:t xml:space="preserve"> que </w:t>
      </w:r>
      <w:r w:rsidR="00B04159">
        <w:rPr>
          <w:rFonts w:ascii="Palatino Linotype" w:hAnsi="Palatino Linotype" w:cs="Tahoma"/>
          <w:sz w:val="22"/>
          <w:szCs w:val="22"/>
        </w:rPr>
        <w:t xml:space="preserve">el </w:t>
      </w:r>
      <w:r w:rsidR="00B04159" w:rsidRPr="00B04159">
        <w:rPr>
          <w:rFonts w:ascii="Palatino Linotype" w:hAnsi="Palatino Linotype" w:cs="Tahoma"/>
          <w:sz w:val="22"/>
          <w:szCs w:val="22"/>
        </w:rPr>
        <w:t xml:space="preserve">Instituto de Transparencia, Acceso a la </w:t>
      </w:r>
      <w:r w:rsidR="00B04159" w:rsidRPr="00B04159">
        <w:rPr>
          <w:rFonts w:ascii="Palatino Linotype" w:hAnsi="Palatino Linotype" w:cs="Tahoma"/>
          <w:sz w:val="22"/>
          <w:szCs w:val="22"/>
        </w:rPr>
        <w:lastRenderedPageBreak/>
        <w:t>Información Pública y Protección de Datos Personales del Estado de México y Municipios</w:t>
      </w:r>
      <w:r w:rsidR="001B2EB8" w:rsidRPr="0025691E">
        <w:rPr>
          <w:rFonts w:ascii="Palatino Linotype" w:hAnsi="Palatino Linotype" w:cs="Tahoma"/>
          <w:sz w:val="22"/>
          <w:szCs w:val="22"/>
        </w:rPr>
        <w:t>,</w:t>
      </w:r>
      <w:r w:rsidR="007000DF" w:rsidRPr="0025691E">
        <w:rPr>
          <w:rFonts w:ascii="Palatino Linotype" w:hAnsi="Palatino Linotype" w:cs="Tahoma"/>
          <w:sz w:val="22"/>
          <w:szCs w:val="22"/>
        </w:rPr>
        <w:t xml:space="preserve"> </w:t>
      </w:r>
      <w:r w:rsidR="00B04159">
        <w:rPr>
          <w:rFonts w:ascii="Palatino Linotype" w:hAnsi="Palatino Linotype" w:cs="Tahoma"/>
          <w:sz w:val="22"/>
          <w:szCs w:val="22"/>
        </w:rPr>
        <w:t xml:space="preserve">emitirá políticas de </w:t>
      </w:r>
      <w:r w:rsidR="00B04159" w:rsidRPr="00FF5805">
        <w:rPr>
          <w:rFonts w:ascii="Palatino Linotype" w:hAnsi="Palatino Linotype" w:cs="Tahoma"/>
          <w:b/>
          <w:bCs/>
          <w:sz w:val="22"/>
          <w:szCs w:val="22"/>
        </w:rPr>
        <w:t>transparencia proactiva</w:t>
      </w:r>
      <w:r w:rsidR="00B04159">
        <w:rPr>
          <w:rFonts w:ascii="Palatino Linotype" w:hAnsi="Palatino Linotype" w:cs="Tahoma"/>
          <w:sz w:val="22"/>
          <w:szCs w:val="22"/>
        </w:rPr>
        <w:t xml:space="preserve"> para </w:t>
      </w:r>
      <w:r w:rsidR="00B04159" w:rsidRPr="00FF5805">
        <w:rPr>
          <w:rFonts w:ascii="Palatino Linotype" w:hAnsi="Palatino Linotype" w:cs="Tahoma"/>
          <w:sz w:val="22"/>
          <w:szCs w:val="22"/>
          <w:u w:val="single"/>
        </w:rPr>
        <w:t xml:space="preserve">incentivar a los Sujetos Obligados a publicar información adicional </w:t>
      </w:r>
      <w:r w:rsidR="00B04159">
        <w:rPr>
          <w:rFonts w:ascii="Palatino Linotype" w:hAnsi="Palatino Linotype" w:cs="Tahoma"/>
          <w:sz w:val="22"/>
          <w:szCs w:val="22"/>
        </w:rPr>
        <w:t>a la que se establece como mínimo en la ley</w:t>
      </w:r>
      <w:r w:rsidR="00FF5805">
        <w:rPr>
          <w:rFonts w:ascii="Palatino Linotype" w:hAnsi="Palatino Linotype" w:cs="Tahoma"/>
          <w:sz w:val="22"/>
          <w:szCs w:val="22"/>
        </w:rPr>
        <w:t>,</w:t>
      </w:r>
      <w:r w:rsidR="00B04159">
        <w:rPr>
          <w:rFonts w:ascii="Palatino Linotype" w:hAnsi="Palatino Linotype" w:cs="Tahoma"/>
          <w:sz w:val="22"/>
          <w:szCs w:val="22"/>
        </w:rPr>
        <w:t xml:space="preserve"> así, dichas políticas tendrán por objeto, promover la reutilización de la información que generan los Sujetos Obligados</w:t>
      </w:r>
      <w:r w:rsidR="00FF5805">
        <w:rPr>
          <w:rFonts w:ascii="Palatino Linotype" w:hAnsi="Palatino Linotype" w:cs="Tahoma"/>
          <w:sz w:val="22"/>
          <w:szCs w:val="22"/>
        </w:rPr>
        <w:t xml:space="preserve">, considerando la demanda de la sociedad y para tal efecto, el Instituto publicará los criterios para evaluar la efectividad de la política de la transparencia proactiva. </w:t>
      </w:r>
    </w:p>
    <w:p w14:paraId="3CF8423A" w14:textId="77777777" w:rsidR="004D2055" w:rsidRPr="0025691E" w:rsidRDefault="004D2055" w:rsidP="00CE18C8">
      <w:pPr>
        <w:spacing w:line="360" w:lineRule="auto"/>
        <w:jc w:val="both"/>
        <w:rPr>
          <w:rFonts w:ascii="Palatino Linotype" w:hAnsi="Palatino Linotype" w:cs="Tahoma"/>
          <w:sz w:val="22"/>
          <w:szCs w:val="22"/>
        </w:rPr>
      </w:pPr>
    </w:p>
    <w:p w14:paraId="6ECD6AF3" w14:textId="5D7BB967" w:rsidR="007000DF" w:rsidRPr="0025691E" w:rsidRDefault="007000DF"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Así mismo, los artículos 3</w:t>
      </w:r>
      <w:r w:rsidRPr="0025691E">
        <w:rPr>
          <w:rFonts w:ascii="Palatino Linotype" w:hAnsi="Palatino Linotype" w:cs="Tahoma"/>
          <w:sz w:val="22"/>
          <w:szCs w:val="22"/>
          <w:vertAlign w:val="superscript"/>
        </w:rPr>
        <w:t>o</w:t>
      </w:r>
      <w:r w:rsidRPr="0025691E">
        <w:rPr>
          <w:rFonts w:ascii="Palatino Linotype" w:hAnsi="Palatino Linotype" w:cs="Tahoma"/>
          <w:sz w:val="22"/>
          <w:szCs w:val="22"/>
        </w:rPr>
        <w:t xml:space="preserve"> y </w:t>
      </w:r>
      <w:bookmarkStart w:id="1" w:name="_Hlk179394610"/>
      <w:r w:rsidRPr="0025691E">
        <w:rPr>
          <w:rFonts w:ascii="Palatino Linotype" w:hAnsi="Palatino Linotype" w:cs="Tahoma"/>
          <w:sz w:val="22"/>
          <w:szCs w:val="22"/>
        </w:rPr>
        <w:t>25, fracci</w:t>
      </w:r>
      <w:r w:rsidR="00FF5805">
        <w:rPr>
          <w:rFonts w:ascii="Palatino Linotype" w:hAnsi="Palatino Linotype" w:cs="Tahoma"/>
          <w:sz w:val="22"/>
          <w:szCs w:val="22"/>
        </w:rPr>
        <w:t>ones</w:t>
      </w:r>
      <w:r w:rsidR="00733337">
        <w:rPr>
          <w:rFonts w:ascii="Palatino Linotype" w:hAnsi="Palatino Linotype" w:cs="Tahoma"/>
          <w:sz w:val="22"/>
          <w:szCs w:val="22"/>
        </w:rPr>
        <w:t xml:space="preserve"> XIV, XV, XVII y XVIII</w:t>
      </w:r>
      <w:bookmarkEnd w:id="1"/>
      <w:r w:rsidRPr="0025691E">
        <w:rPr>
          <w:rFonts w:ascii="Palatino Linotype" w:hAnsi="Palatino Linotype" w:cs="Tahoma"/>
          <w:sz w:val="22"/>
          <w:szCs w:val="22"/>
        </w:rPr>
        <w:t>, del Reglamento Interior del Instituto de Transparencia, Acceso a la Información Pública y Protección de Datos Personales del Estado de México y Municipios, precisan que para el ejercicio de sus atribuciones, el Instituto contará con diversas unidades administrativas entre las cuales se encuentra la Dirección General de Transparencia, Acceso a la Información Pública y Gobierno Abierto</w:t>
      </w:r>
      <w:r w:rsidR="001B2EB8" w:rsidRPr="0025691E">
        <w:rPr>
          <w:rFonts w:ascii="Palatino Linotype" w:hAnsi="Palatino Linotype" w:cs="Tahoma"/>
          <w:sz w:val="22"/>
          <w:szCs w:val="22"/>
        </w:rPr>
        <w:t>, encargada</w:t>
      </w:r>
      <w:r w:rsidRPr="0025691E">
        <w:rPr>
          <w:rFonts w:ascii="Palatino Linotype" w:hAnsi="Palatino Linotype" w:cs="Tahoma"/>
          <w:sz w:val="22"/>
          <w:szCs w:val="22"/>
        </w:rPr>
        <w:t xml:space="preserve"> de </w:t>
      </w:r>
      <w:r w:rsidR="00733337">
        <w:rPr>
          <w:rFonts w:ascii="Palatino Linotype" w:hAnsi="Palatino Linotype" w:cs="Tahoma"/>
          <w:sz w:val="22"/>
          <w:szCs w:val="22"/>
        </w:rPr>
        <w:t xml:space="preserve">implementar las políticas de Transparencia Proactiva y los criterios para evaluar su efectividad al interior del Instituto, evaluar a los Sujetos Obligados en el marco de las políticas de Transparencia Proactiva, proponer y recopilar prácticas de transparencia proactiva y en su caso implementarlas con los Sujetos Obligados, así como evaluar las prácticas de transparencia proactiva de los Sujetos Obligados.  </w:t>
      </w:r>
    </w:p>
    <w:p w14:paraId="360CF97A" w14:textId="77777777" w:rsidR="00CE18C8" w:rsidRPr="0025691E" w:rsidRDefault="00CE18C8" w:rsidP="00CE18C8">
      <w:pPr>
        <w:spacing w:line="360" w:lineRule="auto"/>
        <w:jc w:val="both"/>
        <w:rPr>
          <w:rFonts w:ascii="Palatino Linotype" w:hAnsi="Palatino Linotype" w:cs="Tahoma"/>
          <w:sz w:val="22"/>
          <w:szCs w:val="22"/>
        </w:rPr>
      </w:pPr>
    </w:p>
    <w:p w14:paraId="3AE7C392" w14:textId="1EA1A395" w:rsidR="00B937E9" w:rsidRDefault="007000DF"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 xml:space="preserve">Además, este Instituto localizó </w:t>
      </w:r>
      <w:r w:rsidR="00B937E9">
        <w:rPr>
          <w:rFonts w:ascii="Palatino Linotype" w:hAnsi="Palatino Linotype" w:cs="Tahoma"/>
          <w:sz w:val="22"/>
          <w:szCs w:val="22"/>
        </w:rPr>
        <w:t>las Políticas de Transparencia Proactiva del Instituto de Transparencia, Acceso a la Información Pública y Protección de Datos Personales del Estado de México</w:t>
      </w:r>
      <w:r w:rsidRPr="0025691E">
        <w:rPr>
          <w:rFonts w:ascii="Palatino Linotype" w:hAnsi="Palatino Linotype" w:cs="Tahoma"/>
          <w:sz w:val="22"/>
          <w:szCs w:val="22"/>
        </w:rPr>
        <w:t xml:space="preserve">, </w:t>
      </w:r>
      <w:r w:rsidR="00BF1587">
        <w:rPr>
          <w:rFonts w:ascii="Palatino Linotype" w:hAnsi="Palatino Linotype" w:cs="Tahoma"/>
          <w:sz w:val="22"/>
          <w:szCs w:val="22"/>
        </w:rPr>
        <w:t xml:space="preserve">las cuales </w:t>
      </w:r>
      <w:r w:rsidR="00B937E9">
        <w:rPr>
          <w:rFonts w:ascii="Palatino Linotype" w:hAnsi="Palatino Linotype" w:cs="Tahoma"/>
          <w:sz w:val="22"/>
          <w:szCs w:val="22"/>
        </w:rPr>
        <w:t xml:space="preserve">precisan que una vez que lo Sujetos Obligados hayan identificado la información en el marco de transparencia proactiva la remitirán al Instituto anualmente para su validación, misma que será supervisada conforme a los procedimientos establecidos por el Instituto. </w:t>
      </w:r>
    </w:p>
    <w:p w14:paraId="77EF6F82" w14:textId="77777777" w:rsidR="00B937E9" w:rsidRDefault="00B937E9" w:rsidP="00CE18C8">
      <w:pPr>
        <w:spacing w:line="360" w:lineRule="auto"/>
        <w:jc w:val="both"/>
        <w:rPr>
          <w:rFonts w:ascii="Palatino Linotype" w:hAnsi="Palatino Linotype" w:cs="Tahoma"/>
          <w:sz w:val="22"/>
          <w:szCs w:val="22"/>
        </w:rPr>
      </w:pPr>
    </w:p>
    <w:p w14:paraId="2DD209EC" w14:textId="79FA90A6" w:rsidR="007000DF" w:rsidRPr="0025691E" w:rsidRDefault="004A7871" w:rsidP="00CE18C8">
      <w:pPr>
        <w:spacing w:line="360" w:lineRule="auto"/>
        <w:jc w:val="both"/>
        <w:rPr>
          <w:rFonts w:ascii="Palatino Linotype" w:hAnsi="Palatino Linotype" w:cs="Tahoma"/>
          <w:sz w:val="22"/>
          <w:szCs w:val="22"/>
        </w:rPr>
      </w:pPr>
      <w:r>
        <w:rPr>
          <w:rFonts w:ascii="Palatino Linotype" w:hAnsi="Palatino Linotype" w:cs="Tahoma"/>
          <w:sz w:val="22"/>
          <w:szCs w:val="22"/>
        </w:rPr>
        <w:t xml:space="preserve">Asimismo, se localizó el Acuerdo mediante el cual el Pleno del Instituto de Transparencia, Acceso a la Información Pública  y Protección de Datos Personales del Estado de México y </w:t>
      </w:r>
      <w:r>
        <w:rPr>
          <w:rFonts w:ascii="Palatino Linotype" w:hAnsi="Palatino Linotype" w:cs="Tahoma"/>
          <w:sz w:val="22"/>
          <w:szCs w:val="22"/>
        </w:rPr>
        <w:lastRenderedPageBreak/>
        <w:t xml:space="preserve">Municipios aprobó los Criterios de Evaluación de las Políticas de Transparencia Proactiva, precisan que el Instituto de manera </w:t>
      </w:r>
      <w:r w:rsidRPr="004A7871">
        <w:rPr>
          <w:rFonts w:ascii="Palatino Linotype" w:hAnsi="Palatino Linotype" w:cs="Tahoma"/>
          <w:sz w:val="22"/>
          <w:szCs w:val="22"/>
          <w:u w:val="single"/>
        </w:rPr>
        <w:t xml:space="preserve">anual en el </w:t>
      </w:r>
      <w:r w:rsidRPr="00E33784">
        <w:rPr>
          <w:rFonts w:ascii="Palatino Linotype" w:hAnsi="Palatino Linotype" w:cs="Tahoma"/>
          <w:b/>
          <w:bCs/>
          <w:sz w:val="22"/>
          <w:szCs w:val="22"/>
          <w:u w:val="single"/>
        </w:rPr>
        <w:t>mes de mayo</w:t>
      </w:r>
      <w:r w:rsidRPr="004A7871">
        <w:rPr>
          <w:rFonts w:ascii="Palatino Linotype" w:hAnsi="Palatino Linotype" w:cs="Tahoma"/>
          <w:sz w:val="22"/>
          <w:szCs w:val="22"/>
          <w:u w:val="single"/>
        </w:rPr>
        <w:t xml:space="preserve"> emitirá una convocatori</w:t>
      </w:r>
      <w:r>
        <w:rPr>
          <w:rFonts w:ascii="Palatino Linotype" w:hAnsi="Palatino Linotype" w:cs="Tahoma"/>
          <w:sz w:val="22"/>
          <w:szCs w:val="22"/>
        </w:rPr>
        <w:t xml:space="preserve">a para que los Sujetos Obligados soliciten el </w:t>
      </w:r>
      <w:r w:rsidRPr="00E33784">
        <w:rPr>
          <w:rFonts w:ascii="Palatino Linotype" w:hAnsi="Palatino Linotype" w:cs="Tahoma"/>
          <w:b/>
          <w:bCs/>
          <w:sz w:val="22"/>
          <w:szCs w:val="22"/>
        </w:rPr>
        <w:t>Reconocimiento de Transparencia Proactiva</w:t>
      </w:r>
      <w:r>
        <w:rPr>
          <w:rFonts w:ascii="Palatino Linotype" w:hAnsi="Palatino Linotype" w:cs="Tahoma"/>
          <w:sz w:val="22"/>
          <w:szCs w:val="22"/>
        </w:rPr>
        <w:t xml:space="preserve">, para el cual los Sujeto Obligados deberán obtener una calificación del 100%, resultados que se darán a conocer el primero de septiembre de cada año en la página oficial del Instituto. </w:t>
      </w:r>
    </w:p>
    <w:p w14:paraId="6B198953" w14:textId="77777777" w:rsidR="007000DF" w:rsidRPr="0025691E" w:rsidRDefault="007000DF" w:rsidP="00CE18C8">
      <w:pPr>
        <w:spacing w:line="360" w:lineRule="auto"/>
        <w:jc w:val="both"/>
        <w:rPr>
          <w:rFonts w:ascii="Palatino Linotype" w:hAnsi="Palatino Linotype" w:cs="Tahoma"/>
          <w:sz w:val="22"/>
          <w:szCs w:val="22"/>
        </w:rPr>
      </w:pPr>
    </w:p>
    <w:p w14:paraId="5F49D6E9" w14:textId="16B86E59" w:rsidR="007000DF" w:rsidRPr="0025691E" w:rsidRDefault="000D00B4" w:rsidP="00CE18C8">
      <w:pPr>
        <w:spacing w:line="360" w:lineRule="auto"/>
        <w:jc w:val="both"/>
        <w:rPr>
          <w:rFonts w:ascii="Palatino Linotype" w:hAnsi="Palatino Linotype" w:cs="Tahoma"/>
          <w:sz w:val="22"/>
          <w:szCs w:val="22"/>
        </w:rPr>
      </w:pPr>
      <w:r w:rsidRPr="0025691E">
        <w:rPr>
          <w:rFonts w:ascii="Palatino Linotype" w:hAnsi="Palatino Linotype"/>
          <w:color w:val="000000" w:themeColor="text1"/>
          <w:sz w:val="22"/>
        </w:rPr>
        <w:t>Así</w:t>
      </w:r>
      <w:r w:rsidR="007000DF" w:rsidRPr="0025691E">
        <w:rPr>
          <w:rFonts w:ascii="Palatino Linotype" w:hAnsi="Palatino Linotype"/>
          <w:color w:val="000000" w:themeColor="text1"/>
          <w:sz w:val="22"/>
        </w:rPr>
        <w:t xml:space="preserve">, se logra vislumbrar que la pretensión del ahora Recurrente, es obtener los </w:t>
      </w:r>
      <w:r w:rsidR="00E33784">
        <w:rPr>
          <w:rFonts w:ascii="Palatino Linotype" w:hAnsi="Palatino Linotype"/>
          <w:color w:val="000000" w:themeColor="text1"/>
          <w:sz w:val="22"/>
        </w:rPr>
        <w:t xml:space="preserve">dictámenes realizados por este Instituto para determinar el Reconocimiento de Transparencia Proactiva de dos mil diecinueve al catorce de febrero de dos mil veinticuatro.  </w:t>
      </w:r>
    </w:p>
    <w:p w14:paraId="2E6EE6FB" w14:textId="77777777" w:rsidR="007000DF" w:rsidRPr="0025691E" w:rsidRDefault="007000DF" w:rsidP="00CE18C8">
      <w:pPr>
        <w:spacing w:line="360" w:lineRule="auto"/>
        <w:jc w:val="both"/>
        <w:rPr>
          <w:rFonts w:ascii="Palatino Linotype" w:hAnsi="Palatino Linotype" w:cs="Tahoma"/>
          <w:sz w:val="22"/>
          <w:szCs w:val="22"/>
        </w:rPr>
      </w:pPr>
    </w:p>
    <w:p w14:paraId="2ACB8E05" w14:textId="20C0BA8F" w:rsidR="00CE18C8" w:rsidRPr="0025691E" w:rsidRDefault="000063D7" w:rsidP="00CE18C8">
      <w:pPr>
        <w:spacing w:line="360" w:lineRule="auto"/>
        <w:jc w:val="both"/>
        <w:rPr>
          <w:rFonts w:ascii="Palatino Linotype" w:hAnsi="Palatino Linotype" w:cs="Tahoma"/>
          <w:bCs/>
          <w:iCs/>
          <w:sz w:val="22"/>
          <w:szCs w:val="22"/>
        </w:rPr>
      </w:pPr>
      <w:r w:rsidRPr="0025691E">
        <w:rPr>
          <w:rFonts w:ascii="Palatino Linotype" w:hAnsi="Palatino Linotype" w:cs="Tahoma"/>
          <w:iCs/>
          <w:sz w:val="22"/>
          <w:szCs w:val="22"/>
          <w:lang w:val="es-ES"/>
        </w:rPr>
        <w:t xml:space="preserve">Establecida dicha circunstancia, se procede analizar la respuesta entregada, por lo que en principio es de señalar que de las constancias que obran en el expediente, se logra vislumbrar que el Ayuntamiento turno la solicitud de información a la </w:t>
      </w:r>
      <w:r w:rsidR="007000DF" w:rsidRPr="0025691E">
        <w:rPr>
          <w:rFonts w:ascii="Palatino Linotype" w:hAnsi="Palatino Linotype" w:cs="Tahoma"/>
          <w:iCs/>
          <w:sz w:val="22"/>
          <w:szCs w:val="22"/>
          <w:lang w:val="es-ES"/>
        </w:rPr>
        <w:t>Unidad de Transparencia</w:t>
      </w:r>
      <w:r w:rsidRPr="0025691E">
        <w:rPr>
          <w:rFonts w:ascii="Palatino Linotype" w:hAnsi="Palatino Linotype" w:cs="Tahoma"/>
          <w:iCs/>
          <w:sz w:val="22"/>
          <w:szCs w:val="22"/>
          <w:lang w:val="es-ES"/>
        </w:rPr>
        <w:t>; por lo que, r</w:t>
      </w:r>
      <w:proofErr w:type="spellStart"/>
      <w:r w:rsidR="00FE7F0A" w:rsidRPr="0025691E">
        <w:rPr>
          <w:rFonts w:ascii="Palatino Linotype" w:hAnsi="Palatino Linotype" w:cs="Tahoma"/>
          <w:bCs/>
          <w:iCs/>
          <w:sz w:val="22"/>
          <w:szCs w:val="22"/>
        </w:rPr>
        <w:t>esulta</w:t>
      </w:r>
      <w:proofErr w:type="spellEnd"/>
      <w:r w:rsidRPr="0025691E">
        <w:rPr>
          <w:rFonts w:ascii="Palatino Linotype" w:hAnsi="Palatino Linotype" w:cs="Tahoma"/>
          <w:bCs/>
          <w:iCs/>
          <w:sz w:val="22"/>
          <w:szCs w:val="22"/>
        </w:rPr>
        <w:t xml:space="preserve"> necesario hacer referencia al procedimiento de búsqueda que debió seguir los Sujetos Obligados para localizar la información, el cual se encuentra previsto en los artículos 160 y 162 de la Ley de Transparencia y Acceso a la Información Pública del Estado de México y Municipios, mismo que es el siguiente:</w:t>
      </w:r>
    </w:p>
    <w:p w14:paraId="5E142158" w14:textId="77777777" w:rsidR="00CE18C8" w:rsidRPr="0025691E" w:rsidRDefault="00CE18C8" w:rsidP="00CE18C8">
      <w:pPr>
        <w:spacing w:line="360" w:lineRule="auto"/>
        <w:jc w:val="both"/>
        <w:rPr>
          <w:rFonts w:ascii="Palatino Linotype" w:hAnsi="Palatino Linotype" w:cs="Tahoma"/>
          <w:bCs/>
          <w:iCs/>
          <w:sz w:val="22"/>
          <w:szCs w:val="22"/>
        </w:rPr>
      </w:pPr>
    </w:p>
    <w:p w14:paraId="635A975A" w14:textId="77777777" w:rsidR="000063D7" w:rsidRPr="0025691E" w:rsidRDefault="000063D7" w:rsidP="00CE18C8">
      <w:pPr>
        <w:numPr>
          <w:ilvl w:val="0"/>
          <w:numId w:val="16"/>
        </w:numPr>
        <w:spacing w:line="360" w:lineRule="auto"/>
        <w:jc w:val="both"/>
        <w:rPr>
          <w:rFonts w:ascii="Palatino Linotype" w:hAnsi="Palatino Linotype" w:cs="Tahoma"/>
          <w:bCs/>
          <w:iCs/>
          <w:sz w:val="22"/>
          <w:szCs w:val="22"/>
          <w:lang w:val="es-ES"/>
        </w:rPr>
      </w:pPr>
      <w:r w:rsidRPr="0025691E">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14:paraId="256D3A01" w14:textId="77777777" w:rsidR="000063D7" w:rsidRPr="0025691E" w:rsidRDefault="000063D7" w:rsidP="00CE18C8">
      <w:pPr>
        <w:spacing w:line="360" w:lineRule="auto"/>
        <w:ind w:left="720"/>
        <w:jc w:val="both"/>
        <w:rPr>
          <w:rFonts w:ascii="Palatino Linotype" w:hAnsi="Palatino Linotype" w:cs="Tahoma"/>
          <w:bCs/>
          <w:iCs/>
          <w:sz w:val="22"/>
          <w:szCs w:val="22"/>
          <w:lang w:val="es-ES"/>
        </w:rPr>
      </w:pPr>
    </w:p>
    <w:p w14:paraId="6A56F7D3" w14:textId="77777777" w:rsidR="000063D7" w:rsidRPr="0025691E" w:rsidRDefault="000063D7" w:rsidP="00CE18C8">
      <w:pPr>
        <w:numPr>
          <w:ilvl w:val="0"/>
          <w:numId w:val="16"/>
        </w:numPr>
        <w:spacing w:line="360" w:lineRule="auto"/>
        <w:jc w:val="both"/>
        <w:rPr>
          <w:rFonts w:ascii="Palatino Linotype" w:hAnsi="Palatino Linotype" w:cs="Tahoma"/>
          <w:bCs/>
          <w:iCs/>
          <w:sz w:val="22"/>
          <w:szCs w:val="22"/>
          <w:lang w:val="es-ES"/>
        </w:rPr>
      </w:pPr>
      <w:r w:rsidRPr="0025691E">
        <w:rPr>
          <w:rFonts w:ascii="Palatino Linotype" w:hAnsi="Palatino Linotype" w:cs="Tahoma"/>
          <w:bCs/>
          <w:iCs/>
          <w:sz w:val="22"/>
          <w:szCs w:val="22"/>
          <w:lang w:val="es-ES"/>
        </w:rPr>
        <w:t xml:space="preserve">Los sujetos obligados otorgaran acceso a los documentos que se encuentren en sus archivos o que estén obligados a documentar de acuerdo con sus facultades, </w:t>
      </w:r>
      <w:r w:rsidRPr="0025691E">
        <w:rPr>
          <w:rFonts w:ascii="Palatino Linotype" w:hAnsi="Palatino Linotype" w:cs="Tahoma"/>
          <w:bCs/>
          <w:iCs/>
          <w:sz w:val="22"/>
          <w:szCs w:val="22"/>
          <w:lang w:val="es-ES"/>
        </w:rPr>
        <w:lastRenderedPageBreak/>
        <w:t>competencias o funciones, en el formato en que la solicitante manifieste, de entre aquellos formatos existentes.</w:t>
      </w:r>
    </w:p>
    <w:p w14:paraId="256E5416" w14:textId="77777777" w:rsidR="000063D7" w:rsidRPr="0025691E" w:rsidRDefault="000063D7" w:rsidP="00CE18C8">
      <w:pPr>
        <w:spacing w:line="360" w:lineRule="auto"/>
        <w:jc w:val="both"/>
        <w:rPr>
          <w:rFonts w:ascii="Palatino Linotype" w:hAnsi="Palatino Linotype" w:cs="Tahoma"/>
          <w:bCs/>
          <w:iCs/>
          <w:sz w:val="22"/>
          <w:szCs w:val="22"/>
        </w:rPr>
      </w:pPr>
    </w:p>
    <w:p w14:paraId="149CA231" w14:textId="070CEF34" w:rsidR="000063D7" w:rsidRPr="0025691E" w:rsidRDefault="000063D7" w:rsidP="00CE18C8">
      <w:pPr>
        <w:spacing w:line="360" w:lineRule="auto"/>
        <w:jc w:val="both"/>
        <w:rPr>
          <w:rFonts w:ascii="Palatino Linotype" w:eastAsia="Calibri" w:hAnsi="Palatino Linotype"/>
          <w:color w:val="000000" w:themeColor="text1"/>
          <w:szCs w:val="22"/>
          <w:lang w:eastAsia="en-US"/>
        </w:rPr>
      </w:pPr>
      <w:r w:rsidRPr="0025691E">
        <w:rPr>
          <w:rFonts w:ascii="Palatino Linotype" w:eastAsia="Calibri" w:hAnsi="Palatino Linotype"/>
          <w:bCs/>
          <w:color w:val="000000" w:themeColor="text1"/>
          <w:sz w:val="22"/>
          <w:szCs w:val="22"/>
          <w:lang w:eastAsia="en-US"/>
        </w:rPr>
        <w:t xml:space="preserve">Así, a efecto de verificar que el Sujeto Obligado cumplió con dicho procedimiento, es necesario citar </w:t>
      </w:r>
      <w:r w:rsidR="005D41C0">
        <w:rPr>
          <w:rFonts w:ascii="Palatino Linotype" w:eastAsia="Calibri" w:hAnsi="Palatino Linotype"/>
          <w:bCs/>
          <w:color w:val="000000" w:themeColor="text1"/>
          <w:sz w:val="22"/>
          <w:szCs w:val="22"/>
          <w:lang w:eastAsia="en-US"/>
        </w:rPr>
        <w:t>el</w:t>
      </w:r>
      <w:r w:rsidR="00225DC2" w:rsidRPr="0025691E">
        <w:rPr>
          <w:rFonts w:ascii="Palatino Linotype" w:eastAsia="Calibri" w:hAnsi="Palatino Linotype"/>
          <w:bCs/>
          <w:color w:val="000000" w:themeColor="text1"/>
          <w:sz w:val="22"/>
          <w:szCs w:val="22"/>
          <w:lang w:eastAsia="en-US"/>
        </w:rPr>
        <w:t xml:space="preserve"> </w:t>
      </w:r>
      <w:r w:rsidR="005D41C0">
        <w:rPr>
          <w:rFonts w:ascii="Palatino Linotype" w:eastAsia="Calibri" w:hAnsi="Palatino Linotype"/>
          <w:bCs/>
          <w:color w:val="000000" w:themeColor="text1"/>
          <w:sz w:val="22"/>
          <w:szCs w:val="22"/>
          <w:lang w:eastAsia="en-US"/>
        </w:rPr>
        <w:t>Manual de Organización de la Secretaría del Ayuntamiento de Toluca</w:t>
      </w:r>
      <w:r w:rsidRPr="0025691E">
        <w:rPr>
          <w:rFonts w:ascii="Palatino Linotype" w:eastAsia="Calibri" w:hAnsi="Palatino Linotype"/>
          <w:bCs/>
          <w:color w:val="000000" w:themeColor="text1"/>
          <w:sz w:val="22"/>
          <w:szCs w:val="22"/>
          <w:lang w:eastAsia="en-US"/>
        </w:rPr>
        <w:t xml:space="preserve"> que precisa que, para el ejercicio de sus funciones, contará con la </w:t>
      </w:r>
      <w:r w:rsidR="007000DF" w:rsidRPr="0025691E">
        <w:rPr>
          <w:rFonts w:ascii="Palatino Linotype" w:eastAsia="Calibri" w:hAnsi="Palatino Linotype"/>
          <w:bCs/>
          <w:color w:val="000000" w:themeColor="text1"/>
          <w:sz w:val="22"/>
          <w:szCs w:val="22"/>
          <w:lang w:eastAsia="en-US"/>
        </w:rPr>
        <w:t>Unidad de Transparencia</w:t>
      </w:r>
      <w:r w:rsidR="005D41C0">
        <w:rPr>
          <w:rFonts w:ascii="Palatino Linotype" w:eastAsia="Calibri" w:hAnsi="Palatino Linotype"/>
          <w:bCs/>
          <w:color w:val="000000" w:themeColor="text1"/>
          <w:sz w:val="22"/>
          <w:szCs w:val="22"/>
          <w:lang w:eastAsia="en-US"/>
        </w:rPr>
        <w:t xml:space="preserve"> con número de registro </w:t>
      </w:r>
      <w:r w:rsidR="005D41C0" w:rsidRPr="005D41C0">
        <w:rPr>
          <w:rFonts w:ascii="Palatino Linotype" w:eastAsia="Calibri" w:hAnsi="Palatino Linotype"/>
          <w:bCs/>
          <w:color w:val="000000" w:themeColor="text1"/>
          <w:sz w:val="22"/>
          <w:szCs w:val="22"/>
          <w:lang w:eastAsia="en-US"/>
        </w:rPr>
        <w:t>2010A4000</w:t>
      </w:r>
      <w:r w:rsidRPr="0025691E">
        <w:rPr>
          <w:rFonts w:ascii="Palatino Linotype" w:eastAsia="Calibri" w:hAnsi="Palatino Linotype"/>
          <w:bCs/>
          <w:color w:val="000000" w:themeColor="text1"/>
          <w:sz w:val="22"/>
          <w:szCs w:val="22"/>
          <w:lang w:eastAsia="en-US"/>
        </w:rPr>
        <w:t xml:space="preserve">, encargada de </w:t>
      </w:r>
      <w:r w:rsidR="005D41C0">
        <w:rPr>
          <w:rFonts w:ascii="Palatino Linotype" w:eastAsia="Calibri" w:hAnsi="Palatino Linotype"/>
          <w:bCs/>
          <w:color w:val="000000" w:themeColor="text1"/>
          <w:sz w:val="22"/>
          <w:szCs w:val="22"/>
          <w:lang w:eastAsia="en-US"/>
        </w:rPr>
        <w:t>dirigir las actividades de transparencia, acceso a la información y protección de datos personales</w:t>
      </w:r>
      <w:r w:rsidR="00E547D1">
        <w:rPr>
          <w:rFonts w:ascii="Palatino Linotype" w:eastAsia="Calibri" w:hAnsi="Palatino Linotype"/>
          <w:bCs/>
          <w:color w:val="000000" w:themeColor="text1"/>
          <w:sz w:val="22"/>
          <w:szCs w:val="22"/>
          <w:lang w:eastAsia="en-US"/>
        </w:rPr>
        <w:t xml:space="preserve">, coordinar recopilar y difundir información pública de oficio de competencia de los Servidores Públicos Habilitados, atender las determinaciones del Instituto de Transparencia y Acceso a la Información  Pública del Estado de México y Municipios, así como promover e implementar políticas de transparencia proactiva y de interés público procurando su accesibilidad. </w:t>
      </w:r>
    </w:p>
    <w:p w14:paraId="5806EF3E" w14:textId="77777777" w:rsidR="000063D7" w:rsidRPr="0025691E" w:rsidRDefault="000063D7" w:rsidP="00CE18C8">
      <w:pPr>
        <w:spacing w:line="360" w:lineRule="auto"/>
        <w:jc w:val="both"/>
        <w:rPr>
          <w:rFonts w:ascii="Palatino Linotype" w:eastAsia="Calibri" w:hAnsi="Palatino Linotype"/>
          <w:color w:val="000000" w:themeColor="text1"/>
          <w:szCs w:val="22"/>
          <w:lang w:eastAsia="en-US"/>
        </w:rPr>
      </w:pPr>
    </w:p>
    <w:p w14:paraId="1D14F544" w14:textId="253B31F5" w:rsidR="000063D7" w:rsidRPr="0025691E" w:rsidRDefault="000063D7" w:rsidP="00CE18C8">
      <w:pPr>
        <w:spacing w:line="360" w:lineRule="auto"/>
        <w:jc w:val="both"/>
        <w:rPr>
          <w:rFonts w:ascii="Palatino Linotype" w:hAnsi="Palatino Linotype" w:cs="Tahoma"/>
          <w:bCs/>
          <w:sz w:val="22"/>
          <w:szCs w:val="22"/>
        </w:rPr>
      </w:pPr>
      <w:r w:rsidRPr="0025691E">
        <w:rPr>
          <w:rFonts w:ascii="Palatino Linotype" w:hAnsi="Palatino Linotype" w:cs="Tahoma"/>
          <w:bCs/>
          <w:sz w:val="22"/>
          <w:szCs w:val="22"/>
        </w:rPr>
        <w:t xml:space="preserve">Conforme a lo anterior, se advierte que el Ente Recurrido turno la solicitud al área competente, a saber, la </w:t>
      </w:r>
      <w:r w:rsidR="007000DF" w:rsidRPr="0025691E">
        <w:rPr>
          <w:rFonts w:ascii="Palatino Linotype" w:hAnsi="Palatino Linotype" w:cs="Tahoma"/>
          <w:bCs/>
          <w:sz w:val="22"/>
          <w:szCs w:val="22"/>
        </w:rPr>
        <w:t>Unidad de Transparencia</w:t>
      </w:r>
      <w:r w:rsidR="00225DC2" w:rsidRPr="0025691E">
        <w:rPr>
          <w:rFonts w:ascii="Palatino Linotype" w:hAnsi="Palatino Linotype" w:cs="Tahoma"/>
          <w:bCs/>
          <w:sz w:val="22"/>
          <w:szCs w:val="22"/>
        </w:rPr>
        <w:t xml:space="preserve">, </w:t>
      </w:r>
      <w:r w:rsidRPr="0025691E">
        <w:rPr>
          <w:rFonts w:ascii="Palatino Linotype" w:hAnsi="Palatino Linotype" w:cs="Tahoma"/>
          <w:sz w:val="22"/>
          <w:szCs w:val="22"/>
          <w:lang w:eastAsia="es-MX"/>
        </w:rPr>
        <w:t xml:space="preserve">área encargada de </w:t>
      </w:r>
      <w:r w:rsidR="00E547D1">
        <w:rPr>
          <w:rFonts w:ascii="Palatino Linotype" w:hAnsi="Palatino Linotype" w:cs="Tahoma"/>
          <w:sz w:val="22"/>
          <w:szCs w:val="22"/>
          <w:lang w:eastAsia="es-MX"/>
        </w:rPr>
        <w:t>promover y coordinar acciones de transparencia proactiva</w:t>
      </w:r>
      <w:r w:rsidRPr="0025691E">
        <w:rPr>
          <w:rFonts w:ascii="Palatino Linotype" w:hAnsi="Palatino Linotype" w:cs="Tahoma"/>
          <w:bCs/>
          <w:sz w:val="22"/>
          <w:szCs w:val="22"/>
        </w:rPr>
        <w:t>; por lo que, se colige que cumplió con parte del artículo 162 de la Ley de Transparencia y Acceso a la Información Pública del Estado de México y Municipios.</w:t>
      </w:r>
    </w:p>
    <w:p w14:paraId="48120014" w14:textId="77777777" w:rsidR="000063D7" w:rsidRPr="0025691E" w:rsidRDefault="000063D7" w:rsidP="00CE18C8">
      <w:pPr>
        <w:spacing w:line="360" w:lineRule="auto"/>
        <w:jc w:val="both"/>
        <w:rPr>
          <w:rFonts w:ascii="Palatino Linotype" w:hAnsi="Palatino Linotype" w:cs="Tahoma"/>
          <w:bCs/>
          <w:sz w:val="22"/>
          <w:szCs w:val="22"/>
        </w:rPr>
      </w:pPr>
    </w:p>
    <w:p w14:paraId="7599D8F4" w14:textId="5D637CD8" w:rsidR="000063D7" w:rsidRPr="0025691E" w:rsidRDefault="000063D7" w:rsidP="00CE18C8">
      <w:pPr>
        <w:spacing w:line="360" w:lineRule="auto"/>
        <w:jc w:val="both"/>
        <w:rPr>
          <w:rFonts w:ascii="Palatino Linotype" w:hAnsi="Palatino Linotype"/>
          <w:iCs/>
          <w:sz w:val="22"/>
        </w:rPr>
      </w:pPr>
      <w:r w:rsidRPr="0025691E">
        <w:rPr>
          <w:rFonts w:ascii="Palatino Linotype" w:hAnsi="Palatino Linotype"/>
          <w:iCs/>
          <w:sz w:val="22"/>
        </w:rPr>
        <w:t xml:space="preserve">Ahora bien, dicha área </w:t>
      </w:r>
      <w:r w:rsidR="007000DF" w:rsidRPr="0025691E">
        <w:rPr>
          <w:rFonts w:ascii="Palatino Linotype" w:hAnsi="Palatino Linotype"/>
          <w:iCs/>
          <w:sz w:val="22"/>
        </w:rPr>
        <w:t xml:space="preserve">proporcionó </w:t>
      </w:r>
      <w:r w:rsidR="00E547D1">
        <w:rPr>
          <w:rFonts w:ascii="Palatino Linotype" w:hAnsi="Palatino Linotype"/>
          <w:iCs/>
          <w:sz w:val="22"/>
        </w:rPr>
        <w:t xml:space="preserve">los Dictámenes para determinar el Reconocimiento de Practicas de Transparencia Proactiva de dos mil </w:t>
      </w:r>
      <w:r w:rsidR="007000DF" w:rsidRPr="0025691E">
        <w:rPr>
          <w:rFonts w:ascii="Palatino Linotype" w:hAnsi="Palatino Linotype"/>
          <w:iCs/>
          <w:sz w:val="22"/>
        </w:rPr>
        <w:t xml:space="preserve"> </w:t>
      </w:r>
      <w:r w:rsidR="00E547D1">
        <w:rPr>
          <w:rFonts w:ascii="Palatino Linotype" w:hAnsi="Palatino Linotype"/>
          <w:iCs/>
          <w:sz w:val="22"/>
        </w:rPr>
        <w:t>veintiuno, dos mil veintidós y dos mil veintitrés</w:t>
      </w:r>
      <w:r w:rsidR="007000DF" w:rsidRPr="0025691E">
        <w:rPr>
          <w:rFonts w:ascii="Palatino Linotype" w:hAnsi="Palatino Linotype"/>
          <w:iCs/>
          <w:sz w:val="22"/>
        </w:rPr>
        <w:t xml:space="preserve">, </w:t>
      </w:r>
      <w:r w:rsidR="00E547D1">
        <w:rPr>
          <w:rFonts w:ascii="Palatino Linotype" w:hAnsi="Palatino Linotype"/>
          <w:iCs/>
          <w:sz w:val="22"/>
        </w:rPr>
        <w:t>en los que se logra vislumbrar la participación y evaluación del Ayuntamiento de Toluca</w:t>
      </w:r>
      <w:r w:rsidR="007000DF" w:rsidRPr="0025691E">
        <w:rPr>
          <w:rFonts w:ascii="Palatino Linotype" w:hAnsi="Palatino Linotype"/>
          <w:iCs/>
          <w:sz w:val="22"/>
        </w:rPr>
        <w:t xml:space="preserve">, tal como se muestra en </w:t>
      </w:r>
      <w:r w:rsidR="008E2812" w:rsidRPr="0025691E">
        <w:rPr>
          <w:rFonts w:ascii="Palatino Linotype" w:hAnsi="Palatino Linotype"/>
          <w:iCs/>
          <w:sz w:val="22"/>
        </w:rPr>
        <w:t>las siguientes imágenes ilustrativas</w:t>
      </w:r>
      <w:r w:rsidR="007000DF" w:rsidRPr="0025691E">
        <w:rPr>
          <w:rFonts w:ascii="Palatino Linotype" w:hAnsi="Palatino Linotype"/>
          <w:iCs/>
          <w:sz w:val="22"/>
        </w:rPr>
        <w:t xml:space="preserve">: </w:t>
      </w:r>
    </w:p>
    <w:p w14:paraId="2616075E" w14:textId="11161A5E" w:rsidR="007000DF" w:rsidRDefault="007000DF" w:rsidP="00CE18C8">
      <w:pPr>
        <w:spacing w:line="360" w:lineRule="auto"/>
        <w:jc w:val="both"/>
        <w:rPr>
          <w:rFonts w:ascii="Palatino Linotype" w:hAnsi="Palatino Linotype"/>
          <w:iCs/>
          <w:sz w:val="22"/>
        </w:rPr>
      </w:pPr>
    </w:p>
    <w:p w14:paraId="524583A8" w14:textId="33887FE0" w:rsidR="00E547D1" w:rsidRPr="008E2812" w:rsidRDefault="008E2812" w:rsidP="00E547D1">
      <w:pPr>
        <w:spacing w:line="360" w:lineRule="auto"/>
        <w:jc w:val="center"/>
        <w:rPr>
          <w:rFonts w:ascii="Palatino Linotype" w:hAnsi="Palatino Linotype"/>
          <w:b/>
          <w:bCs/>
          <w:iCs/>
          <w:sz w:val="22"/>
        </w:rPr>
      </w:pPr>
      <w:r w:rsidRPr="008E2812">
        <w:rPr>
          <w:rFonts w:ascii="Palatino Linotype" w:hAnsi="Palatino Linotype"/>
          <w:b/>
          <w:bCs/>
          <w:iCs/>
          <w:sz w:val="22"/>
        </w:rPr>
        <w:t>2021</w:t>
      </w:r>
    </w:p>
    <w:p w14:paraId="17FE528E" w14:textId="11E9D2B7" w:rsidR="00E547D1" w:rsidRPr="0025691E" w:rsidRDefault="00E547D1" w:rsidP="00E547D1">
      <w:pPr>
        <w:spacing w:line="360" w:lineRule="auto"/>
        <w:jc w:val="center"/>
        <w:rPr>
          <w:rFonts w:ascii="Palatino Linotype" w:hAnsi="Palatino Linotype"/>
          <w:iCs/>
          <w:sz w:val="22"/>
        </w:rPr>
      </w:pPr>
      <w:r w:rsidRPr="00E547D1">
        <w:rPr>
          <w:rFonts w:ascii="Palatino Linotype" w:hAnsi="Palatino Linotype"/>
          <w:iCs/>
          <w:noProof/>
          <w:sz w:val="22"/>
          <w:lang w:eastAsia="es-MX"/>
        </w:rPr>
        <w:lastRenderedPageBreak/>
        <w:drawing>
          <wp:inline distT="0" distB="0" distL="0" distR="0" wp14:anchorId="6E53DD74" wp14:editId="4F62064C">
            <wp:extent cx="4312433" cy="1099185"/>
            <wp:effectExtent l="0" t="0" r="571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 r="567" b="7638"/>
                    <a:stretch/>
                  </pic:blipFill>
                  <pic:spPr bwMode="auto">
                    <a:xfrm>
                      <a:off x="0" y="0"/>
                      <a:ext cx="4333030" cy="1104435"/>
                    </a:xfrm>
                    <a:prstGeom prst="rect">
                      <a:avLst/>
                    </a:prstGeom>
                    <a:ln>
                      <a:noFill/>
                    </a:ln>
                    <a:extLst>
                      <a:ext uri="{53640926-AAD7-44D8-BBD7-CCE9431645EC}">
                        <a14:shadowObscured xmlns:a14="http://schemas.microsoft.com/office/drawing/2010/main"/>
                      </a:ext>
                    </a:extLst>
                  </pic:spPr>
                </pic:pic>
              </a:graphicData>
            </a:graphic>
          </wp:inline>
        </w:drawing>
      </w:r>
    </w:p>
    <w:p w14:paraId="63B80D50" w14:textId="7B89A71E" w:rsidR="008E2812" w:rsidRDefault="008340C0" w:rsidP="008E2812">
      <w:pPr>
        <w:spacing w:line="360" w:lineRule="auto"/>
        <w:jc w:val="center"/>
        <w:rPr>
          <w:noProof/>
        </w:rPr>
      </w:pPr>
      <w:r w:rsidRPr="008340C0">
        <w:rPr>
          <w:noProof/>
          <w:lang w:eastAsia="es-MX"/>
        </w:rPr>
        <w:drawing>
          <wp:inline distT="0" distB="0" distL="0" distR="0" wp14:anchorId="3AEC1AFA" wp14:editId="67A8C8BD">
            <wp:extent cx="4281030" cy="15896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29976"/>
                    <a:stretch/>
                  </pic:blipFill>
                  <pic:spPr bwMode="auto">
                    <a:xfrm>
                      <a:off x="0" y="0"/>
                      <a:ext cx="4296903" cy="1595536"/>
                    </a:xfrm>
                    <a:prstGeom prst="rect">
                      <a:avLst/>
                    </a:prstGeom>
                    <a:ln>
                      <a:noFill/>
                    </a:ln>
                    <a:extLst>
                      <a:ext uri="{53640926-AAD7-44D8-BBD7-CCE9431645EC}">
                        <a14:shadowObscured xmlns:a14="http://schemas.microsoft.com/office/drawing/2010/main"/>
                      </a:ext>
                    </a:extLst>
                  </pic:spPr>
                </pic:pic>
              </a:graphicData>
            </a:graphic>
          </wp:inline>
        </w:drawing>
      </w:r>
    </w:p>
    <w:p w14:paraId="664A0C26" w14:textId="77777777" w:rsidR="00672817" w:rsidRDefault="00672817" w:rsidP="008E2812">
      <w:pPr>
        <w:spacing w:line="360" w:lineRule="auto"/>
        <w:jc w:val="center"/>
        <w:rPr>
          <w:noProof/>
        </w:rPr>
      </w:pPr>
    </w:p>
    <w:p w14:paraId="24210CF9" w14:textId="77777777" w:rsidR="00672817" w:rsidRPr="00E547D1" w:rsidRDefault="00672817" w:rsidP="008E2812">
      <w:pPr>
        <w:spacing w:line="360" w:lineRule="auto"/>
        <w:jc w:val="center"/>
        <w:rPr>
          <w:noProof/>
        </w:rPr>
      </w:pPr>
    </w:p>
    <w:p w14:paraId="2AABFEAA" w14:textId="2122CD55" w:rsidR="00CE18C8" w:rsidRPr="008E2812" w:rsidRDefault="008E2812" w:rsidP="008E2812">
      <w:pPr>
        <w:spacing w:line="360" w:lineRule="auto"/>
        <w:jc w:val="center"/>
        <w:rPr>
          <w:b/>
          <w:bCs/>
          <w:noProof/>
          <w:sz w:val="22"/>
        </w:rPr>
      </w:pPr>
      <w:r w:rsidRPr="008E2812">
        <w:rPr>
          <w:b/>
          <w:bCs/>
          <w:noProof/>
          <w:sz w:val="22"/>
        </w:rPr>
        <w:t>2022</w:t>
      </w:r>
    </w:p>
    <w:p w14:paraId="06EFB27C" w14:textId="69BA1197" w:rsidR="008E2812" w:rsidRDefault="008E2812" w:rsidP="008E2812">
      <w:pPr>
        <w:spacing w:line="360" w:lineRule="auto"/>
        <w:jc w:val="center"/>
        <w:rPr>
          <w:rFonts w:ascii="Palatino Linotype" w:hAnsi="Palatino Linotype"/>
          <w:noProof/>
          <w:sz w:val="22"/>
          <w:szCs w:val="22"/>
        </w:rPr>
      </w:pPr>
      <w:r w:rsidRPr="008E2812">
        <w:rPr>
          <w:rFonts w:ascii="Palatino Linotype" w:hAnsi="Palatino Linotype"/>
          <w:noProof/>
          <w:sz w:val="22"/>
          <w:szCs w:val="22"/>
          <w:lang w:eastAsia="es-MX"/>
        </w:rPr>
        <w:drawing>
          <wp:inline distT="0" distB="0" distL="0" distR="0" wp14:anchorId="15108506" wp14:editId="45231645">
            <wp:extent cx="4253116" cy="2548653"/>
            <wp:effectExtent l="0" t="0" r="0" b="44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88980" cy="2570144"/>
                    </a:xfrm>
                    <a:prstGeom prst="rect">
                      <a:avLst/>
                    </a:prstGeom>
                  </pic:spPr>
                </pic:pic>
              </a:graphicData>
            </a:graphic>
          </wp:inline>
        </w:drawing>
      </w:r>
    </w:p>
    <w:p w14:paraId="2241B496" w14:textId="1E2AE8C5" w:rsidR="008E2812" w:rsidRDefault="008E2812" w:rsidP="008E2812">
      <w:pPr>
        <w:spacing w:line="360" w:lineRule="auto"/>
        <w:jc w:val="center"/>
        <w:rPr>
          <w:rFonts w:ascii="Palatino Linotype" w:hAnsi="Palatino Linotype"/>
          <w:noProof/>
          <w:sz w:val="22"/>
          <w:szCs w:val="22"/>
        </w:rPr>
      </w:pPr>
      <w:r>
        <w:rPr>
          <w:rFonts w:ascii="Palatino Linotype" w:hAnsi="Palatino Linotype"/>
          <w:noProof/>
          <w:sz w:val="22"/>
          <w:szCs w:val="22"/>
        </w:rPr>
        <w:t>…</w:t>
      </w:r>
    </w:p>
    <w:p w14:paraId="359F2788" w14:textId="6C6C08FF" w:rsidR="008E2812" w:rsidRDefault="008E2812" w:rsidP="008E2812">
      <w:pPr>
        <w:spacing w:line="360" w:lineRule="auto"/>
        <w:jc w:val="center"/>
        <w:rPr>
          <w:rFonts w:ascii="Palatino Linotype" w:hAnsi="Palatino Linotype"/>
          <w:noProof/>
          <w:sz w:val="22"/>
          <w:szCs w:val="22"/>
        </w:rPr>
      </w:pPr>
      <w:r w:rsidRPr="008E2812">
        <w:rPr>
          <w:rFonts w:ascii="Palatino Linotype" w:hAnsi="Palatino Linotype"/>
          <w:noProof/>
          <w:sz w:val="22"/>
          <w:szCs w:val="22"/>
          <w:lang w:eastAsia="es-MX"/>
        </w:rPr>
        <w:lastRenderedPageBreak/>
        <w:drawing>
          <wp:inline distT="0" distB="0" distL="0" distR="0" wp14:anchorId="5B7A8FB6" wp14:editId="24F2833C">
            <wp:extent cx="4059302" cy="3822320"/>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88539" cy="3849850"/>
                    </a:xfrm>
                    <a:prstGeom prst="rect">
                      <a:avLst/>
                    </a:prstGeom>
                  </pic:spPr>
                </pic:pic>
              </a:graphicData>
            </a:graphic>
          </wp:inline>
        </w:drawing>
      </w:r>
    </w:p>
    <w:p w14:paraId="4B42326A" w14:textId="3A0D0B84" w:rsidR="008E2812" w:rsidRPr="008E2812" w:rsidRDefault="008E2812" w:rsidP="008E2812">
      <w:pPr>
        <w:spacing w:line="360" w:lineRule="auto"/>
        <w:jc w:val="center"/>
        <w:rPr>
          <w:rFonts w:ascii="Palatino Linotype" w:hAnsi="Palatino Linotype"/>
          <w:b/>
          <w:bCs/>
          <w:noProof/>
          <w:sz w:val="22"/>
          <w:szCs w:val="22"/>
        </w:rPr>
      </w:pPr>
      <w:r w:rsidRPr="008E2812">
        <w:rPr>
          <w:rFonts w:ascii="Palatino Linotype" w:hAnsi="Palatino Linotype"/>
          <w:b/>
          <w:bCs/>
          <w:noProof/>
          <w:sz w:val="22"/>
          <w:szCs w:val="22"/>
        </w:rPr>
        <w:t>2023</w:t>
      </w:r>
    </w:p>
    <w:p w14:paraId="5F803C01" w14:textId="608ABCE0" w:rsidR="008E2812" w:rsidRDefault="008E2812" w:rsidP="008E2812">
      <w:pPr>
        <w:spacing w:line="360" w:lineRule="auto"/>
        <w:jc w:val="center"/>
        <w:rPr>
          <w:rFonts w:ascii="Palatino Linotype" w:hAnsi="Palatino Linotype"/>
          <w:noProof/>
          <w:sz w:val="22"/>
          <w:szCs w:val="22"/>
        </w:rPr>
      </w:pPr>
      <w:r w:rsidRPr="008E2812">
        <w:rPr>
          <w:rFonts w:ascii="Palatino Linotype" w:hAnsi="Palatino Linotype"/>
          <w:noProof/>
          <w:sz w:val="22"/>
          <w:szCs w:val="22"/>
          <w:lang w:eastAsia="es-MX"/>
        </w:rPr>
        <w:drawing>
          <wp:inline distT="0" distB="0" distL="0" distR="0" wp14:anchorId="457CCBAB" wp14:editId="6FB92CA8">
            <wp:extent cx="3893216" cy="3164619"/>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58015" cy="3217291"/>
                    </a:xfrm>
                    <a:prstGeom prst="rect">
                      <a:avLst/>
                    </a:prstGeom>
                  </pic:spPr>
                </pic:pic>
              </a:graphicData>
            </a:graphic>
          </wp:inline>
        </w:drawing>
      </w:r>
    </w:p>
    <w:p w14:paraId="395EC0F1" w14:textId="77777777" w:rsidR="00BF1587" w:rsidRDefault="00BF1587" w:rsidP="00CE18C8">
      <w:pPr>
        <w:spacing w:line="360" w:lineRule="auto"/>
        <w:jc w:val="both"/>
        <w:rPr>
          <w:rFonts w:ascii="Palatino Linotype" w:hAnsi="Palatino Linotype"/>
          <w:noProof/>
          <w:sz w:val="22"/>
          <w:szCs w:val="22"/>
        </w:rPr>
      </w:pPr>
    </w:p>
    <w:p w14:paraId="439D9851" w14:textId="7E98721D" w:rsidR="007000DF" w:rsidRPr="0025691E" w:rsidRDefault="007000DF" w:rsidP="00CE18C8">
      <w:pPr>
        <w:spacing w:line="360" w:lineRule="auto"/>
        <w:jc w:val="both"/>
        <w:rPr>
          <w:rFonts w:ascii="Palatino Linotype" w:hAnsi="Palatino Linotype"/>
          <w:noProof/>
          <w:sz w:val="22"/>
          <w:szCs w:val="22"/>
        </w:rPr>
      </w:pPr>
      <w:r w:rsidRPr="0025691E">
        <w:rPr>
          <w:rFonts w:ascii="Palatino Linotype" w:hAnsi="Palatino Linotype"/>
          <w:noProof/>
          <w:sz w:val="22"/>
          <w:szCs w:val="22"/>
        </w:rPr>
        <w:t xml:space="preserve">Así mismo, </w:t>
      </w:r>
      <w:r w:rsidR="008340C0">
        <w:rPr>
          <w:rFonts w:ascii="Palatino Linotype" w:hAnsi="Palatino Linotype"/>
          <w:noProof/>
          <w:sz w:val="22"/>
          <w:szCs w:val="22"/>
        </w:rPr>
        <w:t xml:space="preserve">precisó que no contaba con la información respecto a dos mil diecinueve, dos mil veinte y al catorce de febereo de dos mil veinticuatro, por no haberla poseío o administrado ya que dependía directamente del INFOEM. </w:t>
      </w:r>
    </w:p>
    <w:p w14:paraId="7E1DE8FF" w14:textId="77777777" w:rsidR="00CE18C8" w:rsidRPr="0025691E" w:rsidRDefault="00CE18C8" w:rsidP="00CE18C8">
      <w:pPr>
        <w:spacing w:line="360" w:lineRule="auto"/>
        <w:jc w:val="both"/>
        <w:rPr>
          <w:rFonts w:ascii="Palatino Linotype" w:hAnsi="Palatino Linotype"/>
          <w:iCs/>
          <w:sz w:val="22"/>
        </w:rPr>
      </w:pPr>
    </w:p>
    <w:p w14:paraId="1E084C20" w14:textId="21DB2B73" w:rsidR="00E201AA" w:rsidRPr="0025691E" w:rsidRDefault="00E201AA" w:rsidP="00CE18C8">
      <w:pPr>
        <w:spacing w:line="360" w:lineRule="auto"/>
        <w:jc w:val="both"/>
        <w:rPr>
          <w:rFonts w:ascii="Palatino Linotype" w:hAnsi="Palatino Linotype"/>
          <w:color w:val="000000" w:themeColor="text1"/>
          <w:sz w:val="22"/>
        </w:rPr>
      </w:pPr>
      <w:r w:rsidRPr="0025691E">
        <w:rPr>
          <w:rFonts w:ascii="Palatino Linotype" w:hAnsi="Palatino Linotype"/>
          <w:iCs/>
          <w:sz w:val="22"/>
        </w:rPr>
        <w:t xml:space="preserve">Al respecto, este Instituto realizó una consulta a la Dirección General de Transparencia, Acceso a la Información Pública y Gobierno Abierto, </w:t>
      </w:r>
      <w:r w:rsidR="008340C0">
        <w:rPr>
          <w:rFonts w:ascii="Palatino Linotype" w:hAnsi="Palatino Linotype"/>
          <w:iCs/>
          <w:sz w:val="22"/>
        </w:rPr>
        <w:t xml:space="preserve"> </w:t>
      </w:r>
      <w:r w:rsidRPr="0025691E">
        <w:rPr>
          <w:rFonts w:ascii="Palatino Linotype" w:hAnsi="Palatino Linotype"/>
          <w:iCs/>
          <w:sz w:val="22"/>
        </w:rPr>
        <w:t xml:space="preserve">con el fin de conocer </w:t>
      </w:r>
      <w:r w:rsidR="008340C0">
        <w:rPr>
          <w:rFonts w:ascii="Palatino Linotype" w:hAnsi="Palatino Linotype"/>
          <w:iCs/>
          <w:sz w:val="22"/>
        </w:rPr>
        <w:t>los tipos de dictámenes que se emitían y cuáles fueron emitidos al Ayuntamiento de Toluca</w:t>
      </w:r>
      <w:r w:rsidRPr="0025691E">
        <w:rPr>
          <w:rFonts w:ascii="Palatino Linotype" w:hAnsi="Palatino Linotype"/>
          <w:color w:val="000000" w:themeColor="text1"/>
          <w:sz w:val="22"/>
        </w:rPr>
        <w:t xml:space="preserve">; en ese contexto, dicha área dio contestación y precisó que </w:t>
      </w:r>
      <w:r w:rsidR="008340C0">
        <w:rPr>
          <w:rFonts w:ascii="Palatino Linotype" w:hAnsi="Palatino Linotype"/>
          <w:color w:val="000000" w:themeColor="text1"/>
          <w:sz w:val="22"/>
        </w:rPr>
        <w:t xml:space="preserve">emitían los </w:t>
      </w:r>
      <w:r w:rsidR="008340C0" w:rsidRPr="00EE0A51">
        <w:rPr>
          <w:rFonts w:ascii="Palatino Linotype" w:hAnsi="Palatino Linotype"/>
          <w:b/>
          <w:bCs/>
          <w:color w:val="000000" w:themeColor="text1"/>
          <w:sz w:val="22"/>
        </w:rPr>
        <w:t>Dictámenes para determinar el Reconocimiento de Prácticas de Transparencia Proactiva</w:t>
      </w:r>
      <w:r w:rsidR="008340C0">
        <w:rPr>
          <w:rFonts w:ascii="Palatino Linotype" w:hAnsi="Palatino Linotype"/>
          <w:color w:val="000000" w:themeColor="text1"/>
          <w:sz w:val="22"/>
        </w:rPr>
        <w:t xml:space="preserve"> </w:t>
      </w:r>
      <w:r w:rsidR="00DE3614">
        <w:rPr>
          <w:rFonts w:ascii="Palatino Linotype" w:hAnsi="Palatino Linotype"/>
          <w:color w:val="000000" w:themeColor="text1"/>
          <w:sz w:val="22"/>
        </w:rPr>
        <w:t xml:space="preserve">que </w:t>
      </w:r>
      <w:r w:rsidR="00BF1587">
        <w:rPr>
          <w:rFonts w:ascii="Palatino Linotype" w:hAnsi="Palatino Linotype"/>
          <w:color w:val="000000" w:themeColor="text1"/>
          <w:sz w:val="22"/>
        </w:rPr>
        <w:t>eran el resultado</w:t>
      </w:r>
      <w:r w:rsidR="00DE3614">
        <w:rPr>
          <w:rFonts w:ascii="Palatino Linotype" w:hAnsi="Palatino Linotype"/>
          <w:color w:val="000000" w:themeColor="text1"/>
          <w:sz w:val="22"/>
        </w:rPr>
        <w:t xml:space="preserve"> de la convocatoria que se realiza de manera anual desde dos mil veintiuno</w:t>
      </w:r>
      <w:r w:rsidRPr="0025691E">
        <w:rPr>
          <w:rFonts w:ascii="Palatino Linotype" w:hAnsi="Palatino Linotype"/>
          <w:color w:val="000000" w:themeColor="text1"/>
          <w:sz w:val="22"/>
        </w:rPr>
        <w:t xml:space="preserve">, </w:t>
      </w:r>
      <w:r w:rsidR="00DE3614">
        <w:rPr>
          <w:rFonts w:ascii="Palatino Linotype" w:hAnsi="Palatino Linotype"/>
          <w:color w:val="000000" w:themeColor="text1"/>
          <w:sz w:val="22"/>
        </w:rPr>
        <w:t>así mismo precisó que no se emitían dictámenes por cada Sujeto Obligado</w:t>
      </w:r>
      <w:r w:rsidR="00BF1587">
        <w:rPr>
          <w:rFonts w:ascii="Palatino Linotype" w:hAnsi="Palatino Linotype"/>
          <w:color w:val="000000" w:themeColor="text1"/>
          <w:sz w:val="22"/>
        </w:rPr>
        <w:t>,</w:t>
      </w:r>
      <w:r w:rsidR="00DE3614">
        <w:rPr>
          <w:rFonts w:ascii="Palatino Linotype" w:hAnsi="Palatino Linotype"/>
          <w:color w:val="000000" w:themeColor="text1"/>
          <w:sz w:val="22"/>
        </w:rPr>
        <w:t xml:space="preserve"> sino que se emitían de forma general en torno a la convocatoria anual, sin embargo se tenía el registro de la participación del Ayuntamiento de Toluca en los años  2021, 2022 y 2023, mismos que podrían ser consultados en la página oficial del Instituto en la liga electrónica </w:t>
      </w:r>
      <w:hyperlink r:id="rId13" w:history="1">
        <w:r w:rsidR="00DE3614" w:rsidRPr="00A2576A">
          <w:rPr>
            <w:rStyle w:val="Hipervnculo"/>
            <w:rFonts w:ascii="Palatino Linotype" w:hAnsi="Palatino Linotype"/>
            <w:sz w:val="22"/>
          </w:rPr>
          <w:t>https://www.infoem.org.mx/es/contenido/reconocimiento-pr%C3%A1cticas-de-transparencia-proactiva</w:t>
        </w:r>
      </w:hyperlink>
      <w:r w:rsidR="00DE3614">
        <w:rPr>
          <w:rFonts w:ascii="Palatino Linotype" w:hAnsi="Palatino Linotype"/>
          <w:color w:val="000000" w:themeColor="text1"/>
          <w:sz w:val="22"/>
        </w:rPr>
        <w:t xml:space="preserve">. </w:t>
      </w:r>
    </w:p>
    <w:p w14:paraId="59982A86" w14:textId="77777777" w:rsidR="001A0AE4" w:rsidRPr="0025691E" w:rsidRDefault="001A0AE4" w:rsidP="00CE18C8">
      <w:pPr>
        <w:spacing w:line="360" w:lineRule="auto"/>
        <w:jc w:val="both"/>
        <w:rPr>
          <w:rFonts w:ascii="Palatino Linotype" w:hAnsi="Palatino Linotype"/>
          <w:iCs/>
          <w:sz w:val="22"/>
        </w:rPr>
      </w:pPr>
    </w:p>
    <w:p w14:paraId="3E6B657B" w14:textId="5EBA0E3F" w:rsidR="00BF1587" w:rsidRPr="00BF1587" w:rsidRDefault="00BF1587" w:rsidP="00BF1587">
      <w:pPr>
        <w:spacing w:line="360" w:lineRule="auto"/>
        <w:jc w:val="both"/>
        <w:rPr>
          <w:rFonts w:ascii="Palatino Linotype" w:hAnsi="Palatino Linotype" w:cs="Tahoma"/>
          <w:sz w:val="22"/>
          <w:szCs w:val="22"/>
        </w:rPr>
      </w:pPr>
      <w:r>
        <w:rPr>
          <w:rFonts w:ascii="Palatino Linotype" w:hAnsi="Palatino Linotype"/>
          <w:iCs/>
          <w:sz w:val="22"/>
        </w:rPr>
        <w:t xml:space="preserve">De la revisión de la liga, se </w:t>
      </w:r>
      <w:proofErr w:type="spellStart"/>
      <w:r>
        <w:rPr>
          <w:rFonts w:ascii="Palatino Linotype" w:hAnsi="Palatino Linotype"/>
          <w:iCs/>
          <w:sz w:val="22"/>
        </w:rPr>
        <w:t>logro</w:t>
      </w:r>
      <w:proofErr w:type="spellEnd"/>
      <w:r>
        <w:rPr>
          <w:rFonts w:ascii="Palatino Linotype" w:hAnsi="Palatino Linotype"/>
          <w:iCs/>
          <w:sz w:val="22"/>
        </w:rPr>
        <w:t xml:space="preserve"> vislumbrar</w:t>
      </w:r>
      <w:r w:rsidR="00DE3614">
        <w:rPr>
          <w:rFonts w:ascii="Palatino Linotype" w:hAnsi="Palatino Linotype"/>
          <w:iCs/>
          <w:sz w:val="22"/>
        </w:rPr>
        <w:t xml:space="preserve"> que de dos mil diecinueve al catorce de febrero de dos mil veinticuatro, únicamente se habían emitido tres convocatorias anuales en el mes de </w:t>
      </w:r>
      <w:r w:rsidR="00EE0A51">
        <w:rPr>
          <w:rFonts w:ascii="Palatino Linotype" w:hAnsi="Palatino Linotype"/>
          <w:iCs/>
          <w:sz w:val="22"/>
        </w:rPr>
        <w:t>mayo de conformidad con lo precisado en párrafos anteriores, a partir de dos mil veintiuno, por lo que no se contaba con información de dos mil diecinueve, dos mil veinte y dos mil veinticuatro</w:t>
      </w:r>
      <w:r w:rsidRPr="00BF1587">
        <w:rPr>
          <w:rFonts w:ascii="Palatino Linotype" w:eastAsiaTheme="minorHAnsi" w:hAnsi="Palatino Linotype" w:cstheme="minorBidi"/>
          <w:color w:val="000000"/>
          <w:sz w:val="22"/>
          <w:szCs w:val="22"/>
          <w:lang w:eastAsia="en-US"/>
        </w:rPr>
        <w:t xml:space="preserve">; </w:t>
      </w:r>
      <w:r w:rsidRPr="00BF1587">
        <w:rPr>
          <w:rFonts w:ascii="Palatino Linotype" w:hAnsi="Palatino Linotype" w:cs="Tahoma"/>
          <w:bCs/>
          <w:iCs/>
          <w:sz w:val="22"/>
          <w:szCs w:val="22"/>
          <w:lang w:val="es-ES"/>
        </w:rPr>
        <w:t>sobre el tema, e</w:t>
      </w:r>
      <w:r w:rsidRPr="00BF1587">
        <w:rPr>
          <w:rFonts w:ascii="Palatino Linotype" w:hAnsi="Palatino Linotype" w:cs="Tahoma"/>
          <w:bCs/>
          <w:sz w:val="22"/>
          <w:szCs w:val="22"/>
          <w:lang w:val="es-ES_tradnl"/>
        </w:rPr>
        <w:t xml:space="preserve">l </w:t>
      </w:r>
      <w:r w:rsidRPr="00BF1587">
        <w:rPr>
          <w:rFonts w:ascii="Palatino Linotype" w:hAnsi="Palatino Linotype" w:cs="Tahoma"/>
          <w:bCs/>
          <w:sz w:val="22"/>
          <w:szCs w:val="22"/>
        </w:rPr>
        <w:t>Criterio SO/014/2017, emitido por el Instituto Nacional de Transparencia, Acceso a la Información Pública y Protección de Datos Personales en el Estado de México y Municipios, el cual establece</w:t>
      </w:r>
      <w:r w:rsidRPr="00BF1587">
        <w:rPr>
          <w:rFonts w:ascii="Palatino Linotype" w:hAnsi="Palatino Linotype" w:cs="Tahoma"/>
          <w:sz w:val="22"/>
          <w:szCs w:val="22"/>
        </w:rPr>
        <w:t xml:space="preserve"> que la inexistencia de la información, es una cuestión de hecho que se le atribuye a la misma, cuando ésta no se encuentra en los archivos del sujeto obligado. </w:t>
      </w:r>
    </w:p>
    <w:p w14:paraId="392106C9" w14:textId="77777777" w:rsidR="00BF1587" w:rsidRPr="00BF1587" w:rsidRDefault="00BF1587" w:rsidP="00BF1587">
      <w:pPr>
        <w:spacing w:line="360" w:lineRule="auto"/>
        <w:jc w:val="both"/>
        <w:rPr>
          <w:rFonts w:ascii="Palatino Linotype" w:hAnsi="Palatino Linotype" w:cs="Tahoma"/>
          <w:sz w:val="22"/>
          <w:szCs w:val="22"/>
        </w:rPr>
      </w:pPr>
    </w:p>
    <w:p w14:paraId="430E2476" w14:textId="77777777" w:rsidR="00BF1587" w:rsidRPr="00BF1587" w:rsidRDefault="00BF1587" w:rsidP="00BF1587">
      <w:pPr>
        <w:spacing w:line="360" w:lineRule="auto"/>
        <w:jc w:val="both"/>
        <w:rPr>
          <w:rFonts w:ascii="Palatino Linotype" w:hAnsi="Palatino Linotype" w:cs="Tahoma"/>
          <w:sz w:val="22"/>
          <w:szCs w:val="22"/>
          <w:lang w:val="es-ES"/>
        </w:rPr>
      </w:pPr>
      <w:r w:rsidRPr="00BF1587">
        <w:rPr>
          <w:rFonts w:ascii="Palatino Linotype" w:hAnsi="Palatino Linotype" w:cs="Tahoma"/>
          <w:sz w:val="22"/>
          <w:szCs w:val="22"/>
          <w:lang w:val="es-ES"/>
        </w:rPr>
        <w:t>En ese orden de ideas, según Trujillo, Humberto (2019), en el “Diccionario de Transparencia y Acceso a la Información Pública” (p. 171), la inexistencia de la información es cuando la información requerida no se encuentra en los archivos públicos, reservados o clasificados, de los sujetos obligados.</w:t>
      </w:r>
    </w:p>
    <w:p w14:paraId="10999BBC" w14:textId="77777777" w:rsidR="00BF1587" w:rsidRPr="00BF1587" w:rsidRDefault="00BF1587" w:rsidP="00BF1587">
      <w:pPr>
        <w:spacing w:line="360" w:lineRule="auto"/>
        <w:jc w:val="both"/>
        <w:rPr>
          <w:rFonts w:ascii="Palatino Linotype" w:hAnsi="Palatino Linotype" w:cs="Tahoma"/>
          <w:sz w:val="22"/>
          <w:szCs w:val="22"/>
          <w:lang w:val="es-ES"/>
        </w:rPr>
      </w:pPr>
    </w:p>
    <w:p w14:paraId="6FF83F1B" w14:textId="77777777" w:rsidR="00BF1587" w:rsidRPr="00BF1587" w:rsidRDefault="00BF1587" w:rsidP="00BF1587">
      <w:pPr>
        <w:spacing w:line="360" w:lineRule="auto"/>
        <w:jc w:val="both"/>
        <w:rPr>
          <w:rFonts w:ascii="Palatino Linotype" w:hAnsi="Palatino Linotype" w:cs="Tahoma"/>
          <w:bCs/>
          <w:sz w:val="22"/>
          <w:szCs w:val="22"/>
        </w:rPr>
      </w:pPr>
      <w:r w:rsidRPr="00BF1587">
        <w:rPr>
          <w:rFonts w:ascii="Palatino Linotype" w:hAnsi="Palatino Linotype" w:cs="Tahoma"/>
          <w:sz w:val="22"/>
          <w:szCs w:val="22"/>
          <w:lang w:val="es-ES"/>
        </w:rPr>
        <w:t>Así</w:t>
      </w:r>
      <w:r w:rsidRPr="00BF1587">
        <w:rPr>
          <w:rFonts w:ascii="Palatino Linotype" w:hAnsi="Palatino Linotype" w:cs="Tahoma"/>
          <w:sz w:val="22"/>
          <w:szCs w:val="22"/>
        </w:rPr>
        <w:t xml:space="preserve">, es posible concluir que la </w:t>
      </w:r>
      <w:r w:rsidRPr="00BF1587">
        <w:rPr>
          <w:rFonts w:ascii="Palatino Linotype" w:hAnsi="Palatino Linotype" w:cs="Tahoma"/>
          <w:b/>
          <w:sz w:val="22"/>
          <w:szCs w:val="22"/>
        </w:rPr>
        <w:t>inexistencia</w:t>
      </w:r>
      <w:r w:rsidRPr="00BF1587">
        <w:rPr>
          <w:rFonts w:ascii="Palatino Linotype" w:hAnsi="Palatino Linotype" w:cs="Tahoma"/>
          <w:sz w:val="22"/>
          <w:szCs w:val="22"/>
        </w:rPr>
        <w:t xml:space="preserve"> presupone la competencia del sujeto obligado para conocer de la información, pero por alguna circunstancia, la documentación solicitada no obra en sus archivos. </w:t>
      </w:r>
      <w:r w:rsidRPr="00BF1587">
        <w:rPr>
          <w:rFonts w:ascii="Palatino Linotype" w:hAnsi="Palatino Linotype" w:cs="Tahoma"/>
          <w:bCs/>
          <w:sz w:val="22"/>
          <w:szCs w:val="22"/>
        </w:rPr>
        <w:t>Para tal situación, no basta con que los sujetos obligados señalen dicha circunstancia, sino que también debe de señalar las razones por las cuales no cuentan con lo peticionado, es decir, las circunstancias que dan lugar a la inexistencia.</w:t>
      </w:r>
    </w:p>
    <w:p w14:paraId="2199D769" w14:textId="77777777" w:rsidR="00BF1587" w:rsidRPr="00BF1587" w:rsidRDefault="00BF1587" w:rsidP="00BF1587">
      <w:pPr>
        <w:spacing w:line="360" w:lineRule="auto"/>
        <w:jc w:val="both"/>
        <w:rPr>
          <w:rFonts w:ascii="Palatino Linotype" w:hAnsi="Palatino Linotype" w:cs="Tahoma"/>
          <w:bCs/>
          <w:sz w:val="22"/>
          <w:szCs w:val="22"/>
        </w:rPr>
      </w:pPr>
    </w:p>
    <w:p w14:paraId="25E9A080" w14:textId="5D94DBF9" w:rsidR="00BF1587" w:rsidRPr="00BF1587" w:rsidRDefault="00BF1587" w:rsidP="00BF1587">
      <w:pPr>
        <w:widowControl w:val="0"/>
        <w:autoSpaceDE w:val="0"/>
        <w:autoSpaceDN w:val="0"/>
        <w:adjustRightInd w:val="0"/>
        <w:spacing w:line="360" w:lineRule="auto"/>
        <w:jc w:val="both"/>
        <w:rPr>
          <w:rFonts w:ascii="Palatino Linotype" w:hAnsi="Palatino Linotype"/>
          <w:sz w:val="22"/>
          <w:szCs w:val="22"/>
        </w:rPr>
      </w:pPr>
      <w:r w:rsidRPr="00BF1587">
        <w:rPr>
          <w:rFonts w:ascii="Palatino Linotype" w:hAnsi="Palatino Linotype" w:cs="Tahoma"/>
          <w:bCs/>
          <w:sz w:val="22"/>
          <w:szCs w:val="22"/>
        </w:rPr>
        <w:t xml:space="preserve">En ese contexto, el Sujeto Obligado precisó las razones por las cuales no contaba con lo peticionado, a saber, </w:t>
      </w:r>
      <w:r>
        <w:rPr>
          <w:rFonts w:ascii="Palatino Linotype" w:hAnsi="Palatino Linotype" w:cs="Tahoma"/>
          <w:bCs/>
          <w:sz w:val="22"/>
          <w:szCs w:val="22"/>
        </w:rPr>
        <w:t>que no la poseía derivado de que el Instituto no lo había generado; lo cual se acredita con la consulta realizada, pues</w:t>
      </w:r>
      <w:r w:rsidR="00672817">
        <w:rPr>
          <w:rFonts w:ascii="Palatino Linotype" w:hAnsi="Palatino Linotype" w:cs="Tahoma"/>
          <w:bCs/>
          <w:sz w:val="22"/>
          <w:szCs w:val="22"/>
        </w:rPr>
        <w:t xml:space="preserve"> por una parte,</w:t>
      </w:r>
      <w:r>
        <w:rPr>
          <w:rFonts w:ascii="Palatino Linotype" w:hAnsi="Palatino Linotype" w:cs="Tahoma"/>
          <w:bCs/>
          <w:sz w:val="22"/>
          <w:szCs w:val="22"/>
        </w:rPr>
        <w:t xml:space="preserve"> se </w:t>
      </w:r>
      <w:r w:rsidR="00672817">
        <w:rPr>
          <w:rFonts w:ascii="Palatino Linotype" w:hAnsi="Palatino Linotype" w:cs="Tahoma"/>
          <w:bCs/>
          <w:sz w:val="22"/>
          <w:szCs w:val="22"/>
        </w:rPr>
        <w:t>advirtió</w:t>
      </w:r>
      <w:r>
        <w:rPr>
          <w:rFonts w:ascii="Palatino Linotype" w:hAnsi="Palatino Linotype" w:cs="Tahoma"/>
          <w:bCs/>
          <w:sz w:val="22"/>
          <w:szCs w:val="22"/>
        </w:rPr>
        <w:t xml:space="preserve"> que e</w:t>
      </w:r>
      <w:r w:rsidRPr="00BF1587">
        <w:rPr>
          <w:rFonts w:ascii="Palatino Linotype" w:hAnsi="Palatino Linotype" w:cs="Tahoma"/>
          <w:bCs/>
          <w:sz w:val="22"/>
          <w:szCs w:val="22"/>
        </w:rPr>
        <w:t>l Reconocimiento de Prácticas de Transparencia Proactiva</w:t>
      </w:r>
      <w:r>
        <w:rPr>
          <w:rFonts w:ascii="Palatino Linotype" w:hAnsi="Palatino Linotype" w:cs="Tahoma"/>
          <w:bCs/>
          <w:sz w:val="22"/>
          <w:szCs w:val="22"/>
        </w:rPr>
        <w:t xml:space="preserve">, se inició en el dos mil veintiuno, por lo que, durante el dos mil diecinueve y dos mil veinte no existía el </w:t>
      </w:r>
      <w:r w:rsidR="00672817">
        <w:rPr>
          <w:rFonts w:ascii="Palatino Linotype" w:hAnsi="Palatino Linotype" w:cs="Tahoma"/>
          <w:bCs/>
          <w:sz w:val="22"/>
          <w:szCs w:val="22"/>
        </w:rPr>
        <w:t>proyecto; y, por otra parte, que a la fecha de la solicitud no se había emitido la convocatoria del ejercicio fiscal dos mil veinticuatro.</w:t>
      </w:r>
    </w:p>
    <w:p w14:paraId="0EBF21AC" w14:textId="77777777" w:rsidR="00BF1587" w:rsidRPr="00BF1587" w:rsidRDefault="00BF1587" w:rsidP="00BF1587">
      <w:pPr>
        <w:widowControl w:val="0"/>
        <w:autoSpaceDE w:val="0"/>
        <w:autoSpaceDN w:val="0"/>
        <w:adjustRightInd w:val="0"/>
        <w:spacing w:line="360" w:lineRule="auto"/>
        <w:jc w:val="both"/>
        <w:rPr>
          <w:rFonts w:ascii="Palatino Linotype" w:hAnsi="Palatino Linotype"/>
          <w:sz w:val="22"/>
          <w:szCs w:val="22"/>
        </w:rPr>
      </w:pPr>
    </w:p>
    <w:p w14:paraId="557B8EC9" w14:textId="77777777" w:rsidR="00BF1587" w:rsidRPr="00BF1587" w:rsidRDefault="00BF1587" w:rsidP="00BF1587">
      <w:pPr>
        <w:spacing w:line="360" w:lineRule="auto"/>
        <w:jc w:val="both"/>
        <w:rPr>
          <w:rFonts w:ascii="Palatino Linotype" w:eastAsia="Calibri" w:hAnsi="Palatino Linotype"/>
          <w:sz w:val="22"/>
          <w:szCs w:val="22"/>
          <w:lang w:eastAsia="es-MX"/>
        </w:rPr>
      </w:pPr>
      <w:r w:rsidRPr="00BF1587">
        <w:rPr>
          <w:rFonts w:ascii="Palatino Linotype" w:hAnsi="Palatino Linotype" w:cs="Tahoma"/>
          <w:sz w:val="22"/>
          <w:szCs w:val="22"/>
          <w:lang w:val="es-ES"/>
        </w:rPr>
        <w:t>Así, se logra colegir que la información solicitada por la persona Recurrente es inexistente, pues el Sujeto Obligado, realizó una búsqueda exhaustiva y razonable en los archivos de la unidad administrativa competente y esta señaló los motivos por los cuales no contaba con la peticionado</w:t>
      </w:r>
      <w:r w:rsidRPr="00BF1587">
        <w:rPr>
          <w:rFonts w:ascii="Palatino Linotype" w:eastAsia="Calibri" w:hAnsi="Palatino Linotype"/>
          <w:sz w:val="22"/>
          <w:szCs w:val="22"/>
          <w:lang w:eastAsia="es-MX"/>
        </w:rPr>
        <w:t>.</w:t>
      </w:r>
    </w:p>
    <w:p w14:paraId="0021A3EB" w14:textId="77777777" w:rsidR="00BF1587" w:rsidRPr="00BF1587" w:rsidRDefault="00BF1587" w:rsidP="00BF1587">
      <w:pPr>
        <w:spacing w:line="360" w:lineRule="auto"/>
        <w:jc w:val="both"/>
        <w:rPr>
          <w:rFonts w:ascii="Palatino Linotype" w:eastAsia="Calibri" w:hAnsi="Palatino Linotype"/>
          <w:sz w:val="22"/>
          <w:szCs w:val="22"/>
          <w:lang w:eastAsia="es-MX"/>
        </w:rPr>
      </w:pPr>
    </w:p>
    <w:p w14:paraId="259A1B41" w14:textId="77777777" w:rsidR="00BF1587" w:rsidRPr="00BF1587" w:rsidRDefault="00BF1587" w:rsidP="00BF1587">
      <w:pPr>
        <w:spacing w:line="360" w:lineRule="auto"/>
        <w:jc w:val="both"/>
        <w:rPr>
          <w:rFonts w:ascii="Palatino Linotype" w:eastAsia="Calibri" w:hAnsi="Palatino Linotype"/>
          <w:sz w:val="22"/>
          <w:szCs w:val="22"/>
          <w:lang w:eastAsia="es-MX"/>
        </w:rPr>
      </w:pPr>
      <w:r w:rsidRPr="00BF1587">
        <w:rPr>
          <w:rFonts w:ascii="Palatino Linotype" w:eastAsia="Calibri" w:hAnsi="Palatino Linotype"/>
          <w:sz w:val="22"/>
          <w:szCs w:val="22"/>
          <w:lang w:eastAsia="es-MX"/>
        </w:rPr>
        <w:t xml:space="preserve">Al respecto, se trae a colación, el artículo 19, segundo párrafo, de la Ley de Transparencia y Acceso a la Información Pública del Estado de México y Municipios, que establece que en el </w:t>
      </w:r>
      <w:r w:rsidRPr="00BF1587">
        <w:rPr>
          <w:rFonts w:ascii="Palatino Linotype" w:eastAsia="Calibri" w:hAnsi="Palatino Linotype"/>
          <w:sz w:val="22"/>
          <w:szCs w:val="22"/>
          <w:lang w:eastAsia="es-MX"/>
        </w:rPr>
        <w:lastRenderedPageBreak/>
        <w:t xml:space="preserve">caso de que ciertas facultades, competencias o funciones no se hayan ejercido, se debe motivar la respuesta en función de las causas que motiven tal circunstancia. </w:t>
      </w:r>
    </w:p>
    <w:p w14:paraId="24145EE3" w14:textId="77777777" w:rsidR="00BF1587" w:rsidRPr="00BF1587" w:rsidRDefault="00BF1587" w:rsidP="00BF1587">
      <w:pPr>
        <w:widowControl w:val="0"/>
        <w:spacing w:line="360" w:lineRule="auto"/>
        <w:jc w:val="both"/>
        <w:rPr>
          <w:rFonts w:ascii="Palatino Linotype" w:eastAsia="Calibri" w:hAnsi="Palatino Linotype"/>
          <w:sz w:val="22"/>
          <w:szCs w:val="22"/>
          <w:lang w:eastAsia="es-MX"/>
        </w:rPr>
      </w:pPr>
    </w:p>
    <w:p w14:paraId="3C88FD43" w14:textId="77777777" w:rsidR="00BF1587" w:rsidRPr="00BF1587" w:rsidRDefault="00BF1587" w:rsidP="00BF1587">
      <w:pPr>
        <w:spacing w:line="360" w:lineRule="auto"/>
        <w:jc w:val="both"/>
        <w:rPr>
          <w:rFonts w:ascii="Palatino Linotype" w:hAnsi="Palatino Linotype" w:cs="Tahoma"/>
          <w:bCs/>
          <w:sz w:val="22"/>
          <w:szCs w:val="22"/>
        </w:rPr>
      </w:pPr>
      <w:r w:rsidRPr="00BF1587">
        <w:rPr>
          <w:rFonts w:ascii="Palatino Linotype" w:hAnsi="Palatino Linotype" w:cs="Tahoma"/>
          <w:sz w:val="22"/>
          <w:szCs w:val="22"/>
          <w:lang w:val="es-ES"/>
        </w:rPr>
        <w:t xml:space="preserve">De la misma manera, </w:t>
      </w:r>
      <w:r w:rsidRPr="00BF1587">
        <w:rPr>
          <w:rFonts w:ascii="Palatino Linotype" w:hAnsi="Palatino Linotype" w:cs="Tahoma"/>
          <w:bCs/>
          <w:sz w:val="22"/>
          <w:szCs w:val="22"/>
        </w:rPr>
        <w:t>el Criterio de interpretación con clave de registro SO/007/2017, de la Segunda Época, emitido por el Instituto Nacional de Transparencia, Acceso a la Información y Protección de Datos Personales, establece que no será necesario que el Comité de Transparencia declare formalmente la inexistencia, cuando del análisis a la normatividad aplicables no se desprenda obligación alguna de contar con la información solicitada, ni se advierta algún otro elemento de convicción que apunto a su existencia.</w:t>
      </w:r>
    </w:p>
    <w:p w14:paraId="6E68C229" w14:textId="77777777" w:rsidR="00BF1587" w:rsidRPr="00BF1587" w:rsidRDefault="00BF1587" w:rsidP="00BF1587">
      <w:pPr>
        <w:spacing w:line="360" w:lineRule="auto"/>
        <w:jc w:val="both"/>
        <w:rPr>
          <w:rFonts w:ascii="Palatino Linotype" w:hAnsi="Palatino Linotype" w:cs="Tahoma"/>
          <w:bCs/>
          <w:sz w:val="22"/>
          <w:szCs w:val="22"/>
        </w:rPr>
      </w:pPr>
    </w:p>
    <w:p w14:paraId="43EDA265" w14:textId="5BFB3217" w:rsidR="00BF1587" w:rsidRPr="00BF1587" w:rsidRDefault="00BF1587" w:rsidP="00BF1587">
      <w:pPr>
        <w:spacing w:line="360" w:lineRule="auto"/>
        <w:ind w:right="-28"/>
        <w:contextualSpacing/>
        <w:jc w:val="both"/>
        <w:rPr>
          <w:rFonts w:ascii="Palatino Linotype" w:hAnsi="Palatino Linotype" w:cs="Tahoma"/>
          <w:sz w:val="22"/>
          <w:szCs w:val="24"/>
          <w:lang w:val="es-ES"/>
        </w:rPr>
      </w:pPr>
      <w:r w:rsidRPr="00BF1587">
        <w:rPr>
          <w:rFonts w:ascii="Palatino Linotype" w:hAnsi="Palatino Linotype" w:cs="Tahoma"/>
          <w:sz w:val="22"/>
          <w:szCs w:val="22"/>
        </w:rPr>
        <w:t xml:space="preserve">Al respecto, dicho criterio aplica al caso en concreto, </w:t>
      </w:r>
      <w:r w:rsidR="00672817">
        <w:rPr>
          <w:rFonts w:ascii="Palatino Linotype" w:hAnsi="Palatino Linotype" w:cs="Tahoma"/>
          <w:sz w:val="22"/>
          <w:szCs w:val="22"/>
        </w:rPr>
        <w:t>pues este Instituto no contaba con el proyecto del Reconocimiento de Prácticas de Transparencia Proactiva durante los años dos mil diecinueve y dos mil veinte, y a la fecha de la solicitud no había emitido la convocatoria para el ejercicio fiscal dos mil veinticuatro</w:t>
      </w:r>
      <w:r w:rsidRPr="00BF1587">
        <w:rPr>
          <w:rFonts w:ascii="Palatino Linotype" w:hAnsi="Palatino Linotype"/>
          <w:sz w:val="22"/>
          <w:szCs w:val="22"/>
        </w:rPr>
        <w:t xml:space="preserve">; </w:t>
      </w:r>
      <w:r w:rsidRPr="00BF1587">
        <w:rPr>
          <w:rFonts w:ascii="Palatino Linotype" w:hAnsi="Palatino Linotype" w:cs="Tahoma"/>
          <w:bCs/>
          <w:sz w:val="22"/>
          <w:szCs w:val="22"/>
        </w:rPr>
        <w:t xml:space="preserve">por lo cual, </w:t>
      </w:r>
      <w:r w:rsidRPr="00BF1587">
        <w:rPr>
          <w:rFonts w:ascii="Palatino Linotype" w:hAnsi="Palatino Linotype" w:cs="Tahoma"/>
          <w:sz w:val="22"/>
          <w:szCs w:val="22"/>
        </w:rPr>
        <w:t>se considera que el Sujeto Obligado desde respuesta se pronunció y señaló las razones por las cuales no contaba con lo requerido, con lo cual se da por atendido el requerimiento de información</w:t>
      </w:r>
      <w:r w:rsidR="00672817">
        <w:rPr>
          <w:rFonts w:ascii="Palatino Linotype" w:hAnsi="Palatino Linotype" w:cs="Tahoma"/>
          <w:sz w:val="22"/>
          <w:szCs w:val="22"/>
        </w:rPr>
        <w:t>, con relación a dichos años.</w:t>
      </w:r>
    </w:p>
    <w:p w14:paraId="7B6442F0" w14:textId="77777777" w:rsidR="00BF1587" w:rsidRPr="00BF1587" w:rsidRDefault="00BF1587" w:rsidP="00CE18C8">
      <w:pPr>
        <w:spacing w:line="360" w:lineRule="auto"/>
        <w:jc w:val="both"/>
        <w:rPr>
          <w:rFonts w:ascii="Palatino Linotype" w:hAnsi="Palatino Linotype"/>
          <w:iCs/>
          <w:sz w:val="22"/>
          <w:lang w:val="es-ES"/>
        </w:rPr>
      </w:pPr>
    </w:p>
    <w:p w14:paraId="5AAC7CE3" w14:textId="3B66A194" w:rsidR="000E35B2" w:rsidRPr="0025691E" w:rsidRDefault="00672817" w:rsidP="00CE18C8">
      <w:pPr>
        <w:spacing w:line="360" w:lineRule="auto"/>
        <w:jc w:val="both"/>
        <w:rPr>
          <w:rFonts w:ascii="Palatino Linotype" w:hAnsi="Palatino Linotype"/>
          <w:iCs/>
          <w:sz w:val="22"/>
          <w:lang w:val="es-ES"/>
        </w:rPr>
      </w:pPr>
      <w:r>
        <w:rPr>
          <w:rFonts w:ascii="Palatino Linotype" w:hAnsi="Palatino Linotype"/>
          <w:iCs/>
          <w:sz w:val="22"/>
        </w:rPr>
        <w:t>Así, se advierte que</w:t>
      </w:r>
      <w:r w:rsidR="001708DC" w:rsidRPr="0025691E">
        <w:rPr>
          <w:rFonts w:ascii="Palatino Linotype" w:hAnsi="Palatino Linotype"/>
          <w:iCs/>
          <w:sz w:val="22"/>
          <w:lang w:val="es-ES"/>
        </w:rPr>
        <w:t xml:space="preserve"> desde respuesta, proporcionó la información que obraba en sus archivos y da cuenta de la inform</w:t>
      </w:r>
      <w:r w:rsidR="00672007" w:rsidRPr="0025691E">
        <w:rPr>
          <w:rFonts w:ascii="Palatino Linotype" w:hAnsi="Palatino Linotype"/>
          <w:iCs/>
          <w:sz w:val="22"/>
          <w:lang w:val="es-ES"/>
        </w:rPr>
        <w:t xml:space="preserve">ación peticionada, a saber, </w:t>
      </w:r>
      <w:r w:rsidR="00EE0A51">
        <w:rPr>
          <w:rFonts w:ascii="Palatino Linotype" w:hAnsi="Palatino Linotype"/>
          <w:iCs/>
          <w:sz w:val="22"/>
          <w:lang w:val="es-ES"/>
        </w:rPr>
        <w:t xml:space="preserve">los Dictámenes para Determinar el Reconocimiento de Prácticas de Transparencia Proactiva de dos mil veintiuno, dos mil veintidós y dos mil </w:t>
      </w:r>
      <w:proofErr w:type="gramStart"/>
      <w:r w:rsidR="00EE0A51">
        <w:rPr>
          <w:rFonts w:ascii="Palatino Linotype" w:hAnsi="Palatino Linotype"/>
          <w:iCs/>
          <w:sz w:val="22"/>
          <w:lang w:val="es-ES"/>
        </w:rPr>
        <w:t>veintitrés,  en</w:t>
      </w:r>
      <w:proofErr w:type="gramEnd"/>
      <w:r w:rsidR="00EE0A51">
        <w:rPr>
          <w:rFonts w:ascii="Palatino Linotype" w:hAnsi="Palatino Linotype"/>
          <w:iCs/>
          <w:sz w:val="22"/>
          <w:lang w:val="es-ES"/>
        </w:rPr>
        <w:t xml:space="preserve"> los que participó el Ayuntamiento de Toluca. </w:t>
      </w:r>
    </w:p>
    <w:p w14:paraId="32F53D9A" w14:textId="77777777" w:rsidR="00193017" w:rsidRPr="0025691E" w:rsidRDefault="00193017" w:rsidP="00CE18C8">
      <w:pPr>
        <w:spacing w:line="360" w:lineRule="auto"/>
        <w:jc w:val="both"/>
        <w:rPr>
          <w:rFonts w:ascii="Palatino Linotype" w:hAnsi="Palatino Linotype"/>
          <w:iCs/>
          <w:sz w:val="22"/>
          <w:lang w:val="es-ES"/>
        </w:rPr>
      </w:pPr>
    </w:p>
    <w:p w14:paraId="1427D7DD" w14:textId="60AE26AC" w:rsidR="001708DC" w:rsidRPr="0025691E" w:rsidRDefault="004F159A" w:rsidP="00CE18C8">
      <w:pPr>
        <w:spacing w:line="360" w:lineRule="auto"/>
        <w:jc w:val="both"/>
        <w:rPr>
          <w:rFonts w:ascii="Palatino Linotype" w:hAnsi="Palatino Linotype" w:cs="Tahoma"/>
          <w:sz w:val="22"/>
          <w:szCs w:val="22"/>
        </w:rPr>
      </w:pPr>
      <w:r w:rsidRPr="0025691E">
        <w:rPr>
          <w:rFonts w:ascii="Palatino Linotype" w:hAnsi="Palatino Linotype"/>
          <w:iCs/>
          <w:sz w:val="22"/>
          <w:lang w:val="es-ES"/>
        </w:rPr>
        <w:t>S</w:t>
      </w:r>
      <w:r w:rsidR="0040748D" w:rsidRPr="0025691E">
        <w:rPr>
          <w:rFonts w:ascii="Palatino Linotype" w:hAnsi="Palatino Linotype"/>
          <w:iCs/>
          <w:sz w:val="22"/>
          <w:lang w:val="es-ES"/>
        </w:rPr>
        <w:t xml:space="preserve">obre </w:t>
      </w:r>
      <w:r w:rsidRPr="0025691E">
        <w:rPr>
          <w:rFonts w:ascii="Palatino Linotype" w:hAnsi="Palatino Linotype"/>
          <w:iCs/>
          <w:sz w:val="22"/>
          <w:lang w:val="es-ES"/>
        </w:rPr>
        <w:t>lo anterior</w:t>
      </w:r>
      <w:r w:rsidR="0040748D" w:rsidRPr="0025691E">
        <w:rPr>
          <w:rFonts w:ascii="Palatino Linotype" w:hAnsi="Palatino Linotype"/>
          <w:iCs/>
          <w:sz w:val="22"/>
          <w:lang w:val="es-ES"/>
        </w:rPr>
        <w:t xml:space="preserve">, </w:t>
      </w:r>
      <w:r w:rsidR="001708DC" w:rsidRPr="0025691E">
        <w:rPr>
          <w:rFonts w:ascii="Palatino Linotype" w:eastAsia="Calibri" w:hAnsi="Palatino Linotype" w:cs="Tahoma"/>
          <w:bCs/>
          <w:sz w:val="22"/>
          <w:szCs w:val="22"/>
          <w:lang w:eastAsia="en-US"/>
        </w:rPr>
        <w:t>el</w:t>
      </w:r>
      <w:r w:rsidR="001708DC" w:rsidRPr="0025691E">
        <w:rPr>
          <w:rFonts w:ascii="Palatino Linotype" w:hAnsi="Palatino Linotype" w:cs="Tahoma"/>
          <w:sz w:val="22"/>
          <w:szCs w:val="22"/>
        </w:rPr>
        <w:t xml:space="preserve"> artículo 12 de la Ley de Transparencia y Acceso a la Información Pública del Estado de México y Municipios,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5790E44B" w14:textId="77777777" w:rsidR="001708DC" w:rsidRPr="0025691E" w:rsidRDefault="001708DC" w:rsidP="00CE18C8">
      <w:pPr>
        <w:spacing w:line="360" w:lineRule="auto"/>
        <w:jc w:val="both"/>
        <w:rPr>
          <w:rFonts w:ascii="Palatino Linotype" w:hAnsi="Palatino Linotype" w:cs="Tahoma"/>
          <w:bCs/>
          <w:iCs/>
          <w:sz w:val="22"/>
          <w:szCs w:val="22"/>
          <w:lang w:val="es-ES_tradnl"/>
        </w:rPr>
      </w:pPr>
    </w:p>
    <w:p w14:paraId="6C92F520" w14:textId="77777777" w:rsidR="001708DC" w:rsidRPr="0025691E" w:rsidRDefault="001708DC" w:rsidP="00CE18C8">
      <w:pPr>
        <w:tabs>
          <w:tab w:val="left" w:pos="4962"/>
        </w:tabs>
        <w:spacing w:line="360" w:lineRule="auto"/>
        <w:jc w:val="both"/>
        <w:rPr>
          <w:rFonts w:ascii="Palatino Linotype" w:hAnsi="Palatino Linotype" w:cs="Tahoma"/>
          <w:sz w:val="22"/>
          <w:szCs w:val="22"/>
        </w:rPr>
      </w:pPr>
      <w:r w:rsidRPr="0025691E">
        <w:rPr>
          <w:rFonts w:ascii="Palatino Linotype" w:hAnsi="Palatino Linotype" w:cs="Tahoma"/>
          <w:sz w:val="22"/>
          <w:szCs w:val="22"/>
        </w:rPr>
        <w:t xml:space="preserve">De esta manera, </w:t>
      </w:r>
      <w:r w:rsidRPr="0025691E">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25691E">
        <w:rPr>
          <w:rFonts w:ascii="Palatino Linotype" w:hAnsi="Palatino Linotype" w:cs="Tahoma"/>
          <w:i/>
          <w:sz w:val="22"/>
          <w:szCs w:val="22"/>
        </w:rPr>
        <w:t>ad hoc</w:t>
      </w:r>
      <w:r w:rsidRPr="0025691E">
        <w:rPr>
          <w:rFonts w:ascii="Palatino Linotype" w:hAnsi="Palatino Linotype" w:cs="Tahoma"/>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09DB3D23" w14:textId="77777777" w:rsidR="00CE18C8" w:rsidRPr="0025691E" w:rsidRDefault="00CE18C8" w:rsidP="00CE18C8">
      <w:pPr>
        <w:spacing w:line="360" w:lineRule="auto"/>
        <w:jc w:val="both"/>
        <w:rPr>
          <w:rFonts w:ascii="Palatino Linotype" w:hAnsi="Palatino Linotype"/>
          <w:sz w:val="22"/>
        </w:rPr>
      </w:pPr>
    </w:p>
    <w:p w14:paraId="1903CC80" w14:textId="013576E9" w:rsidR="001708DC" w:rsidRPr="0025691E" w:rsidRDefault="001708DC" w:rsidP="00CE18C8">
      <w:pPr>
        <w:spacing w:line="360" w:lineRule="auto"/>
        <w:jc w:val="both"/>
        <w:rPr>
          <w:rFonts w:ascii="Palatino Linotype" w:hAnsi="Palatino Linotype" w:cs="Tahoma"/>
          <w:b/>
          <w:bCs/>
          <w:sz w:val="22"/>
          <w:szCs w:val="22"/>
          <w:lang w:val="es-ES"/>
        </w:rPr>
      </w:pPr>
      <w:r w:rsidRPr="0025691E">
        <w:rPr>
          <w:rFonts w:ascii="Palatino Linotype" w:hAnsi="Palatino Linotype"/>
          <w:sz w:val="22"/>
        </w:rPr>
        <w:t xml:space="preserve">De tales circunstancias, se concluye que los sujetos obligados únicamente se encuentran constreñidos a proporcionar los documentos que den cuenta de la información solicitada, </w:t>
      </w:r>
      <w:r w:rsidRPr="0025691E">
        <w:rPr>
          <w:rFonts w:ascii="Palatino Linotype" w:hAnsi="Palatino Linotype" w:cs="Tahoma"/>
          <w:sz w:val="22"/>
          <w:szCs w:val="22"/>
          <w:lang w:val="es-ES" w:eastAsia="es-MX"/>
        </w:rPr>
        <w:t xml:space="preserve">como obren en sus archivos, sin tener que elaborarlos a las necesidades del Recurrente; lo cual, aconteció, pues proporcionó </w:t>
      </w:r>
      <w:r w:rsidR="004F159A" w:rsidRPr="0025691E">
        <w:rPr>
          <w:rFonts w:ascii="Palatino Linotype" w:hAnsi="Palatino Linotype" w:cs="Tahoma"/>
          <w:sz w:val="22"/>
          <w:szCs w:val="22"/>
          <w:lang w:val="es-ES" w:eastAsia="es-MX"/>
        </w:rPr>
        <w:t>los documentos</w:t>
      </w:r>
      <w:r w:rsidR="00193017" w:rsidRPr="0025691E">
        <w:rPr>
          <w:rFonts w:ascii="Palatino Linotype" w:hAnsi="Palatino Linotype" w:cs="Tahoma"/>
          <w:sz w:val="22"/>
          <w:szCs w:val="22"/>
          <w:lang w:val="es-ES" w:eastAsia="es-MX"/>
        </w:rPr>
        <w:t xml:space="preserve"> con los que contaba </w:t>
      </w:r>
      <w:r w:rsidR="00EE0A51">
        <w:rPr>
          <w:rFonts w:ascii="Palatino Linotype" w:hAnsi="Palatino Linotype" w:cs="Tahoma"/>
          <w:sz w:val="22"/>
          <w:szCs w:val="22"/>
          <w:lang w:val="es-ES" w:eastAsia="es-MX"/>
        </w:rPr>
        <w:t>y que daban cuenta de lo solicitado, a saber, los Dictámenes para determinar el Reconocimiento de Prácticas de Transparencia proactiva de dos mil veintiuno, dos mil veintidós y dos mil veintitrés</w:t>
      </w:r>
      <w:r w:rsidR="00E73D1F" w:rsidRPr="0025691E">
        <w:rPr>
          <w:rFonts w:ascii="Palatino Linotype" w:hAnsi="Palatino Linotype" w:cs="Tahoma"/>
          <w:sz w:val="22"/>
          <w:szCs w:val="22"/>
          <w:lang w:val="es-ES" w:eastAsia="es-MX"/>
        </w:rPr>
        <w:t xml:space="preserve">, </w:t>
      </w:r>
      <w:r w:rsidR="00EE0A51">
        <w:rPr>
          <w:rFonts w:ascii="Palatino Linotype" w:hAnsi="Palatino Linotype" w:cs="Tahoma"/>
          <w:sz w:val="22"/>
          <w:szCs w:val="22"/>
          <w:lang w:val="es-ES" w:eastAsia="es-MX"/>
        </w:rPr>
        <w:t xml:space="preserve">en los que participó el Ayuntamiento de Toluca </w:t>
      </w:r>
      <w:r w:rsidR="00E73D1F" w:rsidRPr="0025691E">
        <w:rPr>
          <w:rFonts w:ascii="Palatino Linotype" w:hAnsi="Palatino Linotype" w:cs="Tahoma"/>
          <w:sz w:val="22"/>
          <w:szCs w:val="22"/>
          <w:lang w:val="es-ES" w:eastAsia="es-MX"/>
        </w:rPr>
        <w:t>tal y como obraba en sus archivos</w:t>
      </w:r>
      <w:r w:rsidRPr="0025691E">
        <w:rPr>
          <w:rFonts w:ascii="Palatino Linotype" w:hAnsi="Palatino Linotype" w:cs="Tahoma"/>
          <w:sz w:val="22"/>
          <w:szCs w:val="22"/>
          <w:lang w:val="es-ES" w:eastAsia="es-MX"/>
        </w:rPr>
        <w:t xml:space="preserve">, </w:t>
      </w:r>
      <w:r w:rsidRPr="0025691E">
        <w:rPr>
          <w:rFonts w:ascii="Palatino Linotype" w:hAnsi="Palatino Linotype" w:cs="Tahoma"/>
          <w:sz w:val="22"/>
          <w:szCs w:val="22"/>
          <w:lang w:val="es-ES"/>
        </w:rPr>
        <w:t xml:space="preserve">por lo tanto, </w:t>
      </w:r>
      <w:r w:rsidRPr="0025691E">
        <w:rPr>
          <w:rFonts w:ascii="Palatino Linotype" w:hAnsi="Palatino Linotype" w:cs="Tahoma"/>
          <w:bCs/>
          <w:sz w:val="22"/>
          <w:szCs w:val="22"/>
          <w:lang w:val="es-ES"/>
        </w:rPr>
        <w:t xml:space="preserve">el agravio hecho valer, deviene de </w:t>
      </w:r>
      <w:r w:rsidRPr="0025691E">
        <w:rPr>
          <w:rFonts w:ascii="Palatino Linotype" w:hAnsi="Palatino Linotype" w:cs="Tahoma"/>
          <w:b/>
          <w:bCs/>
          <w:sz w:val="22"/>
          <w:szCs w:val="22"/>
          <w:lang w:val="es-ES"/>
        </w:rPr>
        <w:t>INFUNDADO.</w:t>
      </w:r>
    </w:p>
    <w:p w14:paraId="4BBC9EB7" w14:textId="41C8FE33" w:rsidR="00813595" w:rsidRPr="0025691E" w:rsidRDefault="00813595" w:rsidP="00CE18C8">
      <w:pPr>
        <w:spacing w:line="360" w:lineRule="auto"/>
        <w:jc w:val="both"/>
        <w:rPr>
          <w:rFonts w:ascii="Palatino Linotype" w:eastAsia="Calibri" w:hAnsi="Palatino Linotype" w:cs="Tahoma"/>
          <w:iCs/>
          <w:sz w:val="22"/>
          <w:szCs w:val="22"/>
          <w:lang w:eastAsia="es-ES_tradnl"/>
        </w:rPr>
      </w:pPr>
    </w:p>
    <w:p w14:paraId="21BC8A04" w14:textId="6306459D" w:rsidR="005F04C9" w:rsidRPr="0025691E" w:rsidRDefault="005F04C9" w:rsidP="00CE18C8">
      <w:pPr>
        <w:spacing w:line="360" w:lineRule="auto"/>
        <w:jc w:val="both"/>
        <w:rPr>
          <w:rFonts w:ascii="Palatino Linotype" w:eastAsia="Calibri" w:hAnsi="Palatino Linotype" w:cs="Tahoma"/>
          <w:b/>
          <w:sz w:val="22"/>
          <w:szCs w:val="22"/>
          <w:lang w:eastAsia="en-US"/>
        </w:rPr>
      </w:pPr>
      <w:r w:rsidRPr="0025691E">
        <w:rPr>
          <w:rFonts w:ascii="Palatino Linotype" w:eastAsia="Calibri" w:hAnsi="Palatino Linotype" w:cs="Tahoma"/>
          <w:b/>
          <w:sz w:val="22"/>
          <w:szCs w:val="22"/>
          <w:lang w:eastAsia="en-US"/>
        </w:rPr>
        <w:t>SEXTO. Decisión</w:t>
      </w:r>
    </w:p>
    <w:p w14:paraId="59077A51" w14:textId="77777777" w:rsidR="005F04C9" w:rsidRPr="0025691E" w:rsidRDefault="005F04C9" w:rsidP="00CE18C8">
      <w:pPr>
        <w:spacing w:line="360" w:lineRule="auto"/>
        <w:jc w:val="both"/>
        <w:rPr>
          <w:rFonts w:ascii="Palatino Linotype" w:eastAsia="Calibri" w:hAnsi="Palatino Linotype" w:cs="Tahoma"/>
          <w:b/>
          <w:sz w:val="22"/>
          <w:szCs w:val="22"/>
          <w:lang w:eastAsia="en-US"/>
        </w:rPr>
      </w:pPr>
    </w:p>
    <w:p w14:paraId="0EEC5E7B" w14:textId="77777777" w:rsidR="005F04C9" w:rsidRPr="0025691E" w:rsidRDefault="005F04C9" w:rsidP="00CE18C8">
      <w:pPr>
        <w:spacing w:line="360" w:lineRule="auto"/>
        <w:jc w:val="both"/>
        <w:rPr>
          <w:rFonts w:ascii="Palatino Linotype" w:hAnsi="Palatino Linotype" w:cs="Tahoma"/>
          <w:sz w:val="22"/>
          <w:szCs w:val="22"/>
        </w:rPr>
      </w:pPr>
      <w:r w:rsidRPr="0025691E">
        <w:rPr>
          <w:rFonts w:ascii="Palatino Linotype" w:hAnsi="Palatino Linotype" w:cs="Tahoma"/>
          <w:sz w:val="22"/>
          <w:szCs w:val="22"/>
        </w:rPr>
        <w:t xml:space="preserve">Con fundamento en el artículo 186, fracción II, de la Ley de Transparencia y Acceso a la Información Pública del Estado de México y Municipios, este Instituto considera procedente </w:t>
      </w:r>
      <w:r w:rsidRPr="0025691E">
        <w:rPr>
          <w:rFonts w:ascii="Palatino Linotype" w:hAnsi="Palatino Linotype" w:cs="Tahoma"/>
          <w:b/>
          <w:sz w:val="22"/>
          <w:szCs w:val="22"/>
        </w:rPr>
        <w:t xml:space="preserve">CONFIRMAR </w:t>
      </w:r>
      <w:r w:rsidRPr="0025691E">
        <w:rPr>
          <w:rFonts w:ascii="Palatino Linotype" w:hAnsi="Palatino Linotype" w:cs="Tahoma"/>
          <w:sz w:val="22"/>
          <w:szCs w:val="22"/>
        </w:rPr>
        <w:t xml:space="preserve">la respuesta otorgada por el Sujeto Obligado. </w:t>
      </w:r>
    </w:p>
    <w:p w14:paraId="1CF13B20" w14:textId="77777777" w:rsidR="005F04C9" w:rsidRPr="0025691E" w:rsidRDefault="005F04C9" w:rsidP="00CE18C8">
      <w:pPr>
        <w:tabs>
          <w:tab w:val="left" w:pos="4962"/>
        </w:tabs>
        <w:spacing w:line="360" w:lineRule="auto"/>
        <w:jc w:val="both"/>
        <w:rPr>
          <w:rFonts w:ascii="Palatino Linotype" w:hAnsi="Palatino Linotype" w:cs="Tahoma"/>
          <w:szCs w:val="22"/>
        </w:rPr>
      </w:pPr>
    </w:p>
    <w:p w14:paraId="6D75F511" w14:textId="02A97F4A" w:rsidR="005F04C9" w:rsidRPr="0025691E" w:rsidRDefault="005F04C9" w:rsidP="00CE18C8">
      <w:pPr>
        <w:spacing w:line="360" w:lineRule="auto"/>
        <w:jc w:val="both"/>
        <w:rPr>
          <w:rFonts w:ascii="Palatino Linotype" w:eastAsia="Calibri" w:hAnsi="Palatino Linotype" w:cs="Tahoma"/>
          <w:b/>
          <w:bCs/>
          <w:sz w:val="22"/>
          <w:szCs w:val="22"/>
          <w:lang w:eastAsia="en-US"/>
        </w:rPr>
      </w:pPr>
      <w:r w:rsidRPr="0025691E">
        <w:rPr>
          <w:rFonts w:ascii="Palatino Linotype" w:eastAsia="Calibri" w:hAnsi="Palatino Linotype" w:cs="Tahoma"/>
          <w:b/>
          <w:bCs/>
          <w:sz w:val="22"/>
          <w:szCs w:val="22"/>
          <w:lang w:eastAsia="en-US"/>
        </w:rPr>
        <w:t>Términos de la Resolución para conocimiento del Particular</w:t>
      </w:r>
    </w:p>
    <w:p w14:paraId="61478117" w14:textId="77777777" w:rsidR="005F04C9" w:rsidRPr="0025691E" w:rsidRDefault="005F04C9" w:rsidP="00CE18C8">
      <w:pPr>
        <w:spacing w:line="360" w:lineRule="auto"/>
        <w:jc w:val="both"/>
        <w:rPr>
          <w:rFonts w:ascii="Palatino Linotype" w:eastAsia="Calibri" w:hAnsi="Palatino Linotype" w:cs="Tahoma"/>
          <w:b/>
          <w:bCs/>
          <w:sz w:val="22"/>
          <w:szCs w:val="22"/>
          <w:lang w:eastAsia="en-US"/>
        </w:rPr>
      </w:pPr>
    </w:p>
    <w:p w14:paraId="71B33BF1" w14:textId="18226979" w:rsidR="00CE18C8" w:rsidRPr="0025691E" w:rsidRDefault="005F04C9" w:rsidP="00CE18C8">
      <w:pPr>
        <w:spacing w:line="360" w:lineRule="auto"/>
        <w:jc w:val="both"/>
        <w:rPr>
          <w:rFonts w:ascii="Palatino Linotype" w:eastAsia="Calibri" w:hAnsi="Palatino Linotype" w:cs="Tahoma"/>
          <w:bCs/>
          <w:iCs/>
          <w:color w:val="000000" w:themeColor="text1"/>
          <w:sz w:val="22"/>
          <w:szCs w:val="22"/>
          <w:lang w:val="es-ES" w:eastAsia="en-US"/>
        </w:rPr>
      </w:pPr>
      <w:r w:rsidRPr="0025691E">
        <w:rPr>
          <w:rFonts w:ascii="Palatino Linotype" w:eastAsia="Calibri" w:hAnsi="Palatino Linotype" w:cs="Tahoma"/>
          <w:bCs/>
          <w:color w:val="000000"/>
          <w:sz w:val="22"/>
          <w:szCs w:val="22"/>
          <w:lang w:eastAsia="en-US"/>
        </w:rPr>
        <w:t xml:space="preserve">Se le hace del conocimiento al Particular, que, en el presente caso, no se le da la razón pues el Sujeto Obligado </w:t>
      </w:r>
      <w:r w:rsidRPr="0025691E">
        <w:rPr>
          <w:rFonts w:ascii="Palatino Linotype" w:eastAsia="Calibri" w:hAnsi="Palatino Linotype" w:cs="Tahoma"/>
          <w:bCs/>
          <w:iCs/>
          <w:color w:val="000000" w:themeColor="text1"/>
          <w:sz w:val="22"/>
          <w:szCs w:val="22"/>
          <w:lang w:val="es-ES" w:eastAsia="en-US"/>
        </w:rPr>
        <w:t xml:space="preserve">proporcionó </w:t>
      </w:r>
      <w:r w:rsidR="00A00607" w:rsidRPr="0025691E">
        <w:rPr>
          <w:rFonts w:ascii="Palatino Linotype" w:eastAsia="Calibri" w:hAnsi="Palatino Linotype" w:cs="Tahoma"/>
          <w:bCs/>
          <w:iCs/>
          <w:color w:val="000000" w:themeColor="text1"/>
          <w:sz w:val="22"/>
          <w:szCs w:val="22"/>
          <w:lang w:val="es-ES" w:eastAsia="en-US"/>
        </w:rPr>
        <w:t xml:space="preserve">la información con la que cuenta el Sujeto Obligado, a saber, </w:t>
      </w:r>
      <w:r w:rsidR="00EE0A51">
        <w:rPr>
          <w:rFonts w:ascii="Palatino Linotype" w:eastAsia="Calibri" w:hAnsi="Palatino Linotype" w:cs="Tahoma"/>
          <w:bCs/>
          <w:iCs/>
          <w:color w:val="000000" w:themeColor="text1"/>
          <w:sz w:val="22"/>
          <w:szCs w:val="22"/>
          <w:lang w:val="es-ES" w:eastAsia="en-US"/>
        </w:rPr>
        <w:t xml:space="preserve">los </w:t>
      </w:r>
    </w:p>
    <w:p w14:paraId="5FBAC659" w14:textId="53110458" w:rsidR="00CE18C8" w:rsidRDefault="00EE0A51" w:rsidP="00CE18C8">
      <w:pPr>
        <w:spacing w:line="360" w:lineRule="auto"/>
        <w:jc w:val="both"/>
        <w:rPr>
          <w:rFonts w:ascii="Palatino Linotype" w:eastAsia="Calibri" w:hAnsi="Palatino Linotype" w:cs="Tahoma"/>
          <w:bCs/>
          <w:iCs/>
          <w:color w:val="000000" w:themeColor="text1"/>
          <w:sz w:val="22"/>
          <w:szCs w:val="22"/>
          <w:lang w:val="es-ES" w:eastAsia="en-US"/>
        </w:rPr>
      </w:pPr>
      <w:r w:rsidRPr="00EE0A51">
        <w:rPr>
          <w:rFonts w:ascii="Palatino Linotype" w:eastAsia="Calibri" w:hAnsi="Palatino Linotype" w:cs="Tahoma"/>
          <w:bCs/>
          <w:iCs/>
          <w:color w:val="000000" w:themeColor="text1"/>
          <w:sz w:val="22"/>
          <w:szCs w:val="22"/>
          <w:lang w:val="es-ES" w:eastAsia="en-US"/>
        </w:rPr>
        <w:lastRenderedPageBreak/>
        <w:t>Dictámenes para determinar el Reconocimiento de Prácticas de Transparencia proactiva de dos mil veintiuno, dos mil veintidós y dos mil veintitrés</w:t>
      </w:r>
      <w:r>
        <w:rPr>
          <w:rFonts w:ascii="Palatino Linotype" w:eastAsia="Calibri" w:hAnsi="Palatino Linotype" w:cs="Tahoma"/>
          <w:bCs/>
          <w:iCs/>
          <w:color w:val="000000" w:themeColor="text1"/>
          <w:sz w:val="22"/>
          <w:szCs w:val="22"/>
          <w:lang w:val="es-ES" w:eastAsia="en-US"/>
        </w:rPr>
        <w:t xml:space="preserve">. </w:t>
      </w:r>
    </w:p>
    <w:p w14:paraId="11BC0F88" w14:textId="77777777" w:rsidR="00EE0A51" w:rsidRPr="0025691E" w:rsidRDefault="00EE0A51" w:rsidP="00CE18C8">
      <w:pPr>
        <w:spacing w:line="360" w:lineRule="auto"/>
        <w:jc w:val="both"/>
        <w:rPr>
          <w:rFonts w:ascii="Palatino Linotype" w:eastAsia="Calibri" w:hAnsi="Palatino Linotype" w:cs="Tahoma"/>
          <w:bCs/>
          <w:iCs/>
          <w:color w:val="000000" w:themeColor="text1"/>
          <w:sz w:val="22"/>
          <w:szCs w:val="22"/>
          <w:lang w:val="es-ES" w:eastAsia="en-US"/>
        </w:rPr>
      </w:pPr>
    </w:p>
    <w:p w14:paraId="3AC50B9B" w14:textId="4EE07B69" w:rsidR="00CE18C8" w:rsidRPr="00EE0A51" w:rsidRDefault="00E73D1F" w:rsidP="00CE18C8">
      <w:pPr>
        <w:spacing w:line="360" w:lineRule="auto"/>
        <w:jc w:val="both"/>
        <w:rPr>
          <w:rFonts w:ascii="Palatino Linotype" w:eastAsia="Calibri" w:hAnsi="Palatino Linotype" w:cs="Tahoma"/>
          <w:bCs/>
          <w:iCs/>
          <w:sz w:val="22"/>
          <w:szCs w:val="22"/>
          <w:lang w:val="es-ES_tradnl" w:eastAsia="en-US"/>
        </w:rPr>
      </w:pPr>
      <w:r w:rsidRPr="0025691E">
        <w:rPr>
          <w:rFonts w:ascii="Palatino Linotype" w:eastAsia="Calibri" w:hAnsi="Palatino Linotype" w:cs="Tahoma"/>
          <w:bCs/>
          <w:iCs/>
          <w:sz w:val="22"/>
          <w:szCs w:val="22"/>
          <w:lang w:val="es-ES_tradnl" w:eastAsia="en-US"/>
        </w:rPr>
        <w:t xml:space="preserve">Finalmente, se le informa que la </w:t>
      </w:r>
      <w:r w:rsidR="005F04C9" w:rsidRPr="0025691E">
        <w:rPr>
          <w:rFonts w:ascii="Palatino Linotype" w:eastAsia="Calibri" w:hAnsi="Palatino Linotype" w:cs="Tahoma"/>
          <w:bCs/>
          <w:iCs/>
          <w:sz w:val="22"/>
          <w:szCs w:val="22"/>
          <w:lang w:val="es-ES_tradnl" w:eastAsia="en-US"/>
        </w:rPr>
        <w:t>labor del Instituto</w:t>
      </w:r>
      <w:r w:rsidR="00CE18C8" w:rsidRPr="0025691E">
        <w:rPr>
          <w:rFonts w:ascii="Palatino Linotype" w:eastAsia="Calibri" w:hAnsi="Palatino Linotype" w:cs="Tahoma"/>
          <w:bCs/>
          <w:iCs/>
          <w:sz w:val="22"/>
          <w:szCs w:val="22"/>
          <w:lang w:val="es-ES_tradnl" w:eastAsia="en-US"/>
        </w:rPr>
        <w:t xml:space="preserve"> de Transparencia, Acceso a la Información Pública y Protección de Datos Personales del Estado de México y Municipios</w:t>
      </w:r>
      <w:r w:rsidRPr="0025691E">
        <w:rPr>
          <w:rFonts w:ascii="Palatino Linotype" w:eastAsia="Calibri" w:hAnsi="Palatino Linotype" w:cs="Tahoma"/>
          <w:bCs/>
          <w:iCs/>
          <w:sz w:val="22"/>
          <w:szCs w:val="22"/>
          <w:lang w:val="es-ES_tradnl" w:eastAsia="en-US"/>
        </w:rPr>
        <w:t>,</w:t>
      </w:r>
      <w:r w:rsidR="00CE18C8" w:rsidRPr="0025691E">
        <w:rPr>
          <w:rFonts w:ascii="Palatino Linotype" w:eastAsia="Calibri" w:hAnsi="Palatino Linotype" w:cs="Tahoma"/>
          <w:bCs/>
          <w:iCs/>
          <w:sz w:val="22"/>
          <w:szCs w:val="22"/>
          <w:lang w:val="es-ES_tradnl" w:eastAsia="en-US"/>
        </w:rPr>
        <w:t xml:space="preserve"> por una parte,</w:t>
      </w:r>
      <w:r w:rsidRPr="0025691E">
        <w:rPr>
          <w:rFonts w:ascii="Palatino Linotype" w:eastAsia="Calibri" w:hAnsi="Palatino Linotype" w:cs="Tahoma"/>
          <w:bCs/>
          <w:iCs/>
          <w:sz w:val="22"/>
          <w:szCs w:val="22"/>
          <w:lang w:val="es-ES_tradnl" w:eastAsia="en-US"/>
        </w:rPr>
        <w:t xml:space="preserve"> </w:t>
      </w:r>
      <w:r w:rsidR="005F04C9" w:rsidRPr="0025691E">
        <w:rPr>
          <w:rFonts w:ascii="Palatino Linotype" w:eastAsia="Calibri" w:hAnsi="Palatino Linotype" w:cs="Tahoma"/>
          <w:bCs/>
          <w:iCs/>
          <w:sz w:val="22"/>
          <w:szCs w:val="22"/>
          <w:lang w:val="es-ES_tradnl" w:eastAsia="en-US"/>
        </w:rPr>
        <w:t>es apoyar a la población a acceder a la información pública y</w:t>
      </w:r>
      <w:r w:rsidR="00CE18C8" w:rsidRPr="0025691E">
        <w:rPr>
          <w:rFonts w:ascii="Palatino Linotype" w:eastAsia="Calibri" w:hAnsi="Palatino Linotype" w:cs="Tahoma"/>
          <w:bCs/>
          <w:iCs/>
          <w:sz w:val="22"/>
          <w:szCs w:val="22"/>
          <w:lang w:val="es-ES_tradnl" w:eastAsia="en-US"/>
        </w:rPr>
        <w:t>, por otra parte, es</w:t>
      </w:r>
      <w:r w:rsidR="00CD6D58" w:rsidRPr="0025691E">
        <w:rPr>
          <w:rFonts w:ascii="Palatino Linotype" w:eastAsia="Calibri" w:hAnsi="Palatino Linotype" w:cs="Tahoma"/>
          <w:bCs/>
          <w:iCs/>
          <w:sz w:val="22"/>
          <w:szCs w:val="22"/>
          <w:lang w:val="es-ES_tradnl" w:eastAsia="en-US"/>
        </w:rPr>
        <w:t xml:space="preserve"> garantizar</w:t>
      </w:r>
      <w:r w:rsidR="005F04C9" w:rsidRPr="0025691E">
        <w:rPr>
          <w:rFonts w:ascii="Palatino Linotype" w:eastAsia="Calibri" w:hAnsi="Palatino Linotype" w:cs="Tahoma"/>
          <w:bCs/>
          <w:iCs/>
          <w:sz w:val="22"/>
          <w:szCs w:val="22"/>
          <w:lang w:val="es-ES_tradnl" w:eastAsia="en-US"/>
        </w:rPr>
        <w:t xml:space="preserve"> la protección de los datos personales.</w:t>
      </w:r>
    </w:p>
    <w:p w14:paraId="25030A17" w14:textId="77777777" w:rsidR="00CE18C8" w:rsidRPr="0025691E" w:rsidRDefault="00CE18C8" w:rsidP="00CE18C8">
      <w:pPr>
        <w:spacing w:line="360" w:lineRule="auto"/>
        <w:jc w:val="both"/>
        <w:rPr>
          <w:rFonts w:ascii="Palatino Linotype" w:eastAsia="Calibri" w:hAnsi="Palatino Linotype" w:cs="Tahoma"/>
          <w:bCs/>
          <w:sz w:val="22"/>
          <w:szCs w:val="22"/>
          <w:lang w:eastAsia="en-US"/>
        </w:rPr>
      </w:pPr>
    </w:p>
    <w:p w14:paraId="07F9AE22" w14:textId="77777777" w:rsidR="005F04C9" w:rsidRPr="0025691E" w:rsidRDefault="005F04C9" w:rsidP="00CE18C8">
      <w:pPr>
        <w:spacing w:line="360" w:lineRule="auto"/>
        <w:jc w:val="both"/>
        <w:rPr>
          <w:rFonts w:ascii="Palatino Linotype" w:eastAsia="Calibri" w:hAnsi="Palatino Linotype" w:cs="Tahoma"/>
          <w:bCs/>
          <w:sz w:val="22"/>
          <w:szCs w:val="22"/>
          <w:lang w:eastAsia="en-US"/>
        </w:rPr>
      </w:pPr>
      <w:r w:rsidRPr="0025691E">
        <w:rPr>
          <w:rFonts w:ascii="Palatino Linotype" w:eastAsia="Calibri" w:hAnsi="Palatino Linotype" w:cs="Tahoma"/>
          <w:bCs/>
          <w:sz w:val="22"/>
          <w:szCs w:val="22"/>
          <w:lang w:eastAsia="en-US"/>
        </w:rPr>
        <w:t>Por lo expuesto y fundado, este Pleno:</w:t>
      </w:r>
    </w:p>
    <w:p w14:paraId="7E7BBCBD" w14:textId="77777777" w:rsidR="005F04C9" w:rsidRPr="0025691E" w:rsidRDefault="005F04C9" w:rsidP="00CE18C8">
      <w:pPr>
        <w:spacing w:line="360" w:lineRule="auto"/>
        <w:ind w:right="-91"/>
        <w:jc w:val="center"/>
        <w:rPr>
          <w:rFonts w:ascii="Palatino Linotype" w:eastAsia="Calibri" w:hAnsi="Palatino Linotype" w:cs="Tahoma"/>
          <w:b/>
          <w:bCs/>
          <w:sz w:val="22"/>
          <w:szCs w:val="22"/>
          <w:lang w:eastAsia="en-US"/>
        </w:rPr>
      </w:pPr>
    </w:p>
    <w:p w14:paraId="6C048BFA" w14:textId="3B84F8E6" w:rsidR="005F04C9" w:rsidRPr="0025691E" w:rsidRDefault="005F04C9" w:rsidP="00CE18C8">
      <w:pPr>
        <w:spacing w:line="360" w:lineRule="auto"/>
        <w:ind w:right="-91"/>
        <w:jc w:val="center"/>
        <w:rPr>
          <w:rFonts w:ascii="Palatino Linotype" w:eastAsia="Calibri" w:hAnsi="Palatino Linotype" w:cs="Tahoma"/>
          <w:b/>
          <w:bCs/>
          <w:sz w:val="22"/>
          <w:szCs w:val="22"/>
          <w:lang w:eastAsia="en-US"/>
        </w:rPr>
      </w:pPr>
      <w:r w:rsidRPr="0025691E">
        <w:rPr>
          <w:rFonts w:ascii="Palatino Linotype" w:eastAsia="Calibri" w:hAnsi="Palatino Linotype" w:cs="Tahoma"/>
          <w:b/>
          <w:bCs/>
          <w:sz w:val="22"/>
          <w:szCs w:val="22"/>
          <w:lang w:eastAsia="en-US"/>
        </w:rPr>
        <w:t>R E S U E L V E</w:t>
      </w:r>
    </w:p>
    <w:p w14:paraId="057AF6A0" w14:textId="77777777" w:rsidR="005F04C9" w:rsidRPr="0025691E" w:rsidRDefault="005F04C9" w:rsidP="00CE18C8">
      <w:pPr>
        <w:spacing w:line="360" w:lineRule="auto"/>
        <w:ind w:right="-91"/>
        <w:jc w:val="center"/>
        <w:rPr>
          <w:rFonts w:ascii="Palatino Linotype" w:eastAsia="Calibri" w:hAnsi="Palatino Linotype" w:cs="Tahoma"/>
          <w:b/>
          <w:bCs/>
          <w:sz w:val="22"/>
          <w:szCs w:val="22"/>
          <w:lang w:eastAsia="en-US"/>
        </w:rPr>
      </w:pPr>
    </w:p>
    <w:p w14:paraId="595414E4" w14:textId="5FA2451D" w:rsidR="005F04C9" w:rsidRPr="0025691E" w:rsidRDefault="005F04C9" w:rsidP="00CE18C8">
      <w:pPr>
        <w:spacing w:line="360" w:lineRule="auto"/>
        <w:contextualSpacing/>
        <w:jc w:val="both"/>
        <w:rPr>
          <w:rFonts w:ascii="Palatino Linotype" w:eastAsia="Calibri" w:hAnsi="Palatino Linotype" w:cs="Tahoma"/>
          <w:bCs/>
          <w:iCs/>
          <w:sz w:val="22"/>
          <w:szCs w:val="22"/>
          <w:lang w:eastAsia="en-US"/>
        </w:rPr>
      </w:pPr>
      <w:r w:rsidRPr="0025691E">
        <w:rPr>
          <w:rFonts w:ascii="Palatino Linotype" w:eastAsia="Calibri" w:hAnsi="Palatino Linotype" w:cs="Tahoma"/>
          <w:b/>
          <w:bCs/>
          <w:iCs/>
          <w:sz w:val="22"/>
          <w:szCs w:val="22"/>
          <w:lang w:eastAsia="en-US"/>
        </w:rPr>
        <w:t xml:space="preserve">PRIMERO. </w:t>
      </w:r>
      <w:r w:rsidRPr="0025691E">
        <w:rPr>
          <w:rFonts w:ascii="Palatino Linotype" w:eastAsia="Calibri" w:hAnsi="Palatino Linotype" w:cs="Tahoma"/>
          <w:bCs/>
          <w:iCs/>
          <w:sz w:val="22"/>
          <w:szCs w:val="22"/>
          <w:lang w:eastAsia="en-US"/>
        </w:rPr>
        <w:t xml:space="preserve">Se </w:t>
      </w:r>
      <w:r w:rsidRPr="0025691E">
        <w:rPr>
          <w:rFonts w:ascii="Palatino Linotype" w:eastAsia="Calibri" w:hAnsi="Palatino Linotype" w:cs="Tahoma"/>
          <w:b/>
          <w:bCs/>
          <w:iCs/>
          <w:sz w:val="22"/>
          <w:szCs w:val="22"/>
          <w:lang w:eastAsia="en-US"/>
        </w:rPr>
        <w:t xml:space="preserve">CONFIRMA </w:t>
      </w:r>
      <w:r w:rsidRPr="0025691E">
        <w:rPr>
          <w:rFonts w:ascii="Palatino Linotype" w:eastAsia="Calibri" w:hAnsi="Palatino Linotype" w:cs="Tahoma"/>
          <w:iCs/>
          <w:sz w:val="22"/>
          <w:szCs w:val="22"/>
          <w:lang w:eastAsia="en-US"/>
        </w:rPr>
        <w:t xml:space="preserve">la respuesta entregada por el Sujeto Obligado a la solicitud de acceso a la información </w:t>
      </w:r>
      <w:r w:rsidR="00EE0A51" w:rsidRPr="00EE0A51">
        <w:rPr>
          <w:rFonts w:ascii="Palatino Linotype" w:hAnsi="Palatino Linotype" w:cs="Tahoma"/>
          <w:bCs/>
          <w:color w:val="0D0D0D" w:themeColor="text1" w:themeTint="F2"/>
          <w:sz w:val="22"/>
          <w:szCs w:val="22"/>
        </w:rPr>
        <w:t>00327/TOLUCA/IP/2024</w:t>
      </w:r>
      <w:r w:rsidRPr="0025691E">
        <w:rPr>
          <w:rFonts w:ascii="Palatino Linotype" w:hAnsi="Palatino Linotype" w:cs="Tahoma"/>
          <w:bCs/>
          <w:color w:val="0D0D0D" w:themeColor="text1" w:themeTint="F2"/>
          <w:sz w:val="22"/>
          <w:szCs w:val="22"/>
        </w:rPr>
        <w:t xml:space="preserve">, </w:t>
      </w:r>
      <w:r w:rsidRPr="0025691E">
        <w:rPr>
          <w:rFonts w:ascii="Palatino Linotype" w:eastAsia="Calibri" w:hAnsi="Palatino Linotype" w:cs="Tahoma"/>
          <w:bCs/>
          <w:iCs/>
          <w:sz w:val="22"/>
          <w:szCs w:val="22"/>
          <w:lang w:eastAsia="en-US"/>
        </w:rPr>
        <w:t xml:space="preserve">por resultar </w:t>
      </w:r>
      <w:r w:rsidRPr="0025691E">
        <w:rPr>
          <w:rFonts w:ascii="Palatino Linotype" w:eastAsia="Calibri" w:hAnsi="Palatino Linotype" w:cs="Tahoma"/>
          <w:b/>
          <w:bCs/>
          <w:iCs/>
          <w:sz w:val="22"/>
          <w:szCs w:val="22"/>
          <w:lang w:eastAsia="en-US"/>
        </w:rPr>
        <w:t>INFUNDADAS</w:t>
      </w:r>
      <w:r w:rsidRPr="0025691E">
        <w:rPr>
          <w:rFonts w:ascii="Palatino Linotype" w:eastAsia="Calibri" w:hAnsi="Palatino Linotype" w:cs="Tahoma"/>
          <w:bCs/>
          <w:iCs/>
          <w:sz w:val="22"/>
          <w:szCs w:val="22"/>
          <w:lang w:eastAsia="en-US"/>
        </w:rPr>
        <w:t xml:space="preserve"> las razones o motivos de inconformidad hechos valer por el Recurrente, en términos de los Considerandos </w:t>
      </w:r>
      <w:r w:rsidRPr="0025691E">
        <w:rPr>
          <w:rFonts w:ascii="Palatino Linotype" w:eastAsia="Calibri" w:hAnsi="Palatino Linotype" w:cs="Tahoma"/>
          <w:iCs/>
          <w:sz w:val="22"/>
          <w:szCs w:val="22"/>
          <w:lang w:eastAsia="en-US"/>
        </w:rPr>
        <w:t>QUINTO y SEXTO</w:t>
      </w:r>
      <w:r w:rsidRPr="0025691E">
        <w:rPr>
          <w:rFonts w:ascii="Palatino Linotype" w:eastAsia="Calibri" w:hAnsi="Palatino Linotype" w:cs="Tahoma"/>
          <w:b/>
          <w:bCs/>
          <w:iCs/>
          <w:sz w:val="22"/>
          <w:szCs w:val="22"/>
          <w:lang w:eastAsia="en-US"/>
        </w:rPr>
        <w:t xml:space="preserve"> </w:t>
      </w:r>
      <w:r w:rsidRPr="0025691E">
        <w:rPr>
          <w:rFonts w:ascii="Palatino Linotype" w:eastAsia="Calibri" w:hAnsi="Palatino Linotype" w:cs="Tahoma"/>
          <w:bCs/>
          <w:iCs/>
          <w:sz w:val="22"/>
          <w:szCs w:val="22"/>
          <w:lang w:eastAsia="en-US"/>
        </w:rPr>
        <w:t>de esta Resolución.</w:t>
      </w:r>
    </w:p>
    <w:p w14:paraId="32A37EA6" w14:textId="77777777" w:rsidR="00CD6D58" w:rsidRPr="0025691E" w:rsidRDefault="00CD6D58" w:rsidP="00CE18C8">
      <w:pPr>
        <w:spacing w:line="360" w:lineRule="auto"/>
        <w:contextualSpacing/>
        <w:jc w:val="both"/>
        <w:rPr>
          <w:rFonts w:ascii="Palatino Linotype" w:eastAsia="Calibri" w:hAnsi="Palatino Linotype" w:cs="Tahoma"/>
          <w:iCs/>
          <w:sz w:val="22"/>
          <w:szCs w:val="22"/>
          <w:lang w:eastAsia="en-US"/>
        </w:rPr>
      </w:pPr>
    </w:p>
    <w:p w14:paraId="1963A53C" w14:textId="05A313C1" w:rsidR="005F04C9" w:rsidRPr="0025691E" w:rsidRDefault="005F04C9" w:rsidP="00CE18C8">
      <w:pPr>
        <w:spacing w:line="360" w:lineRule="auto"/>
        <w:contextualSpacing/>
        <w:jc w:val="both"/>
        <w:rPr>
          <w:rFonts w:ascii="Palatino Linotype" w:eastAsia="Calibri" w:hAnsi="Palatino Linotype" w:cs="Tahoma"/>
          <w:bCs/>
          <w:i/>
          <w:iCs/>
          <w:sz w:val="22"/>
          <w:szCs w:val="22"/>
          <w:lang w:eastAsia="en-US"/>
        </w:rPr>
      </w:pPr>
      <w:r w:rsidRPr="0025691E">
        <w:rPr>
          <w:rFonts w:ascii="Palatino Linotype" w:eastAsia="Calibri" w:hAnsi="Palatino Linotype" w:cs="Tahoma"/>
          <w:b/>
          <w:bCs/>
          <w:iCs/>
          <w:sz w:val="22"/>
          <w:szCs w:val="22"/>
          <w:lang w:eastAsia="en-US"/>
        </w:rPr>
        <w:t>SEGUNDO. NOTIFÍQUESE</w:t>
      </w:r>
      <w:r w:rsidR="00A63943">
        <w:rPr>
          <w:rFonts w:ascii="Palatino Linotype" w:eastAsia="Calibri" w:hAnsi="Palatino Linotype" w:cs="Tahoma"/>
          <w:b/>
          <w:bCs/>
          <w:iCs/>
          <w:sz w:val="22"/>
          <w:szCs w:val="22"/>
          <w:lang w:eastAsia="en-US"/>
        </w:rPr>
        <w:t xml:space="preserve"> POR SAIMEX</w:t>
      </w:r>
      <w:r w:rsidRPr="0025691E">
        <w:rPr>
          <w:rFonts w:ascii="Palatino Linotype" w:eastAsia="Calibri" w:hAnsi="Palatino Linotype" w:cs="Tahoma"/>
          <w:b/>
          <w:bCs/>
          <w:iCs/>
          <w:sz w:val="22"/>
          <w:szCs w:val="22"/>
          <w:lang w:eastAsia="en-US"/>
        </w:rPr>
        <w:t xml:space="preserve"> </w:t>
      </w:r>
      <w:r w:rsidRPr="0025691E">
        <w:rPr>
          <w:rFonts w:ascii="Palatino Linotype" w:eastAsia="Calibri" w:hAnsi="Palatino Linotype" w:cs="Tahoma"/>
          <w:bCs/>
          <w:iCs/>
          <w:sz w:val="22"/>
          <w:szCs w:val="22"/>
          <w:lang w:eastAsia="en-US"/>
        </w:rPr>
        <w:t>la presente resolución al Titular de la Unidad de Transparencia del Sujeto Obligado.</w:t>
      </w:r>
    </w:p>
    <w:p w14:paraId="1EC69EC1" w14:textId="77777777" w:rsidR="005F04C9" w:rsidRPr="0025691E" w:rsidRDefault="005F04C9" w:rsidP="00CE18C8">
      <w:pPr>
        <w:spacing w:line="360" w:lineRule="auto"/>
        <w:contextualSpacing/>
        <w:jc w:val="both"/>
        <w:rPr>
          <w:rFonts w:ascii="Palatino Linotype" w:eastAsia="Calibri" w:hAnsi="Palatino Linotype" w:cs="Tahoma"/>
          <w:bCs/>
          <w:iCs/>
          <w:sz w:val="22"/>
          <w:szCs w:val="22"/>
          <w:lang w:eastAsia="en-US"/>
        </w:rPr>
      </w:pPr>
    </w:p>
    <w:p w14:paraId="44C50F2E" w14:textId="77F86B17" w:rsidR="005F04C9" w:rsidRPr="0025691E" w:rsidRDefault="005F04C9" w:rsidP="00CE18C8">
      <w:pPr>
        <w:spacing w:line="360" w:lineRule="auto"/>
        <w:contextualSpacing/>
        <w:jc w:val="both"/>
        <w:rPr>
          <w:rFonts w:ascii="Palatino Linotype" w:eastAsia="Calibri" w:hAnsi="Palatino Linotype" w:cs="Tahoma"/>
          <w:bCs/>
          <w:iCs/>
          <w:sz w:val="22"/>
          <w:szCs w:val="22"/>
          <w:lang w:eastAsia="en-US"/>
        </w:rPr>
      </w:pPr>
      <w:r w:rsidRPr="0025691E">
        <w:rPr>
          <w:rFonts w:ascii="Palatino Linotype" w:eastAsia="Calibri" w:hAnsi="Palatino Linotype" w:cs="Tahoma"/>
          <w:b/>
          <w:bCs/>
          <w:iCs/>
          <w:sz w:val="22"/>
          <w:szCs w:val="22"/>
          <w:lang w:eastAsia="en-US"/>
        </w:rPr>
        <w:t>TERCERO. NOTIFÍQUESE</w:t>
      </w:r>
      <w:r w:rsidR="00A63943">
        <w:rPr>
          <w:rFonts w:ascii="Palatino Linotype" w:eastAsia="Calibri" w:hAnsi="Palatino Linotype" w:cs="Tahoma"/>
          <w:b/>
          <w:bCs/>
          <w:iCs/>
          <w:sz w:val="22"/>
          <w:szCs w:val="22"/>
          <w:lang w:eastAsia="en-US"/>
        </w:rPr>
        <w:t xml:space="preserve"> POR SAIMEX</w:t>
      </w:r>
      <w:r w:rsidRPr="0025691E">
        <w:rPr>
          <w:rFonts w:ascii="Palatino Linotype" w:eastAsia="Calibri" w:hAnsi="Palatino Linotype" w:cs="Tahoma"/>
          <w:bCs/>
          <w:iCs/>
          <w:sz w:val="22"/>
          <w:szCs w:val="22"/>
          <w:lang w:eastAsia="en-US"/>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2BA0A2E" w14:textId="77777777" w:rsidR="001A1C70" w:rsidRPr="0025691E" w:rsidRDefault="001A1C70" w:rsidP="00CE18C8">
      <w:pPr>
        <w:spacing w:line="360" w:lineRule="auto"/>
        <w:jc w:val="both"/>
        <w:rPr>
          <w:rFonts w:ascii="Palatino Linotype" w:hAnsi="Palatino Linotype" w:cs="Arial"/>
          <w:b/>
          <w:bCs/>
          <w:color w:val="000000" w:themeColor="text1"/>
          <w:sz w:val="22"/>
          <w:szCs w:val="22"/>
        </w:rPr>
      </w:pPr>
    </w:p>
    <w:p w14:paraId="4A313A81" w14:textId="2BA449C9" w:rsidR="00977B7D" w:rsidRPr="00C61C11" w:rsidRDefault="005F04C9" w:rsidP="00CE18C8">
      <w:pPr>
        <w:spacing w:line="360" w:lineRule="auto"/>
        <w:jc w:val="both"/>
        <w:rPr>
          <w:rFonts w:ascii="Palatino Linotype" w:hAnsi="Palatino Linotype" w:cs="Tahoma"/>
          <w:sz w:val="22"/>
          <w:szCs w:val="22"/>
        </w:rPr>
      </w:pPr>
      <w:r w:rsidRPr="0025691E">
        <w:rPr>
          <w:rFonts w:ascii="Palatino Linotype" w:eastAsia="Calibri" w:hAnsi="Palatino Linotype" w:cs="Tahoma"/>
          <w:bCs/>
          <w:sz w:val="22"/>
          <w:szCs w:val="22"/>
          <w:lang w:eastAsia="en-US"/>
        </w:rPr>
        <w:t>ASÍ LO RESUELVE, POR </w:t>
      </w:r>
      <w:r w:rsidRPr="0025691E">
        <w:rPr>
          <w:rFonts w:ascii="Palatino Linotype" w:eastAsia="Calibri" w:hAnsi="Palatino Linotype" w:cs="Tahoma"/>
          <w:b/>
          <w:bCs/>
          <w:sz w:val="22"/>
          <w:szCs w:val="22"/>
          <w:lang w:eastAsia="en-US"/>
        </w:rPr>
        <w:t>UNANIMIDAD</w:t>
      </w:r>
      <w:r w:rsidRPr="0025691E">
        <w:rPr>
          <w:rFonts w:ascii="Palatino Linotype" w:eastAsia="Calibri" w:hAnsi="Palatino Linotype" w:cs="Tahoma"/>
          <w:bCs/>
          <w:sz w:val="22"/>
          <w:szCs w:val="22"/>
          <w:lang w:eastAsia="en-US"/>
        </w:rPr>
        <w:t xml:space="preserve"> DE VOTOS EL PLENO DEL INSTITUTO DE TRANSPARENCIA, ACCESO A LA INFORMACIÓN PÚBLICA Y PROTECCIÓN DE </w:t>
      </w:r>
      <w:r w:rsidRPr="0025691E">
        <w:rPr>
          <w:rFonts w:ascii="Palatino Linotype" w:eastAsia="Calibri" w:hAnsi="Palatino Linotype" w:cs="Tahoma"/>
          <w:bCs/>
          <w:sz w:val="22"/>
          <w:szCs w:val="22"/>
          <w:lang w:eastAsia="en-US"/>
        </w:rPr>
        <w:lastRenderedPageBreak/>
        <w:t xml:space="preserve">DATOS PERSONALES DEL ESTADO DE MÉXICO Y MUNICIPIOS, CONFORMADO POR LOS COMISIONADOS JOSÉ MARTÍNEZ VILCHIS, MARÍA DEL ROSARIO MEJÍA AYALA, SHARON CRISTINA MORALES MARTÍNEZ, LUIS GUSTAVO PARRA NORIEGA Y GUADALUPE RAMÍREZ PEÑA, EN LA </w:t>
      </w:r>
      <w:r w:rsidR="00A63943">
        <w:rPr>
          <w:rFonts w:ascii="Palatino Linotype" w:eastAsia="Calibri" w:hAnsi="Palatino Linotype" w:cs="Tahoma"/>
          <w:bCs/>
          <w:sz w:val="22"/>
          <w:szCs w:val="22"/>
          <w:lang w:eastAsia="en-US"/>
        </w:rPr>
        <w:t>TRIGÉSIMA SÉPTIMA</w:t>
      </w:r>
      <w:r w:rsidR="00CD6D58" w:rsidRPr="0025691E">
        <w:rPr>
          <w:rFonts w:ascii="Palatino Linotype" w:eastAsia="Calibri" w:hAnsi="Palatino Linotype" w:cs="Tahoma"/>
          <w:bCs/>
          <w:sz w:val="22"/>
          <w:szCs w:val="22"/>
          <w:lang w:eastAsia="en-US"/>
        </w:rPr>
        <w:t xml:space="preserve"> </w:t>
      </w:r>
      <w:r w:rsidRPr="0025691E">
        <w:rPr>
          <w:rFonts w:ascii="Palatino Linotype" w:eastAsia="Calibri" w:hAnsi="Palatino Linotype" w:cs="Tahoma"/>
          <w:bCs/>
          <w:sz w:val="22"/>
          <w:szCs w:val="22"/>
          <w:lang w:eastAsia="en-US"/>
        </w:rPr>
        <w:t xml:space="preserve">SESIÓN ORDINARIA, CELEBRADA EL </w:t>
      </w:r>
      <w:r w:rsidR="00A63943">
        <w:rPr>
          <w:rFonts w:ascii="Palatino Linotype" w:eastAsia="Calibri" w:hAnsi="Palatino Linotype" w:cs="Tahoma"/>
          <w:bCs/>
          <w:sz w:val="22"/>
          <w:szCs w:val="22"/>
          <w:lang w:eastAsia="en-US"/>
        </w:rPr>
        <w:t>DIECISÉIS DE OCTUBRE</w:t>
      </w:r>
      <w:r w:rsidRPr="0025691E">
        <w:rPr>
          <w:rFonts w:ascii="Palatino Linotype" w:eastAsia="Calibri" w:hAnsi="Palatino Linotype" w:cs="Tahoma"/>
          <w:bCs/>
          <w:sz w:val="22"/>
          <w:szCs w:val="22"/>
          <w:lang w:eastAsia="en-US"/>
        </w:rPr>
        <w:t xml:space="preserve"> DE DOS MIL VEINTI</w:t>
      </w:r>
      <w:r w:rsidR="00A63943">
        <w:rPr>
          <w:rFonts w:ascii="Palatino Linotype" w:eastAsia="Calibri" w:hAnsi="Palatino Linotype" w:cs="Tahoma"/>
          <w:bCs/>
          <w:sz w:val="22"/>
          <w:szCs w:val="22"/>
          <w:lang w:eastAsia="en-US"/>
        </w:rPr>
        <w:t>CUATRO</w:t>
      </w:r>
      <w:r w:rsidRPr="0025691E">
        <w:rPr>
          <w:rFonts w:ascii="Palatino Linotype" w:eastAsia="Calibri" w:hAnsi="Palatino Linotype" w:cs="Tahoma"/>
          <w:bCs/>
          <w:sz w:val="22"/>
          <w:szCs w:val="22"/>
          <w:lang w:eastAsia="en-US"/>
        </w:rPr>
        <w:t>, ANTE EL SECRETARIO TÉCNICO DEL PLENO, ALEXIS TAPIA RAMÍREZ.</w:t>
      </w:r>
      <w:r w:rsidR="00977B7D" w:rsidRPr="00C61C11">
        <w:rPr>
          <w:rFonts w:ascii="Palatino Linotype" w:hAnsi="Palatino Linotype" w:cs="Tahoma"/>
          <w:sz w:val="22"/>
          <w:szCs w:val="22"/>
        </w:rPr>
        <w:br w:type="page"/>
      </w:r>
    </w:p>
    <w:sectPr w:rsidR="00977B7D" w:rsidRPr="00C61C11" w:rsidSect="00D83492">
      <w:headerReference w:type="even" r:id="rId14"/>
      <w:headerReference w:type="default" r:id="rId15"/>
      <w:footerReference w:type="default" r:id="rId16"/>
      <w:headerReference w:type="first" r:id="rId17"/>
      <w:footerReference w:type="first" r:id="rId18"/>
      <w:pgSz w:w="12240" w:h="15840"/>
      <w:pgMar w:top="80" w:right="1608" w:bottom="1134" w:left="1588" w:header="709" w:footer="62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661726" w14:textId="77777777" w:rsidR="00156C41" w:rsidRDefault="00156C41" w:rsidP="00FC7A26">
      <w:r>
        <w:separator/>
      </w:r>
    </w:p>
  </w:endnote>
  <w:endnote w:type="continuationSeparator" w:id="0">
    <w:p w14:paraId="48CA461A" w14:textId="77777777" w:rsidR="00156C41" w:rsidRDefault="00156C41" w:rsidP="00FC7A26">
      <w:r>
        <w:continuationSeparator/>
      </w:r>
    </w:p>
  </w:endnote>
  <w:endnote w:type="continuationNotice" w:id="1">
    <w:p w14:paraId="22AFDF13" w14:textId="77777777" w:rsidR="00156C41" w:rsidRDefault="00156C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14:paraId="54BFC472" w14:textId="77777777" w:rsidR="001A27BD" w:rsidRPr="00C13895" w:rsidRDefault="001A27BD">
            <w:pPr>
              <w:pStyle w:val="Piedepgina"/>
              <w:jc w:val="right"/>
              <w:rPr>
                <w:sz w:val="26"/>
                <w:szCs w:val="26"/>
              </w:rPr>
            </w:pPr>
          </w:p>
          <w:p w14:paraId="5BE01B4F" w14:textId="285C4698" w:rsidR="001A27BD" w:rsidRDefault="00BF14E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D2055">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D2055">
              <w:rPr>
                <w:b/>
                <w:bCs/>
                <w:noProof/>
              </w:rPr>
              <w:t>25</w:t>
            </w:r>
            <w:r>
              <w:rPr>
                <w:b/>
                <w:bCs/>
                <w:sz w:val="24"/>
                <w:szCs w:val="24"/>
              </w:rPr>
              <w:fldChar w:fldCharType="end"/>
            </w:r>
          </w:p>
        </w:sdtContent>
      </w:sdt>
    </w:sdtContent>
  </w:sdt>
  <w:p w14:paraId="3F8493FE" w14:textId="77777777" w:rsidR="001A27BD" w:rsidRDefault="001A27B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14:paraId="215FCE47" w14:textId="77777777" w:rsidR="001A27BD" w:rsidRDefault="001A27BD">
            <w:pPr>
              <w:pStyle w:val="Piedepgina"/>
              <w:jc w:val="right"/>
            </w:pPr>
          </w:p>
          <w:p w14:paraId="73795115" w14:textId="77777777" w:rsidR="001A27BD" w:rsidRDefault="001A27BD">
            <w:pPr>
              <w:pStyle w:val="Piedepgina"/>
              <w:jc w:val="right"/>
            </w:pPr>
          </w:p>
          <w:p w14:paraId="102883EC" w14:textId="77777777" w:rsidR="001A27BD" w:rsidRDefault="001A27BD">
            <w:pPr>
              <w:pStyle w:val="Piedepgina"/>
              <w:jc w:val="right"/>
            </w:pPr>
          </w:p>
          <w:p w14:paraId="7D59C0C8" w14:textId="2F8841EF" w:rsidR="001A27BD" w:rsidRDefault="00BF14ED">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D2055">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D2055">
              <w:rPr>
                <w:b/>
                <w:bCs/>
                <w:noProof/>
              </w:rPr>
              <w:t>25</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529A43" w14:textId="77777777" w:rsidR="00156C41" w:rsidRDefault="00156C41" w:rsidP="00FC7A26">
      <w:r>
        <w:separator/>
      </w:r>
    </w:p>
  </w:footnote>
  <w:footnote w:type="continuationSeparator" w:id="0">
    <w:p w14:paraId="275C394D" w14:textId="77777777" w:rsidR="00156C41" w:rsidRDefault="00156C41" w:rsidP="00FC7A26">
      <w:r>
        <w:continuationSeparator/>
      </w:r>
    </w:p>
  </w:footnote>
  <w:footnote w:type="continuationNotice" w:id="1">
    <w:p w14:paraId="10DF72CC" w14:textId="77777777" w:rsidR="00156C41" w:rsidRDefault="00156C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40B1D" w14:textId="77777777" w:rsidR="001A27BD" w:rsidRDefault="00156C41">
    <w:pPr>
      <w:pStyle w:val="Encabezado"/>
    </w:pPr>
    <w:r>
      <w:rPr>
        <w:noProof/>
        <w:lang w:eastAsia="es-MX"/>
      </w:rPr>
      <w:pict w14:anchorId="74A766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2" o:spid="_x0000_s2051" type="#_x0000_t75" alt="marcaaguaINFOEM" style="position:absolute;margin-left:0;margin-top:0;width:663.5pt;height:12in;z-index:-251658240;mso-wrap-edited:f;mso-width-percent:0;mso-height-percent:0;mso-position-horizontal:center;mso-position-horizontal-relative:margin;mso-position-vertical:center;mso-position-vertical-relative:margin;mso-width-percent:0;mso-height-percent:0" o:allowincell="f">
          <v:imagedata r:id="rId1" o:title="marcaaguaINFOEM"/>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CADB4" w14:textId="11DEB118" w:rsidR="001A27BD" w:rsidRPr="009E6858" w:rsidRDefault="00156C41" w:rsidP="009E6858">
    <w:pPr>
      <w:tabs>
        <w:tab w:val="left" w:pos="3416"/>
      </w:tabs>
      <w:rPr>
        <w:sz w:val="22"/>
        <w:szCs w:val="22"/>
      </w:rPr>
    </w:pPr>
    <w:r>
      <w:rPr>
        <w:noProof/>
        <w:sz w:val="14"/>
        <w:lang w:eastAsia="es-MX"/>
      </w:rPr>
      <w:pict w14:anchorId="550EA6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3" o:spid="_x0000_s2050" type="#_x0000_t75" alt="marcaaguaINFOEM" style="position:absolute;margin-left:-77.85pt;margin-top:-123.7pt;width:663.5pt;height:12in;z-index:-251658239;mso-wrap-edited:f;mso-width-percent:0;mso-height-percent:0;mso-position-horizontal-relative:margin;mso-position-vertical-relative:margin;mso-width-percent:0;mso-height-percent:0" o:allowincell="f">
          <v:imagedata r:id="rId1" o:title="marcaaguaINFOEM"/>
          <w10:wrap anchorx="margin" anchory="margin"/>
        </v:shape>
      </w:pict>
    </w:r>
  </w:p>
  <w:tbl>
    <w:tblPr>
      <w:tblW w:w="9745" w:type="dxa"/>
      <w:tblLayout w:type="fixed"/>
      <w:tblLook w:val="04A0" w:firstRow="1" w:lastRow="0" w:firstColumn="1" w:lastColumn="0" w:noHBand="0" w:noVBand="1"/>
    </w:tblPr>
    <w:tblGrid>
      <w:gridCol w:w="2552"/>
      <w:gridCol w:w="7193"/>
    </w:tblGrid>
    <w:tr w:rsidR="008B41A2" w:rsidRPr="005C106F" w14:paraId="54DC5BBB" w14:textId="77777777" w:rsidTr="00AF6ADC">
      <w:trPr>
        <w:trHeight w:val="70"/>
      </w:trPr>
      <w:tc>
        <w:tcPr>
          <w:tcW w:w="2552" w:type="dxa"/>
          <w:shd w:val="clear" w:color="auto" w:fill="auto"/>
        </w:tcPr>
        <w:p w14:paraId="7390C447" w14:textId="130A6C05" w:rsidR="001A27BD" w:rsidRPr="005C106F" w:rsidRDefault="001A27BD" w:rsidP="008B41A2">
          <w:pPr>
            <w:tabs>
              <w:tab w:val="right" w:pos="4273"/>
            </w:tabs>
            <w:rPr>
              <w:rFonts w:ascii="Garamond" w:eastAsia="Calibri" w:hAnsi="Garamond"/>
              <w:sz w:val="16"/>
              <w:szCs w:val="16"/>
            </w:rPr>
          </w:pPr>
        </w:p>
      </w:tc>
      <w:tc>
        <w:tcPr>
          <w:tcW w:w="7193" w:type="dxa"/>
          <w:shd w:val="clear" w:color="auto" w:fill="auto"/>
        </w:tcPr>
        <w:tbl>
          <w:tblPr>
            <w:tblStyle w:val="Tablaconcuadrcula"/>
            <w:tblW w:w="6793" w:type="dxa"/>
            <w:tblInd w:w="1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08"/>
            <w:gridCol w:w="4385"/>
          </w:tblGrid>
          <w:tr w:rsidR="008B41A2" w14:paraId="19911F35" w14:textId="77777777" w:rsidTr="003C3450">
            <w:trPr>
              <w:trHeight w:val="128"/>
            </w:trPr>
            <w:tc>
              <w:tcPr>
                <w:tcW w:w="2408" w:type="dxa"/>
                <w:vAlign w:val="bottom"/>
              </w:tcPr>
              <w:p w14:paraId="13C6DB98" w14:textId="77777777" w:rsidR="001A27BD" w:rsidRPr="008B41A2" w:rsidRDefault="00BF14ED" w:rsidP="008B41A2">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Recurso de Revisión:</w:t>
                </w:r>
              </w:p>
            </w:tc>
            <w:tc>
              <w:tcPr>
                <w:tcW w:w="4385" w:type="dxa"/>
              </w:tcPr>
              <w:p w14:paraId="79E321B5" w14:textId="077C9549" w:rsidR="001A27BD" w:rsidRPr="00651A13" w:rsidRDefault="004A4D9D" w:rsidP="003C3450">
                <w:pPr>
                  <w:tabs>
                    <w:tab w:val="right" w:pos="8838"/>
                  </w:tabs>
                  <w:ind w:left="-28" w:right="1441"/>
                  <w:rPr>
                    <w:rFonts w:ascii="Palatino Linotype" w:eastAsia="Calibri" w:hAnsi="Palatino Linotype" w:cs="Tahoma"/>
                    <w:sz w:val="22"/>
                    <w:szCs w:val="22"/>
                  </w:rPr>
                </w:pPr>
                <w:r w:rsidRPr="004A4D9D">
                  <w:rPr>
                    <w:rFonts w:ascii="Palatino Linotype" w:eastAsia="Calibri" w:hAnsi="Palatino Linotype" w:cs="Tahoma"/>
                    <w:sz w:val="22"/>
                    <w:szCs w:val="22"/>
                    <w:lang w:val="es-MX"/>
                  </w:rPr>
                  <w:t>01501/INFOEM/IP/RR/2024</w:t>
                </w:r>
              </w:p>
            </w:tc>
          </w:tr>
          <w:tr w:rsidR="008B41A2" w14:paraId="5FC9045B" w14:textId="77777777" w:rsidTr="003C3450">
            <w:trPr>
              <w:trHeight w:val="251"/>
            </w:trPr>
            <w:tc>
              <w:tcPr>
                <w:tcW w:w="2408" w:type="dxa"/>
              </w:tcPr>
              <w:p w14:paraId="6F66F0DE" w14:textId="77777777" w:rsidR="001A27BD" w:rsidRPr="008B41A2" w:rsidRDefault="00BF14ED" w:rsidP="008B41A2">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Sujeto Obligado:</w:t>
                </w:r>
              </w:p>
            </w:tc>
            <w:tc>
              <w:tcPr>
                <w:tcW w:w="4385" w:type="dxa"/>
              </w:tcPr>
              <w:p w14:paraId="5B3372D4" w14:textId="38CDF38E" w:rsidR="001A27BD" w:rsidRPr="008B41A2" w:rsidRDefault="004A4D9D" w:rsidP="008B41A2">
                <w:pPr>
                  <w:tabs>
                    <w:tab w:val="right" w:pos="8838"/>
                  </w:tabs>
                  <w:ind w:right="116"/>
                  <w:rPr>
                    <w:rFonts w:ascii="Palatino Linotype" w:eastAsia="Calibri" w:hAnsi="Palatino Linotype" w:cs="Tahoma"/>
                    <w:sz w:val="22"/>
                    <w:szCs w:val="22"/>
                    <w:lang w:val="es-MX"/>
                  </w:rPr>
                </w:pPr>
                <w:r w:rsidRPr="004A4D9D">
                  <w:rPr>
                    <w:rFonts w:ascii="Palatino Linotype" w:eastAsia="Calibri" w:hAnsi="Palatino Linotype" w:cs="Tahoma"/>
                    <w:sz w:val="22"/>
                    <w:szCs w:val="22"/>
                    <w:lang w:val="es-MX"/>
                  </w:rPr>
                  <w:t>Ayuntamiento de Toluca</w:t>
                </w:r>
              </w:p>
            </w:tc>
          </w:tr>
          <w:tr w:rsidR="008B41A2" w14:paraId="0EA3B3B7" w14:textId="77777777" w:rsidTr="003C3450">
            <w:trPr>
              <w:trHeight w:val="251"/>
            </w:trPr>
            <w:tc>
              <w:tcPr>
                <w:tcW w:w="2408" w:type="dxa"/>
              </w:tcPr>
              <w:p w14:paraId="3DB912FE" w14:textId="77777777" w:rsidR="001A27BD" w:rsidRPr="008B41A2" w:rsidRDefault="00BF14ED" w:rsidP="008B41A2">
                <w:pPr>
                  <w:tabs>
                    <w:tab w:val="right" w:pos="8838"/>
                  </w:tabs>
                  <w:ind w:right="-105"/>
                  <w:rPr>
                    <w:rFonts w:ascii="Palatino Linotype" w:eastAsia="Calibri" w:hAnsi="Palatino Linotype" w:cs="Tahoma"/>
                    <w:b/>
                    <w:sz w:val="22"/>
                    <w:szCs w:val="22"/>
                    <w:lang w:val="es-MX"/>
                  </w:rPr>
                </w:pPr>
                <w:r w:rsidRPr="008B41A2">
                  <w:rPr>
                    <w:rFonts w:ascii="Palatino Linotype" w:eastAsia="Calibri" w:hAnsi="Palatino Linotype" w:cs="Tahoma"/>
                    <w:b/>
                    <w:sz w:val="22"/>
                    <w:szCs w:val="22"/>
                    <w:lang w:val="es-MX"/>
                  </w:rPr>
                  <w:t>Comisionado Ponente:</w:t>
                </w:r>
              </w:p>
            </w:tc>
            <w:tc>
              <w:tcPr>
                <w:tcW w:w="4385" w:type="dxa"/>
              </w:tcPr>
              <w:p w14:paraId="51FF1825" w14:textId="77777777" w:rsidR="001A27BD" w:rsidRDefault="00BF14ED" w:rsidP="008B41A2">
                <w:pPr>
                  <w:tabs>
                    <w:tab w:val="right" w:pos="8838"/>
                  </w:tabs>
                  <w:ind w:right="-32"/>
                  <w:rPr>
                    <w:rFonts w:ascii="Palatino Linotype" w:eastAsia="Calibri" w:hAnsi="Palatino Linotype" w:cs="Tahoma"/>
                    <w:sz w:val="22"/>
                    <w:szCs w:val="22"/>
                    <w:lang w:val="es-MX"/>
                  </w:rPr>
                </w:pPr>
                <w:r w:rsidRPr="008B41A2">
                  <w:rPr>
                    <w:rFonts w:ascii="Palatino Linotype" w:eastAsia="Calibri" w:hAnsi="Palatino Linotype" w:cs="Tahoma"/>
                    <w:sz w:val="22"/>
                    <w:szCs w:val="22"/>
                    <w:lang w:val="es-MX"/>
                  </w:rPr>
                  <w:t>Luis Gustavo Parra Noriega</w:t>
                </w:r>
              </w:p>
              <w:p w14:paraId="001A5E63" w14:textId="77777777" w:rsidR="00BD107A" w:rsidRPr="008B41A2" w:rsidRDefault="00BD107A" w:rsidP="008B41A2">
                <w:pPr>
                  <w:tabs>
                    <w:tab w:val="right" w:pos="8838"/>
                  </w:tabs>
                  <w:ind w:right="-32"/>
                  <w:rPr>
                    <w:rFonts w:ascii="Palatino Linotype" w:eastAsia="Calibri" w:hAnsi="Palatino Linotype" w:cs="Tahoma"/>
                    <w:b/>
                    <w:sz w:val="22"/>
                    <w:szCs w:val="22"/>
                    <w:lang w:val="es-MX"/>
                  </w:rPr>
                </w:pPr>
              </w:p>
            </w:tc>
          </w:tr>
        </w:tbl>
        <w:p w14:paraId="39322C5A" w14:textId="77777777" w:rsidR="001A27BD" w:rsidRPr="005C106F" w:rsidRDefault="001A27BD" w:rsidP="008B41A2">
          <w:pPr>
            <w:tabs>
              <w:tab w:val="right" w:pos="8838"/>
            </w:tabs>
            <w:ind w:left="-28"/>
            <w:rPr>
              <w:rFonts w:ascii="Arial" w:eastAsia="Calibri" w:hAnsi="Arial" w:cs="Arial"/>
              <w:b/>
            </w:rPr>
          </w:pPr>
        </w:p>
      </w:tc>
    </w:tr>
  </w:tbl>
  <w:p w14:paraId="413B7D7D" w14:textId="77777777" w:rsidR="001A27BD" w:rsidRDefault="001A27BD" w:rsidP="000930AE">
    <w:pPr>
      <w:pStyle w:val="Encabezado"/>
      <w:rPr>
        <w:sz w:val="14"/>
      </w:rPr>
    </w:pPr>
  </w:p>
  <w:p w14:paraId="2249EFA4" w14:textId="77777777" w:rsidR="001A27BD" w:rsidRPr="00443C6B" w:rsidRDefault="001A27BD" w:rsidP="000930AE">
    <w:pPr>
      <w:pStyle w:val="Encabezado"/>
      <w:rPr>
        <w:sz w:val="1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386" w:type="dxa"/>
      <w:tblInd w:w="36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10"/>
      <w:gridCol w:w="2976"/>
    </w:tblGrid>
    <w:tr w:rsidR="003135D1" w:rsidRPr="00264223" w14:paraId="0296A02D" w14:textId="77777777" w:rsidTr="004A4D9D">
      <w:trPr>
        <w:trHeight w:val="284"/>
      </w:trPr>
      <w:tc>
        <w:tcPr>
          <w:tcW w:w="2410" w:type="dxa"/>
        </w:tcPr>
        <w:p w14:paraId="7A127E60" w14:textId="77777777" w:rsidR="001A27BD" w:rsidRPr="00D3618F" w:rsidRDefault="00BF14ED" w:rsidP="00155288">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Recurso de Revisión:</w:t>
          </w:r>
        </w:p>
      </w:tc>
      <w:tc>
        <w:tcPr>
          <w:tcW w:w="2976" w:type="dxa"/>
        </w:tcPr>
        <w:p w14:paraId="328710A7" w14:textId="2BA996E7" w:rsidR="001A27BD" w:rsidRPr="00651A13" w:rsidRDefault="004A4D9D" w:rsidP="00B43BFA">
          <w:pPr>
            <w:tabs>
              <w:tab w:val="right" w:pos="8838"/>
            </w:tabs>
            <w:ind w:left="-28"/>
            <w:jc w:val="both"/>
            <w:rPr>
              <w:rFonts w:ascii="Palatino Linotype" w:eastAsia="Calibri" w:hAnsi="Palatino Linotype" w:cs="Tahoma"/>
              <w:sz w:val="22"/>
              <w:szCs w:val="22"/>
              <w:lang w:eastAsia="en-US"/>
            </w:rPr>
          </w:pPr>
          <w:r w:rsidRPr="004A4D9D">
            <w:rPr>
              <w:rFonts w:ascii="Palatino Linotype" w:eastAsia="Calibri" w:hAnsi="Palatino Linotype" w:cs="Tahoma"/>
              <w:sz w:val="22"/>
              <w:szCs w:val="22"/>
              <w:lang w:val="es-MX" w:eastAsia="en-US"/>
            </w:rPr>
            <w:t>01501/INFOEM/IP/RR/2024</w:t>
          </w:r>
        </w:p>
      </w:tc>
    </w:tr>
    <w:tr w:rsidR="003135D1" w:rsidRPr="006331AA" w14:paraId="612E08F0" w14:textId="77777777" w:rsidTr="004A4D9D">
      <w:trPr>
        <w:trHeight w:val="104"/>
      </w:trPr>
      <w:tc>
        <w:tcPr>
          <w:tcW w:w="2410" w:type="dxa"/>
        </w:tcPr>
        <w:p w14:paraId="678B9917" w14:textId="77777777" w:rsidR="001A27BD" w:rsidRPr="00D3618F" w:rsidRDefault="00BF14ED" w:rsidP="00D3618F">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Recurrente:</w:t>
          </w:r>
        </w:p>
      </w:tc>
      <w:tc>
        <w:tcPr>
          <w:tcW w:w="2976" w:type="dxa"/>
        </w:tcPr>
        <w:p w14:paraId="717CF0C7" w14:textId="4AF57E17" w:rsidR="001A27BD" w:rsidRPr="006331AA" w:rsidRDefault="00D51574" w:rsidP="00B935BA">
          <w:pPr>
            <w:tabs>
              <w:tab w:val="right" w:pos="8838"/>
            </w:tabs>
            <w:ind w:left="-28"/>
            <w:jc w:val="both"/>
            <w:rPr>
              <w:rFonts w:ascii="Palatino Linotype" w:eastAsia="Calibri" w:hAnsi="Palatino Linotype" w:cs="Tahoma"/>
              <w:sz w:val="22"/>
              <w:szCs w:val="22"/>
              <w:lang w:val="en-US" w:eastAsia="en-US"/>
            </w:rPr>
          </w:pPr>
          <w:r w:rsidRPr="00D51574">
            <w:rPr>
              <w:rFonts w:ascii="Palatino Linotype" w:eastAsia="Calibri" w:hAnsi="Palatino Linotype" w:cs="Tahoma"/>
              <w:sz w:val="22"/>
              <w:szCs w:val="22"/>
              <w:highlight w:val="black"/>
              <w:lang w:val="en-US" w:eastAsia="en-US"/>
            </w:rPr>
            <w:t>XXXXXXXXXXXXXXXXXXXXXXXXXXX</w:t>
          </w:r>
        </w:p>
      </w:tc>
    </w:tr>
    <w:tr w:rsidR="003135D1" w:rsidRPr="00264223" w14:paraId="3A9CDB69" w14:textId="77777777" w:rsidTr="004A4D9D">
      <w:trPr>
        <w:trHeight w:val="234"/>
      </w:trPr>
      <w:tc>
        <w:tcPr>
          <w:tcW w:w="2410" w:type="dxa"/>
        </w:tcPr>
        <w:p w14:paraId="3E19C8C3" w14:textId="77777777" w:rsidR="001A27BD" w:rsidRPr="00D3618F" w:rsidRDefault="00BF14ED" w:rsidP="00D3618F">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Sujeto Obligado:</w:t>
          </w:r>
        </w:p>
      </w:tc>
      <w:tc>
        <w:tcPr>
          <w:tcW w:w="2976" w:type="dxa"/>
        </w:tcPr>
        <w:p w14:paraId="7E37B80E" w14:textId="637493D4" w:rsidR="001A27BD" w:rsidRPr="004A4D9D" w:rsidRDefault="004A4D9D" w:rsidP="00B935BA">
          <w:pPr>
            <w:tabs>
              <w:tab w:val="right" w:pos="8838"/>
            </w:tabs>
            <w:ind w:left="-28"/>
            <w:jc w:val="both"/>
            <w:rPr>
              <w:rFonts w:ascii="Palatino Linotype" w:eastAsia="Calibri" w:hAnsi="Palatino Linotype" w:cs="Tahoma"/>
              <w:sz w:val="22"/>
              <w:szCs w:val="22"/>
              <w:lang w:val="es-MX" w:eastAsia="en-US"/>
            </w:rPr>
          </w:pPr>
          <w:r w:rsidRPr="004A4D9D">
            <w:rPr>
              <w:rFonts w:ascii="Palatino Linotype" w:eastAsia="Calibri" w:hAnsi="Palatino Linotype" w:cs="Tahoma"/>
              <w:sz w:val="22"/>
              <w:szCs w:val="22"/>
              <w:lang w:val="es-MX" w:eastAsia="en-US"/>
            </w:rPr>
            <w:t>Ayuntamiento de Toluca</w:t>
          </w:r>
        </w:p>
      </w:tc>
    </w:tr>
    <w:tr w:rsidR="003135D1" w:rsidRPr="00264223" w14:paraId="1AF8B0BB" w14:textId="77777777" w:rsidTr="004A4D9D">
      <w:trPr>
        <w:trHeight w:val="234"/>
      </w:trPr>
      <w:tc>
        <w:tcPr>
          <w:tcW w:w="2410" w:type="dxa"/>
        </w:tcPr>
        <w:p w14:paraId="2E9A1B65" w14:textId="77777777" w:rsidR="001A27BD" w:rsidRPr="00D3618F" w:rsidRDefault="00BF14ED" w:rsidP="00D3618F">
          <w:pPr>
            <w:tabs>
              <w:tab w:val="right" w:pos="8838"/>
            </w:tabs>
            <w:ind w:right="-105"/>
            <w:rPr>
              <w:rFonts w:ascii="Palatino Linotype" w:eastAsia="Calibri" w:hAnsi="Palatino Linotype" w:cs="Tahoma"/>
              <w:b/>
              <w:sz w:val="22"/>
              <w:szCs w:val="22"/>
              <w:lang w:val="es-MX" w:eastAsia="en-US"/>
            </w:rPr>
          </w:pPr>
          <w:r w:rsidRPr="00D3618F">
            <w:rPr>
              <w:rFonts w:ascii="Palatino Linotype" w:eastAsia="Calibri" w:hAnsi="Palatino Linotype" w:cs="Tahoma"/>
              <w:b/>
              <w:sz w:val="22"/>
              <w:szCs w:val="22"/>
              <w:lang w:val="es-MX" w:eastAsia="en-US"/>
            </w:rPr>
            <w:t>Comisionado Ponente:</w:t>
          </w:r>
        </w:p>
      </w:tc>
      <w:tc>
        <w:tcPr>
          <w:tcW w:w="2976" w:type="dxa"/>
        </w:tcPr>
        <w:p w14:paraId="6919B9C5" w14:textId="77777777" w:rsidR="001A27BD" w:rsidRPr="00D3618F" w:rsidRDefault="00BF14ED" w:rsidP="00B935BA">
          <w:pPr>
            <w:tabs>
              <w:tab w:val="right" w:pos="8838"/>
            </w:tabs>
            <w:ind w:left="-28"/>
            <w:rPr>
              <w:rFonts w:ascii="Palatino Linotype" w:eastAsia="Calibri" w:hAnsi="Palatino Linotype" w:cs="Tahoma"/>
              <w:sz w:val="22"/>
              <w:szCs w:val="22"/>
              <w:lang w:val="es-MX" w:eastAsia="en-US"/>
            </w:rPr>
          </w:pPr>
          <w:r w:rsidRPr="00D3618F">
            <w:rPr>
              <w:rFonts w:ascii="Palatino Linotype" w:eastAsia="Calibri" w:hAnsi="Palatino Linotype" w:cs="Tahoma"/>
              <w:sz w:val="22"/>
              <w:szCs w:val="22"/>
              <w:lang w:val="es-MX" w:eastAsia="en-US"/>
            </w:rPr>
            <w:t>Luis Gustavo Parra Noriega</w:t>
          </w:r>
        </w:p>
      </w:tc>
    </w:tr>
  </w:tbl>
  <w:p w14:paraId="51A0BA91" w14:textId="77777777" w:rsidR="001A27BD" w:rsidRDefault="00156C41">
    <w:r>
      <w:rPr>
        <w:noProof/>
        <w:lang w:eastAsia="es-MX"/>
      </w:rPr>
      <w:pict w14:anchorId="2E181B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01531" o:spid="_x0000_s2049" type="#_x0000_t75" alt="marcaaguaINFOEM" style="position:absolute;margin-left:-92.55pt;margin-top:-120.95pt;width:663.5pt;height:12in;z-index:-251658238;mso-wrap-edited:f;mso-width-percent:0;mso-height-percent:0;mso-position-horizontal-relative:margin;mso-position-vertical-relative:margin;mso-width-percent:0;mso-height-percent:0" o:allowincell="f">
          <v:imagedata r:id="rId1" o:title="marcaaguaINFOEM"/>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2A9"/>
    <w:multiLevelType w:val="hybridMultilevel"/>
    <w:tmpl w:val="CFB8864A"/>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A227498"/>
    <w:multiLevelType w:val="hybridMultilevel"/>
    <w:tmpl w:val="5C7A2C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12C53DA5"/>
    <w:multiLevelType w:val="hybridMultilevel"/>
    <w:tmpl w:val="4BD2300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6852B6A"/>
    <w:multiLevelType w:val="hybridMultilevel"/>
    <w:tmpl w:val="8E76C4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 w15:restartNumberingAfterBreak="0">
    <w:nsid w:val="1D5153D3"/>
    <w:multiLevelType w:val="hybridMultilevel"/>
    <w:tmpl w:val="0604304E"/>
    <w:lvl w:ilvl="0" w:tplc="0C0A000F">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EDD3E3E"/>
    <w:multiLevelType w:val="hybridMultilevel"/>
    <w:tmpl w:val="0B761C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6F7C5B"/>
    <w:multiLevelType w:val="hybridMultilevel"/>
    <w:tmpl w:val="0604304E"/>
    <w:lvl w:ilvl="0" w:tplc="0C0A000F">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21B2CCA"/>
    <w:multiLevelType w:val="hybridMultilevel"/>
    <w:tmpl w:val="158CF7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002483"/>
    <w:multiLevelType w:val="hybridMultilevel"/>
    <w:tmpl w:val="19B0C15C"/>
    <w:lvl w:ilvl="0" w:tplc="7AA0B6C0">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10085C"/>
    <w:multiLevelType w:val="hybridMultilevel"/>
    <w:tmpl w:val="E39A411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1" w15:restartNumberingAfterBreak="0">
    <w:nsid w:val="29AE24FC"/>
    <w:multiLevelType w:val="hybridMultilevel"/>
    <w:tmpl w:val="34982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9EA20AF"/>
    <w:multiLevelType w:val="hybridMultilevel"/>
    <w:tmpl w:val="02909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B29041B"/>
    <w:multiLevelType w:val="hybridMultilevel"/>
    <w:tmpl w:val="585AFC84"/>
    <w:lvl w:ilvl="0" w:tplc="DA5A3ECE">
      <w:start w:val="1"/>
      <w:numFmt w:val="lowerRoman"/>
      <w:lvlText w:val="%1."/>
      <w:lvlJc w:val="left"/>
      <w:pPr>
        <w:ind w:left="720" w:hanging="360"/>
      </w:pPr>
      <w:rPr>
        <w:rFonts w:ascii="Palatino Linotype" w:hAnsi="Palatino Linotype" w:hint="default"/>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CA62999"/>
    <w:multiLevelType w:val="hybridMultilevel"/>
    <w:tmpl w:val="354AC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74E6EAD"/>
    <w:multiLevelType w:val="hybridMultilevel"/>
    <w:tmpl w:val="85DE32A2"/>
    <w:lvl w:ilvl="0" w:tplc="DA5A3ECE">
      <w:start w:val="1"/>
      <w:numFmt w:val="lowerRoman"/>
      <w:lvlText w:val="%1."/>
      <w:lvlJc w:val="left"/>
      <w:pPr>
        <w:ind w:left="720" w:hanging="360"/>
      </w:pPr>
      <w:rPr>
        <w:rFonts w:ascii="Palatino Linotype" w:hAnsi="Palatino Linotype"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CB20B3"/>
    <w:multiLevelType w:val="hybridMultilevel"/>
    <w:tmpl w:val="E8AA6AE2"/>
    <w:lvl w:ilvl="0" w:tplc="040A0017">
      <w:start w:val="1"/>
      <w:numFmt w:val="lowerLetter"/>
      <w:lvlText w:val="%1)"/>
      <w:lvlJc w:val="left"/>
      <w:pPr>
        <w:ind w:left="776" w:hanging="360"/>
      </w:pPr>
      <w:rPr>
        <w:rFonts w:hint="default"/>
      </w:rPr>
    </w:lvl>
    <w:lvl w:ilvl="1" w:tplc="040A0003" w:tentative="1">
      <w:start w:val="1"/>
      <w:numFmt w:val="bullet"/>
      <w:lvlText w:val="o"/>
      <w:lvlJc w:val="left"/>
      <w:pPr>
        <w:ind w:left="1496" w:hanging="360"/>
      </w:pPr>
      <w:rPr>
        <w:rFonts w:ascii="Courier New" w:hAnsi="Courier New" w:cs="Courier New" w:hint="default"/>
      </w:rPr>
    </w:lvl>
    <w:lvl w:ilvl="2" w:tplc="040A0005" w:tentative="1">
      <w:start w:val="1"/>
      <w:numFmt w:val="bullet"/>
      <w:lvlText w:val=""/>
      <w:lvlJc w:val="left"/>
      <w:pPr>
        <w:ind w:left="2216" w:hanging="360"/>
      </w:pPr>
      <w:rPr>
        <w:rFonts w:ascii="Wingdings" w:hAnsi="Wingdings" w:hint="default"/>
      </w:rPr>
    </w:lvl>
    <w:lvl w:ilvl="3" w:tplc="040A0001" w:tentative="1">
      <w:start w:val="1"/>
      <w:numFmt w:val="bullet"/>
      <w:lvlText w:val=""/>
      <w:lvlJc w:val="left"/>
      <w:pPr>
        <w:ind w:left="2936" w:hanging="360"/>
      </w:pPr>
      <w:rPr>
        <w:rFonts w:ascii="Symbol" w:hAnsi="Symbol" w:hint="default"/>
      </w:rPr>
    </w:lvl>
    <w:lvl w:ilvl="4" w:tplc="040A0003" w:tentative="1">
      <w:start w:val="1"/>
      <w:numFmt w:val="bullet"/>
      <w:lvlText w:val="o"/>
      <w:lvlJc w:val="left"/>
      <w:pPr>
        <w:ind w:left="3656" w:hanging="360"/>
      </w:pPr>
      <w:rPr>
        <w:rFonts w:ascii="Courier New" w:hAnsi="Courier New" w:cs="Courier New" w:hint="default"/>
      </w:rPr>
    </w:lvl>
    <w:lvl w:ilvl="5" w:tplc="040A0005" w:tentative="1">
      <w:start w:val="1"/>
      <w:numFmt w:val="bullet"/>
      <w:lvlText w:val=""/>
      <w:lvlJc w:val="left"/>
      <w:pPr>
        <w:ind w:left="4376" w:hanging="360"/>
      </w:pPr>
      <w:rPr>
        <w:rFonts w:ascii="Wingdings" w:hAnsi="Wingdings" w:hint="default"/>
      </w:rPr>
    </w:lvl>
    <w:lvl w:ilvl="6" w:tplc="040A0001" w:tentative="1">
      <w:start w:val="1"/>
      <w:numFmt w:val="bullet"/>
      <w:lvlText w:val=""/>
      <w:lvlJc w:val="left"/>
      <w:pPr>
        <w:ind w:left="5096" w:hanging="360"/>
      </w:pPr>
      <w:rPr>
        <w:rFonts w:ascii="Symbol" w:hAnsi="Symbol" w:hint="default"/>
      </w:rPr>
    </w:lvl>
    <w:lvl w:ilvl="7" w:tplc="040A0003" w:tentative="1">
      <w:start w:val="1"/>
      <w:numFmt w:val="bullet"/>
      <w:lvlText w:val="o"/>
      <w:lvlJc w:val="left"/>
      <w:pPr>
        <w:ind w:left="5816" w:hanging="360"/>
      </w:pPr>
      <w:rPr>
        <w:rFonts w:ascii="Courier New" w:hAnsi="Courier New" w:cs="Courier New" w:hint="default"/>
      </w:rPr>
    </w:lvl>
    <w:lvl w:ilvl="8" w:tplc="040A0005" w:tentative="1">
      <w:start w:val="1"/>
      <w:numFmt w:val="bullet"/>
      <w:lvlText w:val=""/>
      <w:lvlJc w:val="left"/>
      <w:pPr>
        <w:ind w:left="6536" w:hanging="360"/>
      </w:pPr>
      <w:rPr>
        <w:rFonts w:ascii="Wingdings" w:hAnsi="Wingdings" w:hint="default"/>
      </w:rPr>
    </w:lvl>
  </w:abstractNum>
  <w:abstractNum w:abstractNumId="17" w15:restartNumberingAfterBreak="0">
    <w:nsid w:val="40013264"/>
    <w:multiLevelType w:val="hybridMultilevel"/>
    <w:tmpl w:val="BF76A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12D1F25"/>
    <w:multiLevelType w:val="hybridMultilevel"/>
    <w:tmpl w:val="7690D9C4"/>
    <w:lvl w:ilvl="0" w:tplc="B9907B4C">
      <w:start w:val="1"/>
      <w:numFmt w:val="decimal"/>
      <w:lvlText w:val="%1."/>
      <w:lvlJc w:val="left"/>
      <w:pPr>
        <w:ind w:left="1080" w:hanging="36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19" w15:restartNumberingAfterBreak="0">
    <w:nsid w:val="4149555C"/>
    <w:multiLevelType w:val="hybridMultilevel"/>
    <w:tmpl w:val="CFB8864A"/>
    <w:lvl w:ilvl="0" w:tplc="08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34607D6"/>
    <w:multiLevelType w:val="hybridMultilevel"/>
    <w:tmpl w:val="87BA92E4"/>
    <w:lvl w:ilvl="0" w:tplc="040A0017">
      <w:start w:val="1"/>
      <w:numFmt w:val="lowerLetter"/>
      <w:lvlText w:val="%1)"/>
      <w:lvlJc w:val="left"/>
      <w:pPr>
        <w:ind w:left="776" w:hanging="360"/>
      </w:pPr>
    </w:lvl>
    <w:lvl w:ilvl="1" w:tplc="040A0019" w:tentative="1">
      <w:start w:val="1"/>
      <w:numFmt w:val="lowerLetter"/>
      <w:lvlText w:val="%2."/>
      <w:lvlJc w:val="left"/>
      <w:pPr>
        <w:ind w:left="1496" w:hanging="360"/>
      </w:pPr>
    </w:lvl>
    <w:lvl w:ilvl="2" w:tplc="040A001B" w:tentative="1">
      <w:start w:val="1"/>
      <w:numFmt w:val="lowerRoman"/>
      <w:lvlText w:val="%3."/>
      <w:lvlJc w:val="right"/>
      <w:pPr>
        <w:ind w:left="2216" w:hanging="180"/>
      </w:pPr>
    </w:lvl>
    <w:lvl w:ilvl="3" w:tplc="040A000F" w:tentative="1">
      <w:start w:val="1"/>
      <w:numFmt w:val="decimal"/>
      <w:lvlText w:val="%4."/>
      <w:lvlJc w:val="left"/>
      <w:pPr>
        <w:ind w:left="2936" w:hanging="360"/>
      </w:pPr>
    </w:lvl>
    <w:lvl w:ilvl="4" w:tplc="040A0019" w:tentative="1">
      <w:start w:val="1"/>
      <w:numFmt w:val="lowerLetter"/>
      <w:lvlText w:val="%5."/>
      <w:lvlJc w:val="left"/>
      <w:pPr>
        <w:ind w:left="3656" w:hanging="360"/>
      </w:pPr>
    </w:lvl>
    <w:lvl w:ilvl="5" w:tplc="040A001B" w:tentative="1">
      <w:start w:val="1"/>
      <w:numFmt w:val="lowerRoman"/>
      <w:lvlText w:val="%6."/>
      <w:lvlJc w:val="right"/>
      <w:pPr>
        <w:ind w:left="4376" w:hanging="180"/>
      </w:pPr>
    </w:lvl>
    <w:lvl w:ilvl="6" w:tplc="040A000F" w:tentative="1">
      <w:start w:val="1"/>
      <w:numFmt w:val="decimal"/>
      <w:lvlText w:val="%7."/>
      <w:lvlJc w:val="left"/>
      <w:pPr>
        <w:ind w:left="5096" w:hanging="360"/>
      </w:pPr>
    </w:lvl>
    <w:lvl w:ilvl="7" w:tplc="040A0019" w:tentative="1">
      <w:start w:val="1"/>
      <w:numFmt w:val="lowerLetter"/>
      <w:lvlText w:val="%8."/>
      <w:lvlJc w:val="left"/>
      <w:pPr>
        <w:ind w:left="5816" w:hanging="360"/>
      </w:pPr>
    </w:lvl>
    <w:lvl w:ilvl="8" w:tplc="040A001B" w:tentative="1">
      <w:start w:val="1"/>
      <w:numFmt w:val="lowerRoman"/>
      <w:lvlText w:val="%9."/>
      <w:lvlJc w:val="right"/>
      <w:pPr>
        <w:ind w:left="6536" w:hanging="180"/>
      </w:pPr>
    </w:lvl>
  </w:abstractNum>
  <w:abstractNum w:abstractNumId="21" w15:restartNumberingAfterBreak="0">
    <w:nsid w:val="44996727"/>
    <w:multiLevelType w:val="hybridMultilevel"/>
    <w:tmpl w:val="0A1079F2"/>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2" w15:restartNumberingAfterBreak="0">
    <w:nsid w:val="46B37762"/>
    <w:multiLevelType w:val="hybridMultilevel"/>
    <w:tmpl w:val="7DD826C2"/>
    <w:lvl w:ilvl="0" w:tplc="DA5A3ECE">
      <w:start w:val="1"/>
      <w:numFmt w:val="lowerRoman"/>
      <w:lvlText w:val="%1."/>
      <w:lvlJc w:val="left"/>
      <w:pPr>
        <w:ind w:left="720" w:hanging="360"/>
      </w:pPr>
      <w:rPr>
        <w:rFonts w:ascii="Palatino Linotype" w:hAnsi="Palatino Linotype"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23D35B3"/>
    <w:multiLevelType w:val="hybridMultilevel"/>
    <w:tmpl w:val="17B611E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5C340717"/>
    <w:multiLevelType w:val="hybridMultilevel"/>
    <w:tmpl w:val="485AFC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F231302"/>
    <w:multiLevelType w:val="hybridMultilevel"/>
    <w:tmpl w:val="7DD826C2"/>
    <w:lvl w:ilvl="0" w:tplc="DA5A3ECE">
      <w:start w:val="1"/>
      <w:numFmt w:val="lowerRoman"/>
      <w:lvlText w:val="%1."/>
      <w:lvlJc w:val="left"/>
      <w:pPr>
        <w:ind w:left="720" w:hanging="360"/>
      </w:pPr>
      <w:rPr>
        <w:rFonts w:ascii="Palatino Linotype" w:hAnsi="Palatino Linotype"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05263FD"/>
    <w:multiLevelType w:val="hybridMultilevel"/>
    <w:tmpl w:val="51BCF632"/>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1885FB3"/>
    <w:multiLevelType w:val="hybridMultilevel"/>
    <w:tmpl w:val="3AC03DD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8" w15:restartNumberingAfterBreak="0">
    <w:nsid w:val="629C3994"/>
    <w:multiLevelType w:val="hybridMultilevel"/>
    <w:tmpl w:val="87BA92E4"/>
    <w:lvl w:ilvl="0" w:tplc="040A0017">
      <w:start w:val="1"/>
      <w:numFmt w:val="lowerLetter"/>
      <w:lvlText w:val="%1)"/>
      <w:lvlJc w:val="left"/>
      <w:pPr>
        <w:ind w:left="776" w:hanging="360"/>
      </w:pPr>
    </w:lvl>
    <w:lvl w:ilvl="1" w:tplc="040A0019" w:tentative="1">
      <w:start w:val="1"/>
      <w:numFmt w:val="lowerLetter"/>
      <w:lvlText w:val="%2."/>
      <w:lvlJc w:val="left"/>
      <w:pPr>
        <w:ind w:left="1496" w:hanging="360"/>
      </w:pPr>
    </w:lvl>
    <w:lvl w:ilvl="2" w:tplc="040A001B" w:tentative="1">
      <w:start w:val="1"/>
      <w:numFmt w:val="lowerRoman"/>
      <w:lvlText w:val="%3."/>
      <w:lvlJc w:val="right"/>
      <w:pPr>
        <w:ind w:left="2216" w:hanging="180"/>
      </w:pPr>
    </w:lvl>
    <w:lvl w:ilvl="3" w:tplc="040A000F" w:tentative="1">
      <w:start w:val="1"/>
      <w:numFmt w:val="decimal"/>
      <w:lvlText w:val="%4."/>
      <w:lvlJc w:val="left"/>
      <w:pPr>
        <w:ind w:left="2936" w:hanging="360"/>
      </w:pPr>
    </w:lvl>
    <w:lvl w:ilvl="4" w:tplc="040A0019" w:tentative="1">
      <w:start w:val="1"/>
      <w:numFmt w:val="lowerLetter"/>
      <w:lvlText w:val="%5."/>
      <w:lvlJc w:val="left"/>
      <w:pPr>
        <w:ind w:left="3656" w:hanging="360"/>
      </w:pPr>
    </w:lvl>
    <w:lvl w:ilvl="5" w:tplc="040A001B" w:tentative="1">
      <w:start w:val="1"/>
      <w:numFmt w:val="lowerRoman"/>
      <w:lvlText w:val="%6."/>
      <w:lvlJc w:val="right"/>
      <w:pPr>
        <w:ind w:left="4376" w:hanging="180"/>
      </w:pPr>
    </w:lvl>
    <w:lvl w:ilvl="6" w:tplc="040A000F" w:tentative="1">
      <w:start w:val="1"/>
      <w:numFmt w:val="decimal"/>
      <w:lvlText w:val="%7."/>
      <w:lvlJc w:val="left"/>
      <w:pPr>
        <w:ind w:left="5096" w:hanging="360"/>
      </w:pPr>
    </w:lvl>
    <w:lvl w:ilvl="7" w:tplc="040A0019" w:tentative="1">
      <w:start w:val="1"/>
      <w:numFmt w:val="lowerLetter"/>
      <w:lvlText w:val="%8."/>
      <w:lvlJc w:val="left"/>
      <w:pPr>
        <w:ind w:left="5816" w:hanging="360"/>
      </w:pPr>
    </w:lvl>
    <w:lvl w:ilvl="8" w:tplc="040A001B" w:tentative="1">
      <w:start w:val="1"/>
      <w:numFmt w:val="lowerRoman"/>
      <w:lvlText w:val="%9."/>
      <w:lvlJc w:val="right"/>
      <w:pPr>
        <w:ind w:left="6536" w:hanging="180"/>
      </w:pPr>
    </w:lvl>
  </w:abstractNum>
  <w:abstractNum w:abstractNumId="29" w15:restartNumberingAfterBreak="0">
    <w:nsid w:val="633F43CF"/>
    <w:multiLevelType w:val="hybridMultilevel"/>
    <w:tmpl w:val="3CC6DDCE"/>
    <w:lvl w:ilvl="0" w:tplc="DA5A3ECE">
      <w:start w:val="1"/>
      <w:numFmt w:val="lowerRoman"/>
      <w:lvlText w:val="%1."/>
      <w:lvlJc w:val="left"/>
      <w:pPr>
        <w:ind w:left="720" w:hanging="360"/>
      </w:pPr>
      <w:rPr>
        <w:rFonts w:ascii="Palatino Linotype" w:hAnsi="Palatino Linotype"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6E36A86"/>
    <w:multiLevelType w:val="hybridMultilevel"/>
    <w:tmpl w:val="D2AA815E"/>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6DED7307"/>
    <w:multiLevelType w:val="hybridMultilevel"/>
    <w:tmpl w:val="A5342AEA"/>
    <w:lvl w:ilvl="0" w:tplc="D3EA5D96">
      <w:start w:val="1"/>
      <w:numFmt w:val="decimal"/>
      <w:lvlText w:val="%1."/>
      <w:lvlJc w:val="left"/>
      <w:pPr>
        <w:tabs>
          <w:tab w:val="num" w:pos="720"/>
        </w:tabs>
        <w:ind w:left="720" w:hanging="36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2" w15:restartNumberingAfterBreak="0">
    <w:nsid w:val="6ECE31BA"/>
    <w:multiLevelType w:val="hybridMultilevel"/>
    <w:tmpl w:val="C40C9834"/>
    <w:lvl w:ilvl="0" w:tplc="DA5A3ECE">
      <w:start w:val="1"/>
      <w:numFmt w:val="lowerRoman"/>
      <w:lvlText w:val="%1."/>
      <w:lvlJc w:val="left"/>
      <w:pPr>
        <w:ind w:left="720" w:hanging="360"/>
      </w:pPr>
      <w:rPr>
        <w:rFonts w:ascii="Palatino Linotype" w:hAnsi="Palatino Linotype" w:hint="default"/>
        <w:sz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1B3368F"/>
    <w:multiLevelType w:val="hybridMultilevel"/>
    <w:tmpl w:val="6EECB1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4982F1C"/>
    <w:multiLevelType w:val="hybridMultilevel"/>
    <w:tmpl w:val="D4F07F0A"/>
    <w:lvl w:ilvl="0" w:tplc="37ECDADE">
      <w:start w:val="1"/>
      <w:numFmt w:val="lowerLetter"/>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5" w15:restartNumberingAfterBreak="0">
    <w:nsid w:val="7B7A5A41"/>
    <w:multiLevelType w:val="hybridMultilevel"/>
    <w:tmpl w:val="651C7D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E263B31"/>
    <w:multiLevelType w:val="hybridMultilevel"/>
    <w:tmpl w:val="17F8DE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9"/>
  </w:num>
  <w:num w:numId="2">
    <w:abstractNumId w:val="23"/>
  </w:num>
  <w:num w:numId="3">
    <w:abstractNumId w:val="11"/>
  </w:num>
  <w:num w:numId="4">
    <w:abstractNumId w:val="26"/>
  </w:num>
  <w:num w:numId="5">
    <w:abstractNumId w:val="5"/>
  </w:num>
  <w:num w:numId="6">
    <w:abstractNumId w:val="0"/>
  </w:num>
  <w:num w:numId="7">
    <w:abstractNumId w:val="9"/>
  </w:num>
  <w:num w:numId="8">
    <w:abstractNumId w:val="29"/>
  </w:num>
  <w:num w:numId="9">
    <w:abstractNumId w:val="25"/>
  </w:num>
  <w:num w:numId="10">
    <w:abstractNumId w:val="22"/>
  </w:num>
  <w:num w:numId="11">
    <w:abstractNumId w:val="15"/>
  </w:num>
  <w:num w:numId="12">
    <w:abstractNumId w:val="13"/>
  </w:num>
  <w:num w:numId="13">
    <w:abstractNumId w:val="32"/>
  </w:num>
  <w:num w:numId="14">
    <w:abstractNumId w:val="18"/>
  </w:num>
  <w:num w:numId="15">
    <w:abstractNumId w:val="7"/>
  </w:num>
  <w:num w:numId="1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8"/>
  </w:num>
  <w:num w:numId="19">
    <w:abstractNumId w:val="24"/>
  </w:num>
  <w:num w:numId="20">
    <w:abstractNumId w:val="36"/>
  </w:num>
  <w:num w:numId="21">
    <w:abstractNumId w:val="33"/>
  </w:num>
  <w:num w:numId="22">
    <w:abstractNumId w:val="12"/>
  </w:num>
  <w:num w:numId="23">
    <w:abstractNumId w:val="14"/>
  </w:num>
  <w:num w:numId="24">
    <w:abstractNumId w:val="17"/>
  </w:num>
  <w:num w:numId="25">
    <w:abstractNumId w:val="2"/>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10"/>
  </w:num>
  <w:num w:numId="29">
    <w:abstractNumId w:val="35"/>
  </w:num>
  <w:num w:numId="30">
    <w:abstractNumId w:val="27"/>
  </w:num>
  <w:num w:numId="31">
    <w:abstractNumId w:val="21"/>
  </w:num>
  <w:num w:numId="32">
    <w:abstractNumId w:val="4"/>
  </w:num>
  <w:num w:numId="33">
    <w:abstractNumId w:val="16"/>
  </w:num>
  <w:num w:numId="34">
    <w:abstractNumId w:val="3"/>
  </w:num>
  <w:num w:numId="35">
    <w:abstractNumId w:val="20"/>
  </w:num>
  <w:num w:numId="36">
    <w:abstractNumId w:val="28"/>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EDE"/>
    <w:rsid w:val="00005597"/>
    <w:rsid w:val="000063D7"/>
    <w:rsid w:val="00006798"/>
    <w:rsid w:val="00011665"/>
    <w:rsid w:val="000227D4"/>
    <w:rsid w:val="00041105"/>
    <w:rsid w:val="00042AF8"/>
    <w:rsid w:val="00046E37"/>
    <w:rsid w:val="000500C2"/>
    <w:rsid w:val="00053263"/>
    <w:rsid w:val="00057F3C"/>
    <w:rsid w:val="00061CF3"/>
    <w:rsid w:val="00087FF3"/>
    <w:rsid w:val="00091543"/>
    <w:rsid w:val="000A0CEF"/>
    <w:rsid w:val="000A3CC8"/>
    <w:rsid w:val="000C2A57"/>
    <w:rsid w:val="000C37FA"/>
    <w:rsid w:val="000D00B4"/>
    <w:rsid w:val="000E35B2"/>
    <w:rsid w:val="000E606C"/>
    <w:rsid w:val="000F1A23"/>
    <w:rsid w:val="000F5957"/>
    <w:rsid w:val="00100F8D"/>
    <w:rsid w:val="001013A5"/>
    <w:rsid w:val="001120F6"/>
    <w:rsid w:val="00131B30"/>
    <w:rsid w:val="00135E85"/>
    <w:rsid w:val="00137BB0"/>
    <w:rsid w:val="00141C09"/>
    <w:rsid w:val="0014223F"/>
    <w:rsid w:val="0014762D"/>
    <w:rsid w:val="00150B3D"/>
    <w:rsid w:val="001567FA"/>
    <w:rsid w:val="00156C41"/>
    <w:rsid w:val="00156E72"/>
    <w:rsid w:val="00161D14"/>
    <w:rsid w:val="00165C2C"/>
    <w:rsid w:val="00166224"/>
    <w:rsid w:val="001708DC"/>
    <w:rsid w:val="001875A9"/>
    <w:rsid w:val="001904EF"/>
    <w:rsid w:val="00190D99"/>
    <w:rsid w:val="00193017"/>
    <w:rsid w:val="001A0AE4"/>
    <w:rsid w:val="001A1C70"/>
    <w:rsid w:val="001A27BD"/>
    <w:rsid w:val="001B1586"/>
    <w:rsid w:val="001B246F"/>
    <w:rsid w:val="001B2EB8"/>
    <w:rsid w:val="001B3B9E"/>
    <w:rsid w:val="001C0F48"/>
    <w:rsid w:val="001C759E"/>
    <w:rsid w:val="001C7E01"/>
    <w:rsid w:val="001E4645"/>
    <w:rsid w:val="001E68A2"/>
    <w:rsid w:val="001E78ED"/>
    <w:rsid w:val="001F170A"/>
    <w:rsid w:val="001F6D73"/>
    <w:rsid w:val="00200F81"/>
    <w:rsid w:val="00207F72"/>
    <w:rsid w:val="00217539"/>
    <w:rsid w:val="00221416"/>
    <w:rsid w:val="00225DC2"/>
    <w:rsid w:val="002270C0"/>
    <w:rsid w:val="00235CFE"/>
    <w:rsid w:val="002365A5"/>
    <w:rsid w:val="002374EF"/>
    <w:rsid w:val="002425E2"/>
    <w:rsid w:val="00244FC7"/>
    <w:rsid w:val="002460D9"/>
    <w:rsid w:val="00252E0F"/>
    <w:rsid w:val="00252EC0"/>
    <w:rsid w:val="00256424"/>
    <w:rsid w:val="0025691E"/>
    <w:rsid w:val="00263744"/>
    <w:rsid w:val="00285630"/>
    <w:rsid w:val="00286FC0"/>
    <w:rsid w:val="002A0C5E"/>
    <w:rsid w:val="002A40CB"/>
    <w:rsid w:val="002A49D0"/>
    <w:rsid w:val="002A7B9E"/>
    <w:rsid w:val="002B025D"/>
    <w:rsid w:val="002C073E"/>
    <w:rsid w:val="002C356D"/>
    <w:rsid w:val="002D5C1D"/>
    <w:rsid w:val="002F3B8D"/>
    <w:rsid w:val="002F3D3B"/>
    <w:rsid w:val="00305AF4"/>
    <w:rsid w:val="0031159D"/>
    <w:rsid w:val="00311CA5"/>
    <w:rsid w:val="00326997"/>
    <w:rsid w:val="00330AE8"/>
    <w:rsid w:val="00341710"/>
    <w:rsid w:val="0035025E"/>
    <w:rsid w:val="00357B4D"/>
    <w:rsid w:val="003664C7"/>
    <w:rsid w:val="0036779C"/>
    <w:rsid w:val="0037277E"/>
    <w:rsid w:val="0037403C"/>
    <w:rsid w:val="00382B72"/>
    <w:rsid w:val="003843A4"/>
    <w:rsid w:val="00386E35"/>
    <w:rsid w:val="0039288A"/>
    <w:rsid w:val="003945E3"/>
    <w:rsid w:val="003A22DE"/>
    <w:rsid w:val="003C0EA7"/>
    <w:rsid w:val="003C2640"/>
    <w:rsid w:val="003C2FCD"/>
    <w:rsid w:val="003C3450"/>
    <w:rsid w:val="003C3A57"/>
    <w:rsid w:val="003C687A"/>
    <w:rsid w:val="003D0637"/>
    <w:rsid w:val="003D63A7"/>
    <w:rsid w:val="003E215A"/>
    <w:rsid w:val="003E35F9"/>
    <w:rsid w:val="003E3F56"/>
    <w:rsid w:val="003E4FC1"/>
    <w:rsid w:val="003F5D7F"/>
    <w:rsid w:val="0040138C"/>
    <w:rsid w:val="0040748D"/>
    <w:rsid w:val="00411440"/>
    <w:rsid w:val="00416901"/>
    <w:rsid w:val="00437529"/>
    <w:rsid w:val="00437FA1"/>
    <w:rsid w:val="00443F40"/>
    <w:rsid w:val="00452014"/>
    <w:rsid w:val="00453F63"/>
    <w:rsid w:val="00461E91"/>
    <w:rsid w:val="00463F05"/>
    <w:rsid w:val="004729F1"/>
    <w:rsid w:val="00475BFB"/>
    <w:rsid w:val="00475CFA"/>
    <w:rsid w:val="00483128"/>
    <w:rsid w:val="00496839"/>
    <w:rsid w:val="004A0B13"/>
    <w:rsid w:val="004A3EB0"/>
    <w:rsid w:val="004A4A62"/>
    <w:rsid w:val="004A4D9D"/>
    <w:rsid w:val="004A7871"/>
    <w:rsid w:val="004B22AD"/>
    <w:rsid w:val="004B3DA4"/>
    <w:rsid w:val="004C3C05"/>
    <w:rsid w:val="004C636B"/>
    <w:rsid w:val="004D2055"/>
    <w:rsid w:val="004D7558"/>
    <w:rsid w:val="004F159A"/>
    <w:rsid w:val="004F45D5"/>
    <w:rsid w:val="004F4774"/>
    <w:rsid w:val="0050565A"/>
    <w:rsid w:val="00511CFF"/>
    <w:rsid w:val="0051321B"/>
    <w:rsid w:val="00513879"/>
    <w:rsid w:val="0052168E"/>
    <w:rsid w:val="00532E87"/>
    <w:rsid w:val="00533909"/>
    <w:rsid w:val="005360CC"/>
    <w:rsid w:val="00544E16"/>
    <w:rsid w:val="00545769"/>
    <w:rsid w:val="005501EB"/>
    <w:rsid w:val="005511A3"/>
    <w:rsid w:val="00553AF4"/>
    <w:rsid w:val="00555D48"/>
    <w:rsid w:val="005570BE"/>
    <w:rsid w:val="00565189"/>
    <w:rsid w:val="00575786"/>
    <w:rsid w:val="00576102"/>
    <w:rsid w:val="00577873"/>
    <w:rsid w:val="005801C1"/>
    <w:rsid w:val="00580E40"/>
    <w:rsid w:val="0058347D"/>
    <w:rsid w:val="005A117F"/>
    <w:rsid w:val="005A75DA"/>
    <w:rsid w:val="005A78BC"/>
    <w:rsid w:val="005B1591"/>
    <w:rsid w:val="005B2724"/>
    <w:rsid w:val="005D02A6"/>
    <w:rsid w:val="005D41C0"/>
    <w:rsid w:val="005D7143"/>
    <w:rsid w:val="005E5B10"/>
    <w:rsid w:val="005E7B22"/>
    <w:rsid w:val="005F00AB"/>
    <w:rsid w:val="005F04C9"/>
    <w:rsid w:val="005F7F1D"/>
    <w:rsid w:val="006041D2"/>
    <w:rsid w:val="00605324"/>
    <w:rsid w:val="00615F5E"/>
    <w:rsid w:val="00622A40"/>
    <w:rsid w:val="00622A53"/>
    <w:rsid w:val="00622EE0"/>
    <w:rsid w:val="006331AA"/>
    <w:rsid w:val="0063645E"/>
    <w:rsid w:val="006414EC"/>
    <w:rsid w:val="00642E29"/>
    <w:rsid w:val="00646ED4"/>
    <w:rsid w:val="00647F5E"/>
    <w:rsid w:val="00650990"/>
    <w:rsid w:val="00651A13"/>
    <w:rsid w:val="00651CBC"/>
    <w:rsid w:val="00654867"/>
    <w:rsid w:val="00657DAD"/>
    <w:rsid w:val="0066424F"/>
    <w:rsid w:val="00672007"/>
    <w:rsid w:val="00672817"/>
    <w:rsid w:val="006762A8"/>
    <w:rsid w:val="00680C1B"/>
    <w:rsid w:val="00680F6C"/>
    <w:rsid w:val="006869B3"/>
    <w:rsid w:val="0069111A"/>
    <w:rsid w:val="00694683"/>
    <w:rsid w:val="00697530"/>
    <w:rsid w:val="006A2584"/>
    <w:rsid w:val="006A2922"/>
    <w:rsid w:val="006A40B6"/>
    <w:rsid w:val="006A6335"/>
    <w:rsid w:val="006B123A"/>
    <w:rsid w:val="006B1909"/>
    <w:rsid w:val="006C7888"/>
    <w:rsid w:val="006E3868"/>
    <w:rsid w:val="006E464D"/>
    <w:rsid w:val="006F24F6"/>
    <w:rsid w:val="006F397F"/>
    <w:rsid w:val="007000DF"/>
    <w:rsid w:val="0070237E"/>
    <w:rsid w:val="007026FC"/>
    <w:rsid w:val="007062D8"/>
    <w:rsid w:val="00731FDC"/>
    <w:rsid w:val="00733337"/>
    <w:rsid w:val="0074570A"/>
    <w:rsid w:val="00745E69"/>
    <w:rsid w:val="00753E39"/>
    <w:rsid w:val="00763041"/>
    <w:rsid w:val="00765D8B"/>
    <w:rsid w:val="00767700"/>
    <w:rsid w:val="00775AD6"/>
    <w:rsid w:val="00785507"/>
    <w:rsid w:val="00796584"/>
    <w:rsid w:val="007B0305"/>
    <w:rsid w:val="007B06F7"/>
    <w:rsid w:val="007B3296"/>
    <w:rsid w:val="007B6774"/>
    <w:rsid w:val="007C62CE"/>
    <w:rsid w:val="007D165C"/>
    <w:rsid w:val="007D2048"/>
    <w:rsid w:val="007D27B6"/>
    <w:rsid w:val="007D3BE5"/>
    <w:rsid w:val="007D40A2"/>
    <w:rsid w:val="007D6069"/>
    <w:rsid w:val="007D647D"/>
    <w:rsid w:val="007E4724"/>
    <w:rsid w:val="007E6BB3"/>
    <w:rsid w:val="007F1526"/>
    <w:rsid w:val="007F610D"/>
    <w:rsid w:val="0080704F"/>
    <w:rsid w:val="00811AFF"/>
    <w:rsid w:val="00813595"/>
    <w:rsid w:val="008149ED"/>
    <w:rsid w:val="00814BA4"/>
    <w:rsid w:val="00823EE0"/>
    <w:rsid w:val="00830C1C"/>
    <w:rsid w:val="0083345D"/>
    <w:rsid w:val="0083373C"/>
    <w:rsid w:val="008340C0"/>
    <w:rsid w:val="00836858"/>
    <w:rsid w:val="00842402"/>
    <w:rsid w:val="00846822"/>
    <w:rsid w:val="00847CE9"/>
    <w:rsid w:val="008537FC"/>
    <w:rsid w:val="008624BC"/>
    <w:rsid w:val="008640E0"/>
    <w:rsid w:val="00867A39"/>
    <w:rsid w:val="00890C86"/>
    <w:rsid w:val="00896C40"/>
    <w:rsid w:val="008A69CA"/>
    <w:rsid w:val="008B0BBF"/>
    <w:rsid w:val="008B3AD0"/>
    <w:rsid w:val="008C1BE9"/>
    <w:rsid w:val="008C34B0"/>
    <w:rsid w:val="008D0CD7"/>
    <w:rsid w:val="008D5A62"/>
    <w:rsid w:val="008D5EBA"/>
    <w:rsid w:val="008E2812"/>
    <w:rsid w:val="008E2C41"/>
    <w:rsid w:val="008E43A3"/>
    <w:rsid w:val="008F382B"/>
    <w:rsid w:val="008F39E0"/>
    <w:rsid w:val="00900362"/>
    <w:rsid w:val="00902E6F"/>
    <w:rsid w:val="00904980"/>
    <w:rsid w:val="00910B13"/>
    <w:rsid w:val="0092440D"/>
    <w:rsid w:val="0092732B"/>
    <w:rsid w:val="00930F5B"/>
    <w:rsid w:val="00933D7F"/>
    <w:rsid w:val="00941F39"/>
    <w:rsid w:val="00944027"/>
    <w:rsid w:val="00945867"/>
    <w:rsid w:val="00945D21"/>
    <w:rsid w:val="00952ABF"/>
    <w:rsid w:val="00954468"/>
    <w:rsid w:val="00956415"/>
    <w:rsid w:val="0095692D"/>
    <w:rsid w:val="009652C3"/>
    <w:rsid w:val="00965C5B"/>
    <w:rsid w:val="00966F9B"/>
    <w:rsid w:val="00972688"/>
    <w:rsid w:val="00977256"/>
    <w:rsid w:val="00977B7D"/>
    <w:rsid w:val="00984724"/>
    <w:rsid w:val="00986D11"/>
    <w:rsid w:val="00986EB5"/>
    <w:rsid w:val="0099096D"/>
    <w:rsid w:val="0099109F"/>
    <w:rsid w:val="00996BE3"/>
    <w:rsid w:val="009A0E49"/>
    <w:rsid w:val="009A251B"/>
    <w:rsid w:val="009A3A12"/>
    <w:rsid w:val="009A7A52"/>
    <w:rsid w:val="009B2098"/>
    <w:rsid w:val="009B36B9"/>
    <w:rsid w:val="009B4BA6"/>
    <w:rsid w:val="009B6B15"/>
    <w:rsid w:val="009D115E"/>
    <w:rsid w:val="009E0D9F"/>
    <w:rsid w:val="009E17E8"/>
    <w:rsid w:val="009E5B56"/>
    <w:rsid w:val="009F4DEE"/>
    <w:rsid w:val="009F66CA"/>
    <w:rsid w:val="009F7307"/>
    <w:rsid w:val="00A00607"/>
    <w:rsid w:val="00A013B5"/>
    <w:rsid w:val="00A12F71"/>
    <w:rsid w:val="00A1784C"/>
    <w:rsid w:val="00A2053F"/>
    <w:rsid w:val="00A237E1"/>
    <w:rsid w:val="00A317F9"/>
    <w:rsid w:val="00A36807"/>
    <w:rsid w:val="00A408E7"/>
    <w:rsid w:val="00A42E2F"/>
    <w:rsid w:val="00A453E5"/>
    <w:rsid w:val="00A454F4"/>
    <w:rsid w:val="00A45C7A"/>
    <w:rsid w:val="00A47ABA"/>
    <w:rsid w:val="00A5031B"/>
    <w:rsid w:val="00A576E9"/>
    <w:rsid w:val="00A63130"/>
    <w:rsid w:val="00A634A7"/>
    <w:rsid w:val="00A63943"/>
    <w:rsid w:val="00A8026C"/>
    <w:rsid w:val="00A80303"/>
    <w:rsid w:val="00A8392A"/>
    <w:rsid w:val="00A90DCF"/>
    <w:rsid w:val="00AA41A2"/>
    <w:rsid w:val="00AB1D0B"/>
    <w:rsid w:val="00AB20A9"/>
    <w:rsid w:val="00AC1B83"/>
    <w:rsid w:val="00AC5B19"/>
    <w:rsid w:val="00AD2F43"/>
    <w:rsid w:val="00AD4E98"/>
    <w:rsid w:val="00AD5375"/>
    <w:rsid w:val="00AE1CB6"/>
    <w:rsid w:val="00AE3803"/>
    <w:rsid w:val="00AE550A"/>
    <w:rsid w:val="00AE5AE5"/>
    <w:rsid w:val="00AE5CA3"/>
    <w:rsid w:val="00AE75E1"/>
    <w:rsid w:val="00AF6ADC"/>
    <w:rsid w:val="00B03EDE"/>
    <w:rsid w:val="00B04159"/>
    <w:rsid w:val="00B101A9"/>
    <w:rsid w:val="00B12743"/>
    <w:rsid w:val="00B17903"/>
    <w:rsid w:val="00B27233"/>
    <w:rsid w:val="00B32716"/>
    <w:rsid w:val="00B3351F"/>
    <w:rsid w:val="00B43BFA"/>
    <w:rsid w:val="00B447D9"/>
    <w:rsid w:val="00B5003B"/>
    <w:rsid w:val="00B55179"/>
    <w:rsid w:val="00B577AB"/>
    <w:rsid w:val="00B613D5"/>
    <w:rsid w:val="00B62B81"/>
    <w:rsid w:val="00B6798C"/>
    <w:rsid w:val="00B70FC5"/>
    <w:rsid w:val="00B71C2B"/>
    <w:rsid w:val="00B71EEE"/>
    <w:rsid w:val="00B7344D"/>
    <w:rsid w:val="00B75C0F"/>
    <w:rsid w:val="00B77C41"/>
    <w:rsid w:val="00B828E2"/>
    <w:rsid w:val="00B86D0D"/>
    <w:rsid w:val="00B937E9"/>
    <w:rsid w:val="00B946CE"/>
    <w:rsid w:val="00BA012E"/>
    <w:rsid w:val="00BA08AB"/>
    <w:rsid w:val="00BA0ACE"/>
    <w:rsid w:val="00BA0B7F"/>
    <w:rsid w:val="00BA6085"/>
    <w:rsid w:val="00BB2B58"/>
    <w:rsid w:val="00BB38FC"/>
    <w:rsid w:val="00BB56EF"/>
    <w:rsid w:val="00BB6380"/>
    <w:rsid w:val="00BB69EF"/>
    <w:rsid w:val="00BC4DCF"/>
    <w:rsid w:val="00BC5193"/>
    <w:rsid w:val="00BC7DC4"/>
    <w:rsid w:val="00BD107A"/>
    <w:rsid w:val="00BD3344"/>
    <w:rsid w:val="00BE2986"/>
    <w:rsid w:val="00BE4C73"/>
    <w:rsid w:val="00BF14ED"/>
    <w:rsid w:val="00BF1587"/>
    <w:rsid w:val="00BF19D2"/>
    <w:rsid w:val="00C034D5"/>
    <w:rsid w:val="00C03811"/>
    <w:rsid w:val="00C0623A"/>
    <w:rsid w:val="00C1189C"/>
    <w:rsid w:val="00C11A9B"/>
    <w:rsid w:val="00C1369F"/>
    <w:rsid w:val="00C13BDB"/>
    <w:rsid w:val="00C17433"/>
    <w:rsid w:val="00C220AD"/>
    <w:rsid w:val="00C22667"/>
    <w:rsid w:val="00C27B61"/>
    <w:rsid w:val="00C34B10"/>
    <w:rsid w:val="00C36852"/>
    <w:rsid w:val="00C36AE4"/>
    <w:rsid w:val="00C37911"/>
    <w:rsid w:val="00C4457B"/>
    <w:rsid w:val="00C4482C"/>
    <w:rsid w:val="00C47841"/>
    <w:rsid w:val="00C47BCB"/>
    <w:rsid w:val="00C56DA6"/>
    <w:rsid w:val="00C56EEC"/>
    <w:rsid w:val="00C61C11"/>
    <w:rsid w:val="00C7224B"/>
    <w:rsid w:val="00C73B3A"/>
    <w:rsid w:val="00C87E36"/>
    <w:rsid w:val="00C907D1"/>
    <w:rsid w:val="00C92401"/>
    <w:rsid w:val="00CA3779"/>
    <w:rsid w:val="00CB6D50"/>
    <w:rsid w:val="00CB7AF4"/>
    <w:rsid w:val="00CC449F"/>
    <w:rsid w:val="00CC5EC2"/>
    <w:rsid w:val="00CD1229"/>
    <w:rsid w:val="00CD65D7"/>
    <w:rsid w:val="00CD6D58"/>
    <w:rsid w:val="00CE18C8"/>
    <w:rsid w:val="00CE5D6E"/>
    <w:rsid w:val="00CE7360"/>
    <w:rsid w:val="00CF4448"/>
    <w:rsid w:val="00D0124B"/>
    <w:rsid w:val="00D03B35"/>
    <w:rsid w:val="00D1711B"/>
    <w:rsid w:val="00D203DC"/>
    <w:rsid w:val="00D20D13"/>
    <w:rsid w:val="00D21706"/>
    <w:rsid w:val="00D259B0"/>
    <w:rsid w:val="00D26D69"/>
    <w:rsid w:val="00D26F7E"/>
    <w:rsid w:val="00D34C71"/>
    <w:rsid w:val="00D3577B"/>
    <w:rsid w:val="00D357A4"/>
    <w:rsid w:val="00D3649E"/>
    <w:rsid w:val="00D43F4F"/>
    <w:rsid w:val="00D44317"/>
    <w:rsid w:val="00D45413"/>
    <w:rsid w:val="00D51574"/>
    <w:rsid w:val="00D60F87"/>
    <w:rsid w:val="00D6284F"/>
    <w:rsid w:val="00D6464E"/>
    <w:rsid w:val="00D66151"/>
    <w:rsid w:val="00D66AF5"/>
    <w:rsid w:val="00D71B3E"/>
    <w:rsid w:val="00D73E54"/>
    <w:rsid w:val="00D75D36"/>
    <w:rsid w:val="00D761B6"/>
    <w:rsid w:val="00D77346"/>
    <w:rsid w:val="00D950D0"/>
    <w:rsid w:val="00D96384"/>
    <w:rsid w:val="00DA0579"/>
    <w:rsid w:val="00DA089E"/>
    <w:rsid w:val="00DA6CBB"/>
    <w:rsid w:val="00DB03AC"/>
    <w:rsid w:val="00DB0B40"/>
    <w:rsid w:val="00DB23AA"/>
    <w:rsid w:val="00DB249D"/>
    <w:rsid w:val="00DC17E4"/>
    <w:rsid w:val="00DC7952"/>
    <w:rsid w:val="00DD089E"/>
    <w:rsid w:val="00DD0E57"/>
    <w:rsid w:val="00DD5471"/>
    <w:rsid w:val="00DE2CD2"/>
    <w:rsid w:val="00DE3614"/>
    <w:rsid w:val="00DE71E3"/>
    <w:rsid w:val="00DF0F8B"/>
    <w:rsid w:val="00E03817"/>
    <w:rsid w:val="00E04FB9"/>
    <w:rsid w:val="00E201AA"/>
    <w:rsid w:val="00E209FC"/>
    <w:rsid w:val="00E22215"/>
    <w:rsid w:val="00E2314B"/>
    <w:rsid w:val="00E24381"/>
    <w:rsid w:val="00E25C61"/>
    <w:rsid w:val="00E31783"/>
    <w:rsid w:val="00E33784"/>
    <w:rsid w:val="00E3439B"/>
    <w:rsid w:val="00E35B9A"/>
    <w:rsid w:val="00E41B44"/>
    <w:rsid w:val="00E46B98"/>
    <w:rsid w:val="00E53931"/>
    <w:rsid w:val="00E547D1"/>
    <w:rsid w:val="00E601CE"/>
    <w:rsid w:val="00E61984"/>
    <w:rsid w:val="00E61D50"/>
    <w:rsid w:val="00E62F3C"/>
    <w:rsid w:val="00E6681D"/>
    <w:rsid w:val="00E73D1F"/>
    <w:rsid w:val="00E757AD"/>
    <w:rsid w:val="00E76B08"/>
    <w:rsid w:val="00E80331"/>
    <w:rsid w:val="00E810A2"/>
    <w:rsid w:val="00E81105"/>
    <w:rsid w:val="00E8327D"/>
    <w:rsid w:val="00E861D9"/>
    <w:rsid w:val="00E863CB"/>
    <w:rsid w:val="00E86C5A"/>
    <w:rsid w:val="00E97989"/>
    <w:rsid w:val="00EA14B2"/>
    <w:rsid w:val="00EA27C0"/>
    <w:rsid w:val="00EA4AE7"/>
    <w:rsid w:val="00EA5DCF"/>
    <w:rsid w:val="00EB0747"/>
    <w:rsid w:val="00EB1B1E"/>
    <w:rsid w:val="00EB30CE"/>
    <w:rsid w:val="00EB377F"/>
    <w:rsid w:val="00EB7457"/>
    <w:rsid w:val="00EC452A"/>
    <w:rsid w:val="00ED178F"/>
    <w:rsid w:val="00ED3B02"/>
    <w:rsid w:val="00ED7112"/>
    <w:rsid w:val="00EE0A51"/>
    <w:rsid w:val="00EE437E"/>
    <w:rsid w:val="00EE664C"/>
    <w:rsid w:val="00EE6F77"/>
    <w:rsid w:val="00EF0FB1"/>
    <w:rsid w:val="00EF49E7"/>
    <w:rsid w:val="00EF4CB0"/>
    <w:rsid w:val="00EF4DFB"/>
    <w:rsid w:val="00EF5876"/>
    <w:rsid w:val="00EF62C1"/>
    <w:rsid w:val="00EF6D8F"/>
    <w:rsid w:val="00F17ED8"/>
    <w:rsid w:val="00F20BDB"/>
    <w:rsid w:val="00F30C0E"/>
    <w:rsid w:val="00F36667"/>
    <w:rsid w:val="00F44F10"/>
    <w:rsid w:val="00F46B4A"/>
    <w:rsid w:val="00F47135"/>
    <w:rsid w:val="00F519E1"/>
    <w:rsid w:val="00F53346"/>
    <w:rsid w:val="00F57C4C"/>
    <w:rsid w:val="00F733A2"/>
    <w:rsid w:val="00F74A11"/>
    <w:rsid w:val="00F763B8"/>
    <w:rsid w:val="00F838CE"/>
    <w:rsid w:val="00FA74D3"/>
    <w:rsid w:val="00FB1090"/>
    <w:rsid w:val="00FB69B8"/>
    <w:rsid w:val="00FC7A26"/>
    <w:rsid w:val="00FD1F42"/>
    <w:rsid w:val="00FD2325"/>
    <w:rsid w:val="00FD61F9"/>
    <w:rsid w:val="00FE5B29"/>
    <w:rsid w:val="00FE6964"/>
    <w:rsid w:val="00FE7F0A"/>
    <w:rsid w:val="00FF434E"/>
    <w:rsid w:val="00FF5805"/>
    <w:rsid w:val="00FF794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722E1C2"/>
  <w15:chartTrackingRefBased/>
  <w15:docId w15:val="{FEECCA3C-1AAD-429B-B708-4AF2616F8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464D"/>
    <w:pPr>
      <w:spacing w:after="0" w:line="240" w:lineRule="auto"/>
    </w:pPr>
    <w:rPr>
      <w:rFonts w:ascii="Times New Roman" w:eastAsia="Times New Roman" w:hAnsi="Times New Roman" w:cs="Times New Roman"/>
      <w:sz w:val="20"/>
      <w:szCs w:val="20"/>
      <w:lang w:eastAsia="es-ES"/>
    </w:rPr>
  </w:style>
  <w:style w:type="paragraph" w:styleId="Ttulo2">
    <w:name w:val="heading 2"/>
    <w:basedOn w:val="Normal"/>
    <w:next w:val="Normal"/>
    <w:link w:val="Ttulo2Car"/>
    <w:uiPriority w:val="9"/>
    <w:unhideWhenUsed/>
    <w:qFormat/>
    <w:rsid w:val="00CD1229"/>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03EDE"/>
    <w:pPr>
      <w:tabs>
        <w:tab w:val="center" w:pos="4419"/>
        <w:tab w:val="right" w:pos="8838"/>
      </w:tabs>
    </w:pPr>
  </w:style>
  <w:style w:type="character" w:customStyle="1" w:styleId="EncabezadoCar">
    <w:name w:val="Encabezado Car"/>
    <w:basedOn w:val="Fuentedeprrafopredeter"/>
    <w:link w:val="Encabezado"/>
    <w:uiPriority w:val="99"/>
    <w:rsid w:val="00B03EDE"/>
    <w:rPr>
      <w:rFonts w:ascii="Times New Roman" w:eastAsia="Times New Roman" w:hAnsi="Times New Roman" w:cs="Times New Roman"/>
      <w:sz w:val="20"/>
      <w:szCs w:val="20"/>
      <w:lang w:eastAsia="es-ES"/>
    </w:rPr>
  </w:style>
  <w:style w:type="paragraph" w:styleId="Piedepgina">
    <w:name w:val="footer"/>
    <w:basedOn w:val="Normal"/>
    <w:link w:val="PiedepginaCar"/>
    <w:uiPriority w:val="99"/>
    <w:unhideWhenUsed/>
    <w:rsid w:val="00B03EDE"/>
    <w:pPr>
      <w:tabs>
        <w:tab w:val="center" w:pos="4419"/>
        <w:tab w:val="right" w:pos="8838"/>
      </w:tabs>
    </w:pPr>
  </w:style>
  <w:style w:type="character" w:customStyle="1" w:styleId="PiedepginaCar">
    <w:name w:val="Pie de página Car"/>
    <w:basedOn w:val="Fuentedeprrafopredeter"/>
    <w:link w:val="Piedepgina"/>
    <w:uiPriority w:val="99"/>
    <w:rsid w:val="00B03EDE"/>
    <w:rPr>
      <w:rFonts w:ascii="Times New Roman" w:eastAsia="Times New Roman" w:hAnsi="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03EDE"/>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03EDE"/>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03EDE"/>
    <w:rPr>
      <w:color w:val="0563C1" w:themeColor="hyperlink"/>
      <w:u w:val="single"/>
    </w:rPr>
  </w:style>
  <w:style w:type="table" w:styleId="Tablaconcuadrcula">
    <w:name w:val="Table Grid"/>
    <w:basedOn w:val="Tablanormal"/>
    <w:uiPriority w:val="59"/>
    <w:rsid w:val="00B03EDE"/>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256424"/>
    <w:pPr>
      <w:spacing w:after="0" w:line="240" w:lineRule="auto"/>
    </w:pPr>
    <w:rPr>
      <w:rFonts w:ascii="Times New Roman" w:eastAsia="Times New Roman" w:hAnsi="Times New Roman" w:cs="Times New Roman"/>
      <w:sz w:val="20"/>
      <w:szCs w:val="20"/>
      <w:lang w:eastAsia="es-ES"/>
    </w:rPr>
  </w:style>
  <w:style w:type="paragraph" w:styleId="Lista">
    <w:name w:val="List"/>
    <w:basedOn w:val="Normal"/>
    <w:uiPriority w:val="99"/>
    <w:unhideWhenUsed/>
    <w:rsid w:val="00443F40"/>
    <w:pPr>
      <w:ind w:left="283" w:hanging="283"/>
      <w:contextualSpacing/>
    </w:pPr>
  </w:style>
  <w:style w:type="paragraph" w:styleId="Lista2">
    <w:name w:val="List 2"/>
    <w:basedOn w:val="Normal"/>
    <w:uiPriority w:val="99"/>
    <w:unhideWhenUsed/>
    <w:rsid w:val="00443F40"/>
    <w:pPr>
      <w:ind w:left="566" w:hanging="283"/>
      <w:contextualSpacing/>
    </w:pPr>
  </w:style>
  <w:style w:type="paragraph" w:styleId="Saludo">
    <w:name w:val="Salutation"/>
    <w:basedOn w:val="Normal"/>
    <w:next w:val="Normal"/>
    <w:link w:val="SaludoCar"/>
    <w:uiPriority w:val="99"/>
    <w:unhideWhenUsed/>
    <w:rsid w:val="00443F40"/>
  </w:style>
  <w:style w:type="character" w:customStyle="1" w:styleId="SaludoCar">
    <w:name w:val="Saludo Car"/>
    <w:basedOn w:val="Fuentedeprrafopredeter"/>
    <w:link w:val="Saludo"/>
    <w:uiPriority w:val="99"/>
    <w:rsid w:val="00443F40"/>
    <w:rPr>
      <w:rFonts w:ascii="Times New Roman" w:eastAsia="Times New Roman" w:hAnsi="Times New Roman" w:cs="Times New Roman"/>
      <w:sz w:val="20"/>
      <w:szCs w:val="20"/>
      <w:lang w:eastAsia="es-ES"/>
    </w:rPr>
  </w:style>
  <w:style w:type="paragraph" w:styleId="Continuarlista">
    <w:name w:val="List Continue"/>
    <w:basedOn w:val="Normal"/>
    <w:uiPriority w:val="99"/>
    <w:unhideWhenUsed/>
    <w:rsid w:val="00443F40"/>
    <w:pPr>
      <w:spacing w:after="120"/>
      <w:ind w:left="283"/>
      <w:contextualSpacing/>
    </w:pPr>
  </w:style>
  <w:style w:type="paragraph" w:styleId="Textoindependiente">
    <w:name w:val="Body Text"/>
    <w:basedOn w:val="Normal"/>
    <w:link w:val="TextoindependienteCar"/>
    <w:uiPriority w:val="99"/>
    <w:unhideWhenUsed/>
    <w:rsid w:val="00443F40"/>
    <w:pPr>
      <w:spacing w:after="120"/>
    </w:pPr>
  </w:style>
  <w:style w:type="character" w:customStyle="1" w:styleId="TextoindependienteCar">
    <w:name w:val="Texto independiente Car"/>
    <w:basedOn w:val="Fuentedeprrafopredeter"/>
    <w:link w:val="Textoindependiente"/>
    <w:uiPriority w:val="99"/>
    <w:rsid w:val="00443F40"/>
    <w:rPr>
      <w:rFonts w:ascii="Times New Roman" w:eastAsia="Times New Roman" w:hAnsi="Times New Roman" w:cs="Times New Roman"/>
      <w:sz w:val="20"/>
      <w:szCs w:val="20"/>
      <w:lang w:eastAsia="es-ES"/>
    </w:rPr>
  </w:style>
  <w:style w:type="paragraph" w:styleId="Sangradetextonormal">
    <w:name w:val="Body Text Indent"/>
    <w:basedOn w:val="Normal"/>
    <w:link w:val="SangradetextonormalCar"/>
    <w:uiPriority w:val="99"/>
    <w:semiHidden/>
    <w:unhideWhenUsed/>
    <w:rsid w:val="00443F40"/>
    <w:pPr>
      <w:spacing w:after="120"/>
      <w:ind w:left="283"/>
    </w:pPr>
  </w:style>
  <w:style w:type="character" w:customStyle="1" w:styleId="SangradetextonormalCar">
    <w:name w:val="Sangría de texto normal Car"/>
    <w:basedOn w:val="Fuentedeprrafopredeter"/>
    <w:link w:val="Sangradetextonormal"/>
    <w:uiPriority w:val="99"/>
    <w:semiHidden/>
    <w:rsid w:val="00443F40"/>
    <w:rPr>
      <w:rFonts w:ascii="Times New Roman" w:eastAsia="Times New Roman" w:hAnsi="Times New Roman" w:cs="Times New Roman"/>
      <w:sz w:val="20"/>
      <w:szCs w:val="20"/>
      <w:lang w:eastAsia="es-ES"/>
    </w:rPr>
  </w:style>
  <w:style w:type="paragraph" w:styleId="Textoindependienteprimerasangra2">
    <w:name w:val="Body Text First Indent 2"/>
    <w:basedOn w:val="Sangradetextonormal"/>
    <w:link w:val="Textoindependienteprimerasangra2Car"/>
    <w:uiPriority w:val="99"/>
    <w:unhideWhenUsed/>
    <w:rsid w:val="00443F4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43F40"/>
    <w:rPr>
      <w:rFonts w:ascii="Times New Roman" w:eastAsia="Times New Roman" w:hAnsi="Times New Roman" w:cs="Times New Roman"/>
      <w:sz w:val="20"/>
      <w:szCs w:val="20"/>
      <w:lang w:eastAsia="es-ES"/>
    </w:rPr>
  </w:style>
  <w:style w:type="character" w:customStyle="1" w:styleId="Mencinsinresolver1">
    <w:name w:val="Mención sin resolver1"/>
    <w:basedOn w:val="Fuentedeprrafopredeter"/>
    <w:uiPriority w:val="99"/>
    <w:semiHidden/>
    <w:unhideWhenUsed/>
    <w:rsid w:val="00E22215"/>
    <w:rPr>
      <w:color w:val="605E5C"/>
      <w:shd w:val="clear" w:color="auto" w:fill="E1DFDD"/>
    </w:rPr>
  </w:style>
  <w:style w:type="character" w:customStyle="1" w:styleId="Ttulo2Car">
    <w:name w:val="Título 2 Car"/>
    <w:basedOn w:val="Fuentedeprrafopredeter"/>
    <w:link w:val="Ttulo2"/>
    <w:uiPriority w:val="9"/>
    <w:rsid w:val="00CD1229"/>
    <w:rPr>
      <w:rFonts w:asciiTheme="majorHAnsi" w:eastAsiaTheme="majorEastAsia" w:hAnsiTheme="majorHAnsi" w:cstheme="majorBidi"/>
      <w:color w:val="2F5496" w:themeColor="accent1" w:themeShade="BF"/>
      <w:sz w:val="26"/>
      <w:szCs w:val="26"/>
      <w:lang w:eastAsia="es-ES"/>
    </w:rPr>
  </w:style>
  <w:style w:type="character" w:customStyle="1" w:styleId="Mencinsinresolver2">
    <w:name w:val="Mención sin resolver2"/>
    <w:basedOn w:val="Fuentedeprrafopredeter"/>
    <w:uiPriority w:val="99"/>
    <w:semiHidden/>
    <w:unhideWhenUsed/>
    <w:rsid w:val="00C61C11"/>
    <w:rPr>
      <w:color w:val="605E5C"/>
      <w:shd w:val="clear" w:color="auto" w:fill="E1DFDD"/>
    </w:rPr>
  </w:style>
  <w:style w:type="paragraph" w:styleId="NormalWeb">
    <w:name w:val="Normal (Web)"/>
    <w:basedOn w:val="Normal"/>
    <w:uiPriority w:val="99"/>
    <w:semiHidden/>
    <w:unhideWhenUsed/>
    <w:rsid w:val="00005597"/>
    <w:pPr>
      <w:spacing w:after="160" w:line="259" w:lineRule="auto"/>
      <w:jc w:val="both"/>
    </w:pPr>
    <w:rPr>
      <w:rFonts w:eastAsiaTheme="minorHAnsi"/>
      <w:color w:val="000000" w:themeColor="text1"/>
      <w:sz w:val="24"/>
      <w:szCs w:val="24"/>
      <w:lang w:eastAsia="en-US"/>
    </w:rPr>
  </w:style>
  <w:style w:type="character" w:customStyle="1" w:styleId="Mencinsinresolver3">
    <w:name w:val="Mención sin resolver3"/>
    <w:basedOn w:val="Fuentedeprrafopredeter"/>
    <w:uiPriority w:val="99"/>
    <w:semiHidden/>
    <w:unhideWhenUsed/>
    <w:rsid w:val="007000DF"/>
    <w:rPr>
      <w:color w:val="605E5C"/>
      <w:shd w:val="clear" w:color="auto" w:fill="E1DFDD"/>
    </w:rPr>
  </w:style>
  <w:style w:type="character" w:styleId="Hipervnculovisitado">
    <w:name w:val="FollowedHyperlink"/>
    <w:basedOn w:val="Fuentedeprrafopredeter"/>
    <w:uiPriority w:val="99"/>
    <w:semiHidden/>
    <w:unhideWhenUsed/>
    <w:rsid w:val="001B2EB8"/>
    <w:rPr>
      <w:color w:val="954F72" w:themeColor="followedHyperlink"/>
      <w:u w:val="single"/>
    </w:rPr>
  </w:style>
  <w:style w:type="character" w:customStyle="1" w:styleId="Mencinsinresolver4">
    <w:name w:val="Mención sin resolver4"/>
    <w:basedOn w:val="Fuentedeprrafopredeter"/>
    <w:uiPriority w:val="99"/>
    <w:semiHidden/>
    <w:unhideWhenUsed/>
    <w:rsid w:val="00DE361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480280">
      <w:bodyDiv w:val="1"/>
      <w:marLeft w:val="0"/>
      <w:marRight w:val="0"/>
      <w:marTop w:val="0"/>
      <w:marBottom w:val="0"/>
      <w:divBdr>
        <w:top w:val="none" w:sz="0" w:space="0" w:color="auto"/>
        <w:left w:val="none" w:sz="0" w:space="0" w:color="auto"/>
        <w:bottom w:val="none" w:sz="0" w:space="0" w:color="auto"/>
        <w:right w:val="none" w:sz="0" w:space="0" w:color="auto"/>
      </w:divBdr>
    </w:div>
    <w:div w:id="33387984">
      <w:bodyDiv w:val="1"/>
      <w:marLeft w:val="0"/>
      <w:marRight w:val="0"/>
      <w:marTop w:val="0"/>
      <w:marBottom w:val="0"/>
      <w:divBdr>
        <w:top w:val="none" w:sz="0" w:space="0" w:color="auto"/>
        <w:left w:val="none" w:sz="0" w:space="0" w:color="auto"/>
        <w:bottom w:val="none" w:sz="0" w:space="0" w:color="auto"/>
        <w:right w:val="none" w:sz="0" w:space="0" w:color="auto"/>
      </w:divBdr>
    </w:div>
    <w:div w:id="311174530">
      <w:bodyDiv w:val="1"/>
      <w:marLeft w:val="0"/>
      <w:marRight w:val="0"/>
      <w:marTop w:val="0"/>
      <w:marBottom w:val="0"/>
      <w:divBdr>
        <w:top w:val="none" w:sz="0" w:space="0" w:color="auto"/>
        <w:left w:val="none" w:sz="0" w:space="0" w:color="auto"/>
        <w:bottom w:val="none" w:sz="0" w:space="0" w:color="auto"/>
        <w:right w:val="none" w:sz="0" w:space="0" w:color="auto"/>
      </w:divBdr>
    </w:div>
    <w:div w:id="428159721">
      <w:bodyDiv w:val="1"/>
      <w:marLeft w:val="0"/>
      <w:marRight w:val="0"/>
      <w:marTop w:val="0"/>
      <w:marBottom w:val="0"/>
      <w:divBdr>
        <w:top w:val="none" w:sz="0" w:space="0" w:color="auto"/>
        <w:left w:val="none" w:sz="0" w:space="0" w:color="auto"/>
        <w:bottom w:val="none" w:sz="0" w:space="0" w:color="auto"/>
        <w:right w:val="none" w:sz="0" w:space="0" w:color="auto"/>
      </w:divBdr>
    </w:div>
    <w:div w:id="508062191">
      <w:bodyDiv w:val="1"/>
      <w:marLeft w:val="0"/>
      <w:marRight w:val="0"/>
      <w:marTop w:val="0"/>
      <w:marBottom w:val="0"/>
      <w:divBdr>
        <w:top w:val="none" w:sz="0" w:space="0" w:color="auto"/>
        <w:left w:val="none" w:sz="0" w:space="0" w:color="auto"/>
        <w:bottom w:val="none" w:sz="0" w:space="0" w:color="auto"/>
        <w:right w:val="none" w:sz="0" w:space="0" w:color="auto"/>
      </w:divBdr>
    </w:div>
    <w:div w:id="520507367">
      <w:bodyDiv w:val="1"/>
      <w:marLeft w:val="0"/>
      <w:marRight w:val="0"/>
      <w:marTop w:val="0"/>
      <w:marBottom w:val="0"/>
      <w:divBdr>
        <w:top w:val="none" w:sz="0" w:space="0" w:color="auto"/>
        <w:left w:val="none" w:sz="0" w:space="0" w:color="auto"/>
        <w:bottom w:val="none" w:sz="0" w:space="0" w:color="auto"/>
        <w:right w:val="none" w:sz="0" w:space="0" w:color="auto"/>
      </w:divBdr>
    </w:div>
    <w:div w:id="1543983267">
      <w:bodyDiv w:val="1"/>
      <w:marLeft w:val="0"/>
      <w:marRight w:val="0"/>
      <w:marTop w:val="0"/>
      <w:marBottom w:val="0"/>
      <w:divBdr>
        <w:top w:val="none" w:sz="0" w:space="0" w:color="auto"/>
        <w:left w:val="none" w:sz="0" w:space="0" w:color="auto"/>
        <w:bottom w:val="none" w:sz="0" w:space="0" w:color="auto"/>
        <w:right w:val="none" w:sz="0" w:space="0" w:color="auto"/>
      </w:divBdr>
    </w:div>
    <w:div w:id="1609701932">
      <w:bodyDiv w:val="1"/>
      <w:marLeft w:val="0"/>
      <w:marRight w:val="0"/>
      <w:marTop w:val="0"/>
      <w:marBottom w:val="0"/>
      <w:divBdr>
        <w:top w:val="none" w:sz="0" w:space="0" w:color="auto"/>
        <w:left w:val="none" w:sz="0" w:space="0" w:color="auto"/>
        <w:bottom w:val="none" w:sz="0" w:space="0" w:color="auto"/>
        <w:right w:val="none" w:sz="0" w:space="0" w:color="auto"/>
      </w:divBdr>
    </w:div>
    <w:div w:id="1647473151">
      <w:bodyDiv w:val="1"/>
      <w:marLeft w:val="0"/>
      <w:marRight w:val="0"/>
      <w:marTop w:val="0"/>
      <w:marBottom w:val="0"/>
      <w:divBdr>
        <w:top w:val="none" w:sz="0" w:space="0" w:color="auto"/>
        <w:left w:val="none" w:sz="0" w:space="0" w:color="auto"/>
        <w:bottom w:val="none" w:sz="0" w:space="0" w:color="auto"/>
        <w:right w:val="none" w:sz="0" w:space="0" w:color="auto"/>
      </w:divBdr>
    </w:div>
    <w:div w:id="1687292227">
      <w:bodyDiv w:val="1"/>
      <w:marLeft w:val="0"/>
      <w:marRight w:val="0"/>
      <w:marTop w:val="0"/>
      <w:marBottom w:val="0"/>
      <w:divBdr>
        <w:top w:val="none" w:sz="0" w:space="0" w:color="auto"/>
        <w:left w:val="none" w:sz="0" w:space="0" w:color="auto"/>
        <w:bottom w:val="none" w:sz="0" w:space="0" w:color="auto"/>
        <w:right w:val="none" w:sz="0" w:space="0" w:color="auto"/>
      </w:divBdr>
    </w:div>
    <w:div w:id="2107115247">
      <w:bodyDiv w:val="1"/>
      <w:marLeft w:val="0"/>
      <w:marRight w:val="0"/>
      <w:marTop w:val="0"/>
      <w:marBottom w:val="0"/>
      <w:divBdr>
        <w:top w:val="none" w:sz="0" w:space="0" w:color="auto"/>
        <w:left w:val="none" w:sz="0" w:space="0" w:color="auto"/>
        <w:bottom w:val="none" w:sz="0" w:space="0" w:color="auto"/>
        <w:right w:val="none" w:sz="0" w:space="0" w:color="auto"/>
      </w:divBdr>
    </w:div>
    <w:div w:id="2113041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nfoem.org.mx/es/contenido/reconocimiento-pr%C3%A1cticas-de-transparencia-proactiva"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A2181-E179-4ECF-9406-9BCFDE1C0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5610</Words>
  <Characters>30858</Characters>
  <Application>Microsoft Office Word</Application>
  <DocSecurity>0</DocSecurity>
  <Lines>257</Lines>
  <Paragraphs>72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oswaldo</dc:creator>
  <cp:keywords/>
  <dc:description/>
  <cp:lastModifiedBy>roxheart97@gmail.com</cp:lastModifiedBy>
  <cp:revision>3</cp:revision>
  <dcterms:created xsi:type="dcterms:W3CDTF">2024-10-17T23:31:00Z</dcterms:created>
  <dcterms:modified xsi:type="dcterms:W3CDTF">2024-10-25T00:38:00Z</dcterms:modified>
</cp:coreProperties>
</file>