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FICHA TÉCNICA</w:t>
      </w:r>
    </w:p>
    <w:p w:rsidR="00000000" w:rsidDel="00000000" w:rsidP="00000000" w:rsidRDefault="00000000" w:rsidRPr="00000000" w14:paraId="00000002">
      <w:pPr>
        <w:tabs>
          <w:tab w:val="center" w:leader="none" w:pos="4419"/>
          <w:tab w:val="right" w:leader="none" w:pos="8838"/>
        </w:tabs>
        <w:spacing w:after="0" w:line="240" w:lineRule="auto"/>
        <w:ind w:hanging="709"/>
        <w:jc w:val="center"/>
        <w:rPr>
          <w:rFonts w:ascii="Palatino Linotype" w:cs="Palatino Linotype" w:eastAsia="Palatino Linotype" w:hAnsi="Palatino Linotype"/>
          <w:b w:val="1"/>
          <w:sz w:val="24"/>
          <w:szCs w:val="24"/>
        </w:rPr>
      </w:pPr>
      <w:r w:rsidDel="00000000" w:rsidR="00000000" w:rsidRPr="00000000">
        <w:rPr>
          <w:rtl w:val="0"/>
        </w:rPr>
      </w:r>
    </w:p>
    <w:tbl>
      <w:tblPr>
        <w:tblStyle w:val="Table1"/>
        <w:tblW w:w="14025.0" w:type="dxa"/>
        <w:jc w:val="left"/>
        <w:tblInd w:w="-645.0" w:type="dxa"/>
        <w:tblLayout w:type="fixed"/>
        <w:tblLook w:val="0400"/>
      </w:tblPr>
      <w:tblGrid>
        <w:gridCol w:w="4950"/>
        <w:gridCol w:w="4140"/>
        <w:gridCol w:w="4935"/>
        <w:tblGridChange w:id="0">
          <w:tblGrid>
            <w:gridCol w:w="4950"/>
            <w:gridCol w:w="4140"/>
            <w:gridCol w:w="4935"/>
          </w:tblGrid>
        </w:tblGridChange>
      </w:tblGrid>
      <w:tr>
        <w:trPr>
          <w:cantSplit w:val="0"/>
          <w:trHeight w:val="630"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2667000"/>
                  <wp:effectExtent b="0" l="0" r="0" t="0"/>
                  <wp:docPr id="326"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009900" cy="26670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Sistema Geoestadístico del Poder Judicial del Estado de México</w:t>
            </w:r>
          </w:p>
        </w:tc>
      </w:tr>
      <w:tr>
        <w:trPr>
          <w:cantSplit w:val="0"/>
          <w:trHeight w:val="61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Tribunal Superior de Justicia del Estado de México</w:t>
            </w:r>
          </w:p>
        </w:tc>
      </w:tr>
      <w:tr>
        <w:trPr>
          <w:cantSplit w:val="0"/>
          <w:trHeight w:val="96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Dirección General de Innovación y Desarrollo Tecnológico del Poder Judicial del Estado de México</w:t>
            </w:r>
          </w:p>
        </w:tc>
      </w:tr>
      <w:tr>
        <w:trPr>
          <w:cantSplit w:val="0"/>
          <w:trHeight w:val="69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u w:val="single"/>
                  <w:rtl w:val="0"/>
                </w:rPr>
                <w:t xml:space="preserve">https://infoestadisticapj.pjedomex.gob.mx/geoestadistica/Reporte/index2.html</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rtl w:val="0"/>
              </w:rPr>
              <w:t xml:space="preserve">100</w:t>
            </w:r>
            <w:r w:rsidDel="00000000" w:rsidR="00000000" w:rsidRPr="00000000">
              <w:rPr>
                <w:rtl w:val="0"/>
              </w:rPr>
            </w:r>
          </w:p>
        </w:tc>
      </w:tr>
      <w:tr>
        <w:trPr>
          <w:cantSplit w:val="0"/>
          <w:trHeight w:val="677.6909179687498"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A">
            <w:pPr>
              <w:spacing w:after="0" w:line="240" w:lineRule="auto"/>
              <w:jc w:val="center"/>
              <w:rPr>
                <w:rFonts w:ascii="Palatino Linotype" w:cs="Palatino Linotype" w:eastAsia="Palatino Linotype" w:hAnsi="Palatino Linotype"/>
                <w:b w:val="1"/>
                <w:i w:val="0"/>
                <w:smallCaps w:val="0"/>
                <w:strike w:val="0"/>
                <w:color w:val="000000"/>
                <w:u w:val="none"/>
                <w:vertAlign w:val="baseline"/>
              </w:rPr>
            </w:pPr>
            <w:r w:rsidDel="00000000" w:rsidR="00000000" w:rsidRPr="00000000">
              <w:rPr>
                <w:rFonts w:ascii="Palatino Linotype" w:cs="Palatino Linotype" w:eastAsia="Palatino Linotype" w:hAnsi="Palatino Linotype"/>
                <w:b w:val="1"/>
                <w:rtl w:val="0"/>
              </w:rPr>
              <w:t xml:space="preserve">Práctica reconocida en el año 2021</w:t>
            </w:r>
            <w:r w:rsidDel="00000000" w:rsidR="00000000" w:rsidRPr="00000000">
              <w:rPr>
                <w:rtl w:val="0"/>
              </w:rPr>
            </w:r>
          </w:p>
        </w:tc>
      </w:tr>
    </w:tbl>
    <w:p w:rsidR="00000000" w:rsidDel="00000000" w:rsidP="00000000" w:rsidRDefault="00000000" w:rsidRPr="00000000" w14:paraId="0000001C">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7170"/>
        <w:gridCol w:w="6735"/>
        <w:tblGridChange w:id="0">
          <w:tblGrid>
            <w:gridCol w:w="7170"/>
            <w:gridCol w:w="6735"/>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una herramienta Web diseñada de fácil acceso, a través de la cual los usuarios visualizan en un mapa de la entidad, diferentes niveles de desagregación toda la información detallada de juzgados y otras oficinas del Poder Judicial, además de obtener información estadística de interés. Promueve la participación ciudadana mediante una encuesta de satisfacción respecto de los contenidos publicados, presenta resultados en formato CSV.</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Brindar a las personas una herramienta de fácil acceso que permitiera la consulta y geolocalización de los órganos jurisdiccionales y unidades administrativas del Poder Judicial del Estado de México, además de dar información estadística.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3">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atender la demanda de solicitudes de información referente a estadísticas del Poder Judicial.</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tl w:val="0"/>
              </w:rPr>
            </w:r>
          </w:p>
        </w:tc>
      </w:tr>
      <w:tr>
        <w:trPr>
          <w:cantSplit w:val="0"/>
          <w:trHeight w:val="992.41430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6">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Mejorar el acceso a trámites o servicios.</w:t>
            </w:r>
          </w:p>
          <w:p w:rsidR="00000000" w:rsidDel="00000000" w:rsidP="00000000" w:rsidRDefault="00000000" w:rsidRPr="00000000" w14:paraId="00000027">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Acceso rápido y sencillo a variables estadísticas de interés, en los distintos niveles de desagregación.</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en el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C">
            <w:pPr>
              <w:spacing w:after="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Si, cuenta con contador de visitas.</w:t>
            </w:r>
            <w:r w:rsidDel="00000000" w:rsidR="00000000" w:rsidRPr="00000000">
              <w:rPr>
                <w:rtl w:val="0"/>
              </w:rPr>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D">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Innovación: </w:t>
            </w:r>
          </w:p>
          <w:p w:rsidR="00000000" w:rsidDel="00000000" w:rsidP="00000000" w:rsidRDefault="00000000" w:rsidRPr="00000000" w14:paraId="0000002E">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espacio cuenta con unas mejoras y actualizaciones en el Personal Jurisdiccional, Población, Número de sentencias, promociones, exhortos, amparos y convenios, además se pueden identificar la localización de los Órganos Jurisdiccionales y Unidades Administrativas, así mismo permite la búsqueda por palabras clave y por último se implementó un menú para personas con debilidad visual,el cual permite cambiar el contraste, color de pagina, aumentar o disminuir el tamaño.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F">
            <w:pPr>
              <w:widowControl w:val="0"/>
              <w:spacing w:after="0" w:line="276"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39465" cy="1605347"/>
                  <wp:effectExtent b="0" l="0" r="0" t="0"/>
                  <wp:docPr id="32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339465" cy="1605347"/>
                          </a:xfrm>
                          <a:prstGeom prst="rect"/>
                          <a:ln/>
                        </pic:spPr>
                      </pic:pic>
                    </a:graphicData>
                  </a:graphic>
                </wp:inline>
              </w:drawing>
            </w:r>
            <w:r w:rsidDel="00000000" w:rsidR="00000000" w:rsidRPr="00000000">
              <w:rPr>
                <w:rtl w:val="0"/>
              </w:rPr>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30">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31">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33">
      <w:pPr>
        <w:spacing w:after="0" w:line="240" w:lineRule="auto"/>
        <w:ind w:left="-708" w:firstLine="0"/>
        <w:jc w:val="center"/>
        <w:rPr>
          <w:rFonts w:ascii="Arial" w:cs="Arial" w:eastAsia="Arial" w:hAnsi="Arial"/>
          <w:b w:val="1"/>
          <w:sz w:val="24"/>
          <w:szCs w:val="24"/>
        </w:rPr>
      </w:pPr>
      <w:bookmarkStart w:colFirst="0" w:colLast="0" w:name="_heading=h.57j57ri8u14" w:id="1"/>
      <w:bookmarkEnd w:id="1"/>
      <w:r w:rsidDel="00000000" w:rsidR="00000000" w:rsidRPr="00000000">
        <w:rPr>
          <w:rtl w:val="0"/>
        </w:rPr>
      </w:r>
    </w:p>
    <w:p w:rsidR="00000000" w:rsidDel="00000000" w:rsidP="00000000" w:rsidRDefault="00000000" w:rsidRPr="00000000" w14:paraId="00000034">
      <w:pPr>
        <w:spacing w:after="0" w:line="240" w:lineRule="auto"/>
        <w:ind w:left="-708" w:firstLine="0"/>
        <w:jc w:val="left"/>
        <w:rPr>
          <w:rFonts w:ascii="Arial" w:cs="Arial" w:eastAsia="Arial" w:hAnsi="Arial"/>
          <w:b w:val="1"/>
          <w:sz w:val="24"/>
          <w:szCs w:val="24"/>
        </w:rPr>
      </w:pPr>
      <w:bookmarkStart w:colFirst="0" w:colLast="0" w:name="_heading=h.aazoz2wnm6j8" w:id="2"/>
      <w:bookmarkEnd w:id="2"/>
      <w:r w:rsidDel="00000000" w:rsidR="00000000" w:rsidRPr="00000000">
        <w:rPr>
          <w:rtl w:val="0"/>
        </w:rPr>
      </w:r>
    </w:p>
    <w:p w:rsidR="00000000" w:rsidDel="00000000" w:rsidP="00000000" w:rsidRDefault="00000000" w:rsidRPr="00000000" w14:paraId="00000035">
      <w:pPr>
        <w:spacing w:after="0" w:line="240" w:lineRule="auto"/>
        <w:ind w:left="-708" w:firstLine="0"/>
        <w:jc w:val="left"/>
        <w:rPr>
          <w:rFonts w:ascii="Arial" w:cs="Arial" w:eastAsia="Arial" w:hAnsi="Arial"/>
          <w:b w:val="1"/>
          <w:sz w:val="24"/>
          <w:szCs w:val="24"/>
        </w:rPr>
      </w:pPr>
      <w:bookmarkStart w:colFirst="0" w:colLast="0" w:name="_heading=h.vrg6mhny8chv" w:id="3"/>
      <w:bookmarkEnd w:id="3"/>
      <w:r w:rsidDel="00000000" w:rsidR="00000000" w:rsidRPr="00000000">
        <w:rPr>
          <w:rtl w:val="0"/>
        </w:rPr>
      </w:r>
    </w:p>
    <w:p w:rsidR="00000000" w:rsidDel="00000000" w:rsidP="00000000" w:rsidRDefault="00000000" w:rsidRPr="00000000" w14:paraId="00000036">
      <w:pPr>
        <w:spacing w:after="0" w:line="240" w:lineRule="auto"/>
        <w:ind w:left="-708" w:firstLine="0"/>
        <w:jc w:val="left"/>
        <w:rPr>
          <w:rFonts w:ascii="Arial" w:cs="Arial" w:eastAsia="Arial" w:hAnsi="Arial"/>
          <w:b w:val="1"/>
          <w:sz w:val="24"/>
          <w:szCs w:val="24"/>
        </w:rPr>
      </w:pPr>
      <w:bookmarkStart w:colFirst="0" w:colLast="0" w:name="_heading=h.3537v64oe3fe" w:id="4"/>
      <w:bookmarkEnd w:id="4"/>
      <w:r w:rsidDel="00000000" w:rsidR="00000000" w:rsidRPr="00000000">
        <w:rPr>
          <w:rtl w:val="0"/>
        </w:rPr>
      </w:r>
    </w:p>
    <w:p w:rsidR="00000000" w:rsidDel="00000000" w:rsidP="00000000" w:rsidRDefault="00000000" w:rsidRPr="00000000" w14:paraId="00000037">
      <w:pPr>
        <w:spacing w:after="0" w:line="240" w:lineRule="auto"/>
        <w:ind w:left="-708" w:firstLine="0"/>
        <w:jc w:val="left"/>
        <w:rPr>
          <w:rFonts w:ascii="Arial" w:cs="Arial" w:eastAsia="Arial" w:hAnsi="Arial"/>
          <w:b w:val="1"/>
          <w:sz w:val="24"/>
          <w:szCs w:val="24"/>
        </w:rPr>
      </w:pPr>
      <w:bookmarkStart w:colFirst="0" w:colLast="0" w:name="_heading=h.1bqewi3txb43" w:id="5"/>
      <w:bookmarkEnd w:id="5"/>
      <w:r w:rsidDel="00000000" w:rsidR="00000000" w:rsidRPr="00000000">
        <w:rPr>
          <w:rtl w:val="0"/>
        </w:rPr>
      </w:r>
    </w:p>
    <w:p w:rsidR="00000000" w:rsidDel="00000000" w:rsidP="00000000" w:rsidRDefault="00000000" w:rsidRPr="00000000" w14:paraId="00000038">
      <w:pPr>
        <w:spacing w:after="0" w:line="240" w:lineRule="auto"/>
        <w:ind w:left="-708" w:firstLine="0"/>
        <w:jc w:val="left"/>
        <w:rPr>
          <w:rFonts w:ascii="Arial" w:cs="Arial" w:eastAsia="Arial" w:hAnsi="Arial"/>
          <w:b w:val="1"/>
          <w:sz w:val="24"/>
          <w:szCs w:val="24"/>
        </w:rPr>
      </w:pPr>
      <w:bookmarkStart w:colFirst="0" w:colLast="0" w:name="_heading=h.ac9q50owkf6s" w:id="6"/>
      <w:bookmarkEnd w:id="6"/>
      <w:r w:rsidDel="00000000" w:rsidR="00000000" w:rsidRPr="00000000">
        <w:rPr>
          <w:rtl w:val="0"/>
        </w:rPr>
      </w:r>
    </w:p>
    <w:p w:rsidR="00000000" w:rsidDel="00000000" w:rsidP="00000000" w:rsidRDefault="00000000" w:rsidRPr="00000000" w14:paraId="00000039">
      <w:pPr>
        <w:spacing w:after="0" w:line="240" w:lineRule="auto"/>
        <w:ind w:left="-708" w:firstLine="0"/>
        <w:jc w:val="left"/>
        <w:rPr>
          <w:rFonts w:ascii="Arial" w:cs="Arial" w:eastAsia="Arial" w:hAnsi="Arial"/>
          <w:b w:val="1"/>
          <w:sz w:val="24"/>
          <w:szCs w:val="24"/>
        </w:rPr>
      </w:pPr>
      <w:bookmarkStart w:colFirst="0" w:colLast="0" w:name="_heading=h.sgj308aq0cur" w:id="7"/>
      <w:bookmarkEnd w:id="7"/>
      <w:r w:rsidDel="00000000" w:rsidR="00000000" w:rsidRPr="00000000">
        <w:rPr>
          <w:rtl w:val="0"/>
        </w:rPr>
      </w:r>
    </w:p>
    <w:p w:rsidR="00000000" w:rsidDel="00000000" w:rsidP="00000000" w:rsidRDefault="00000000" w:rsidRPr="00000000" w14:paraId="0000003A">
      <w:pPr>
        <w:spacing w:after="0" w:line="240" w:lineRule="auto"/>
        <w:ind w:left="-708" w:firstLine="0"/>
        <w:jc w:val="left"/>
        <w:rPr>
          <w:rFonts w:ascii="Arial" w:cs="Arial" w:eastAsia="Arial" w:hAnsi="Arial"/>
          <w:b w:val="1"/>
          <w:sz w:val="24"/>
          <w:szCs w:val="24"/>
        </w:rPr>
      </w:pPr>
      <w:bookmarkStart w:colFirst="0" w:colLast="0" w:name="_heading=h.53y6i0nr2ydo" w:id="8"/>
      <w:bookmarkEnd w:id="8"/>
      <w:r w:rsidDel="00000000" w:rsidR="00000000" w:rsidRPr="00000000">
        <w:rPr>
          <w:rtl w:val="0"/>
        </w:rPr>
      </w:r>
    </w:p>
    <w:p w:rsidR="00000000" w:rsidDel="00000000" w:rsidP="00000000" w:rsidRDefault="00000000" w:rsidRPr="00000000" w14:paraId="0000003B">
      <w:pPr>
        <w:spacing w:after="0" w:line="240" w:lineRule="auto"/>
        <w:ind w:left="-708" w:firstLine="0"/>
        <w:jc w:val="left"/>
        <w:rPr>
          <w:rFonts w:ascii="Arial" w:cs="Arial" w:eastAsia="Arial" w:hAnsi="Arial"/>
          <w:b w:val="1"/>
          <w:sz w:val="24"/>
          <w:szCs w:val="24"/>
        </w:rPr>
      </w:pPr>
      <w:bookmarkStart w:colFirst="0" w:colLast="0" w:name="_heading=h.czc8ajzid5a0" w:id="9"/>
      <w:bookmarkEnd w:id="9"/>
      <w:r w:rsidDel="00000000" w:rsidR="00000000" w:rsidRPr="00000000">
        <w:rPr>
          <w:rtl w:val="0"/>
        </w:rPr>
      </w:r>
    </w:p>
    <w:p w:rsidR="00000000" w:rsidDel="00000000" w:rsidP="00000000" w:rsidRDefault="00000000" w:rsidRPr="00000000" w14:paraId="0000003C">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10"/>
      <w:bookmarkEnd w:id="10"/>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085.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1545"/>
            <w:gridCol w:w="3030"/>
            <w:gridCol w:w="5130"/>
            <w:tblGridChange w:id="0">
              <w:tblGrid>
                <w:gridCol w:w="4380"/>
                <w:gridCol w:w="1545"/>
                <w:gridCol w:w="3030"/>
                <w:gridCol w:w="513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77402" cy="1718345"/>
                      <wp:effectExtent b="0" l="0" r="0" t="0"/>
                      <wp:docPr id="327"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077402" cy="1718345"/>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24150" cy="558800"/>
                      <wp:effectExtent b="0" l="0" r="0" t="0"/>
                      <wp:docPr id="33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72415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24150" cy="1727200"/>
                      <wp:effectExtent b="0" l="0" r="0" t="0"/>
                      <wp:docPr id="32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724150" cy="1727200"/>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Ayuda a la toma de decisiones de las personas usuarias.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86977" cy="2008163"/>
                      <wp:effectExtent b="0" l="0" r="0" t="0"/>
                      <wp:docPr id="33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486977" cy="2008163"/>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la normatividad.</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10802" cy="1230378"/>
                      <wp:effectExtent b="0" l="0" r="0" t="0"/>
                      <wp:docPr id="33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610802" cy="123037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relacionado con la normatividad vigente.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en el sitio con la brindada en oficinas centrales.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753552" cy="1176077"/>
                      <wp:effectExtent b="0" l="0" r="0" t="0"/>
                      <wp:docPr id="33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753552" cy="1176077"/>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Mantiene información actualizada.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06052" cy="964226"/>
                      <wp:effectExtent b="0" l="0" r="0" t="0"/>
                      <wp:docPr id="33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706052" cy="964226"/>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estadística en formato CSV.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48852" cy="1355806"/>
                      <wp:effectExtent b="0" l="0" r="0" t="0"/>
                      <wp:docPr id="33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248852" cy="1355806"/>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49136" cy="988048"/>
                      <wp:effectExtent b="0" l="0" r="0" t="0"/>
                      <wp:docPr id="335" name="image12.png"/>
                      <a:graphic>
                        <a:graphicData uri="http://schemas.openxmlformats.org/drawingml/2006/picture">
                          <pic:pic>
                            <pic:nvPicPr>
                              <pic:cNvPr id="0" name="image12.png"/>
                              <pic:cNvPicPr preferRelativeResize="0"/>
                            </pic:nvPicPr>
                            <pic:blipFill>
                              <a:blip r:embed="rId18"/>
                              <a:srcRect b="0" l="0" r="14702" t="0"/>
                              <a:stretch>
                                <a:fillRect/>
                              </a:stretch>
                            </pic:blipFill>
                            <pic:spPr>
                              <a:xfrm>
                                <a:off x="0" y="0"/>
                                <a:ext cx="3049136" cy="988048"/>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la afluencia de visualizaciones.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59554" cy="1100748"/>
                      <wp:effectExtent b="0" l="0" r="0" t="0"/>
                      <wp:docPr id="336"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3159554" cy="110074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4">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15577" cy="1046875"/>
                      <wp:effectExtent b="0" l="0" r="0" t="0"/>
                      <wp:docPr id="33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715577" cy="1046875"/>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Les permite  realizar mejoras.</w:t>
                </w:r>
              </w:p>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77502" cy="1017048"/>
                      <wp:effectExtent b="0" l="0" r="0" t="0"/>
                      <wp:docPr id="339"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877502" cy="1017048"/>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 mejorado el acceso a trámites y servicios.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4700" cy="927100"/>
                      <wp:effectExtent b="0" l="0" r="0" t="0"/>
                      <wp:docPr id="340"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331470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AF">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w:t>
                </w:r>
              </w:p>
              <w:p w:rsidR="00000000" w:rsidDel="00000000" w:rsidP="00000000" w:rsidRDefault="00000000" w:rsidRPr="00000000" w14:paraId="000000B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folletos, carteles, radio, televisión, difusión en la página institucional.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spacing w:line="276" w:lineRule="auto"/>
                  <w:rPr>
                    <w:rFonts w:ascii="Palatino Linotype" w:cs="Palatino Linotype" w:eastAsia="Palatino Linotype" w:hAnsi="Palatino Linotype"/>
                  </w:rPr>
                </w:pPr>
                <w:r w:rsidDel="00000000" w:rsidR="00000000" w:rsidRPr="00000000">
                  <w:rPr>
                    <w:rFonts w:ascii="Arial" w:cs="Arial" w:eastAsia="Arial" w:hAnsi="Arial"/>
                  </w:rPr>
                  <w:drawing>
                    <wp:inline distB="114300" distT="114300" distL="114300" distR="114300">
                      <wp:extent cx="1439228" cy="1918151"/>
                      <wp:effectExtent b="0" l="0" r="0" t="0"/>
                      <wp:docPr id="341"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439228" cy="1918151"/>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677353" cy="1260281"/>
                      <wp:effectExtent b="0" l="0" r="0" t="0"/>
                      <wp:docPr id="342"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1677353" cy="1260281"/>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B9">
      <w:pPr>
        <w:spacing w:after="240" w:line="276" w:lineRule="auto"/>
        <w:ind w:left="-708" w:firstLine="0"/>
        <w:rPr>
          <w:rFonts w:ascii="Palatino Linotype" w:cs="Palatino Linotype" w:eastAsia="Palatino Linotype" w:hAnsi="Palatino Linotype"/>
          <w:b w:val="1"/>
        </w:rPr>
      </w:pPr>
      <w:bookmarkStart w:colFirst="0" w:colLast="0" w:name="_heading=h.uye03zr0ncmu" w:id="11"/>
      <w:bookmarkEnd w:id="11"/>
      <w:r w:rsidDel="00000000" w:rsidR="00000000" w:rsidRPr="00000000">
        <w:rPr>
          <w:rtl w:val="0"/>
        </w:rPr>
      </w:r>
    </w:p>
    <w:p w:rsidR="00000000" w:rsidDel="00000000" w:rsidP="00000000" w:rsidRDefault="00000000" w:rsidRPr="00000000" w14:paraId="000000BA">
      <w:pPr>
        <w:spacing w:after="0" w:line="240" w:lineRule="auto"/>
        <w:ind w:left="-708" w:firstLine="0"/>
        <w:jc w:val="center"/>
        <w:rPr>
          <w:rFonts w:ascii="Arial" w:cs="Arial" w:eastAsia="Arial" w:hAnsi="Arial"/>
          <w:b w:val="1"/>
          <w:sz w:val="24"/>
          <w:szCs w:val="24"/>
        </w:rPr>
      </w:pPr>
      <w:bookmarkStart w:colFirst="0" w:colLast="0" w:name="_heading=h.17fd6lxr0aex" w:id="12"/>
      <w:bookmarkEnd w:id="12"/>
      <w:r w:rsidDel="00000000" w:rsidR="00000000" w:rsidRPr="00000000">
        <w:rPr>
          <w:rtl w:val="0"/>
        </w:rPr>
      </w:r>
    </w:p>
    <w:p w:rsidR="00000000" w:rsidDel="00000000" w:rsidP="00000000" w:rsidRDefault="00000000" w:rsidRPr="00000000" w14:paraId="000000BB">
      <w:pPr>
        <w:jc w:val="both"/>
        <w:rPr>
          <w:rFonts w:ascii="Arial" w:cs="Arial" w:eastAsia="Arial" w:hAnsi="Arial"/>
        </w:rPr>
      </w:pPr>
      <w:bookmarkStart w:colFirst="0" w:colLast="0" w:name="_heading=h.1fob9te" w:id="13"/>
      <w:bookmarkEnd w:id="13"/>
      <w:r w:rsidDel="00000000" w:rsidR="00000000" w:rsidRPr="00000000">
        <w:rPr>
          <w:rtl w:val="0"/>
        </w:rPr>
      </w:r>
    </w:p>
    <w:p w:rsidR="00000000" w:rsidDel="00000000" w:rsidP="00000000" w:rsidRDefault="00000000" w:rsidRPr="00000000" w14:paraId="000000BC">
      <w:pPr>
        <w:jc w:val="both"/>
        <w:rPr>
          <w:rFonts w:ascii="Arial" w:cs="Arial" w:eastAsia="Arial" w:hAnsi="Arial"/>
        </w:rPr>
      </w:pPr>
      <w:r w:rsidDel="00000000" w:rsidR="00000000" w:rsidRPr="00000000">
        <w:rPr>
          <w:rtl w:val="0"/>
        </w:rPr>
      </w:r>
    </w:p>
    <w:sectPr>
      <w:headerReference r:id="rId25" w:type="default"/>
      <w:footerReference r:id="rId26"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43"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57"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-1027745</wp:posOffset>
          </wp:positionH>
          <wp:positionV relativeFrom="paragraph">
            <wp:posOffset>-85723</wp:posOffset>
          </wp:positionV>
          <wp:extent cx="10010775" cy="7663498"/>
          <wp:effectExtent b="0" l="0" r="0" t="0"/>
          <wp:wrapNone/>
          <wp:docPr descr="Imagen que contiene Gráfico de superficie&#10;&#10;Descripción generada automáticamente" id="344" name="image2.png"/>
          <a:graphic>
            <a:graphicData uri="http://schemas.openxmlformats.org/drawingml/2006/picture">
              <pic:pic>
                <pic:nvPicPr>
                  <pic:cNvPr descr="Imagen que contiene Gráfico de superficie&#10;&#10;Descripción generada automáticamente" id="0" name="image2.png"/>
                  <pic:cNvPicPr preferRelativeResize="0"/>
                </pic:nvPicPr>
                <pic:blipFill>
                  <a:blip r:embed="rId2"/>
                  <a:srcRect b="0" l="0" r="0" t="0"/>
                  <a:stretch>
                    <a:fillRect/>
                  </a:stretch>
                </pic:blipFill>
                <pic:spPr>
                  <a:xfrm>
                    <a:off x="0" y="0"/>
                    <a:ext cx="10010775" cy="766349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7.png"/><Relationship Id="rId21" Type="http://schemas.openxmlformats.org/officeDocument/2006/relationships/image" Target="media/image15.png"/><Relationship Id="rId24" Type="http://schemas.openxmlformats.org/officeDocument/2006/relationships/image" Target="media/image19.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png"/><Relationship Id="rId8" Type="http://schemas.openxmlformats.org/officeDocument/2006/relationships/hyperlink" Target="https://infoestadisticapj.pjedomex.gob.mx/geoestadistica/Reporte/index2.html" TargetMode="External"/><Relationship Id="rId11" Type="http://schemas.openxmlformats.org/officeDocument/2006/relationships/image" Target="media/image7.png"/><Relationship Id="rId10" Type="http://schemas.openxmlformats.org/officeDocument/2006/relationships/image" Target="media/image13.png"/><Relationship Id="rId13" Type="http://schemas.openxmlformats.org/officeDocument/2006/relationships/image" Target="media/image10.png"/><Relationship Id="rId12"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11.png"/><Relationship Id="rId17" Type="http://schemas.openxmlformats.org/officeDocument/2006/relationships/image" Target="media/image3.png"/><Relationship Id="rId16" Type="http://schemas.openxmlformats.org/officeDocument/2006/relationships/image" Target="media/image5.png"/><Relationship Id="rId19" Type="http://schemas.openxmlformats.org/officeDocument/2006/relationships/image" Target="media/image18.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HvDY99XnghL2fOWBRn8GaQG0bQ==">CgMxLjAaHwoBMBIaChgICVIUChJ0YWJsZS45c2NwcG02ZWhmYW0yCWguMzBqMHpsbDINaC41N2o1N3JpOHUxNDIOaC5hYXpvejJ3bm02ajgyDmgudnJnNm1obnk4Y2h2Mg5oLjM1Mzd2NjRvZTNmZTIOaC4xYnFld2kzdHhiNDMyDmguYWM5cTUwb3drZjZzMg5oLnNnajMwOGFxMGN1cjIOaC41M3k2aTBucjJ5ZG8yDmguY3pjOGFqemlkNWEwMg5oLnkyZmRuYm9mdGgyOTIOaC51eWUwM3pyMG5jbXUyDmguMTdmZDZseHIwYWV4MgloLjFmb2I5dGU4AHIhMVF6bmdILWtLTGZQZ3pna3pJaEFleDRnZkNOVXh0ZGU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