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335"/>
        <w:gridCol w:w="4740"/>
        <w:tblGridChange w:id="0">
          <w:tblGrid>
            <w:gridCol w:w="4950"/>
            <w:gridCol w:w="4335"/>
            <w:gridCol w:w="4740"/>
          </w:tblGrid>
        </w:tblGridChange>
      </w:tblGrid>
      <w:tr>
        <w:trPr>
          <w:cantSplit w:val="0"/>
          <w:trHeight w:val="496"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Pr>
              <w:drawing>
                <wp:inline distB="114300" distT="114300" distL="114300" distR="114300">
                  <wp:extent cx="2952750" cy="1804894"/>
                  <wp:effectExtent b="0" l="0" r="0" t="0"/>
                  <wp:docPr id="324" name="image16.png"/>
                  <a:graphic>
                    <a:graphicData uri="http://schemas.openxmlformats.org/drawingml/2006/picture">
                      <pic:pic>
                        <pic:nvPicPr>
                          <pic:cNvPr id="0" name="image16.png"/>
                          <pic:cNvPicPr preferRelativeResize="0"/>
                        </pic:nvPicPr>
                        <pic:blipFill>
                          <a:blip r:embed="rId7"/>
                          <a:srcRect b="9224" l="0" r="2025" t="8832"/>
                          <a:stretch>
                            <a:fillRect/>
                          </a:stretch>
                        </pic:blipFill>
                        <pic:spPr>
                          <a:xfrm>
                            <a:off x="0" y="0"/>
                            <a:ext cx="2952750" cy="1804894"/>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“Micrositio del Centro Estatal de Mediación, Conciliación y de Justicia Restaurativa”</w:t>
            </w:r>
          </w:p>
        </w:tc>
      </w:tr>
      <w:tr>
        <w:trPr>
          <w:cantSplit w:val="0"/>
          <w:trHeight w:val="544"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8">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Superior de Justicia del Estado de México</w:t>
            </w:r>
          </w:p>
        </w:tc>
      </w:tr>
      <w:tr>
        <w:trPr>
          <w:cantSplit w:val="0"/>
          <w:trHeight w:val="276"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C">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Centro Estatal de Mediación, Conciliación y de Justicia Restaurativa</w:t>
            </w:r>
          </w:p>
        </w:tc>
      </w:tr>
      <w:tr>
        <w:trPr>
          <w:cantSplit w:val="0"/>
          <w:trHeight w:val="64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0">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https://centromediacion.pjedomex.gob.mx/conciliacion/vista/index.php</w:t>
              </w:r>
            </w:hyperlink>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2019 y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8">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donde proporciona información acerca de los Mecanismos Alternativos de Solución de Conflictos (MASC), como: servicios que ofrece, convocatorias, noticias relevantes, tipo de conflictos que atienden, directorio de los centros de mediación, tiene un apartado de los convenios en versión publica, además un centro virtual para atender a los usuarios en tiempo real, en un lenguaje claro y sencillo, mediante infografías y videos, así como traducciones en lenguas originarias. Además cuenta con un contador de visitas y anima la participación ciudadana mediante un apartado de evaluación de la misma. </w:t>
            </w:r>
          </w:p>
        </w:tc>
      </w:tr>
      <w:tr>
        <w:trPr>
          <w:cantSplit w:val="0"/>
          <w:trHeight w:val="1469.33703613281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Difundir los mecanismos alternativos de solución de controversias, informando a los justiciables otras vías de resolución de controversias del Centro Estatal de Mediación, Conciliación y de Justicia Restaurativa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de difundir e informar a la población sobre los los Mecanismos Alternativos de Solución de Conflictos que se llevan a cabo, para que puedan acceder a los procesos de mediación y conciliación.</w:t>
            </w:r>
          </w:p>
        </w:tc>
      </w:tr>
      <w:tr>
        <w:trPr>
          <w:cantSplit w:val="0"/>
          <w:trHeight w:val="1180.607666015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1">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Disminuir la asimetría de la información informando a la sociedad sobre Mecanismos Alternativos de Solución de Controversias.</w:t>
            </w:r>
          </w:p>
          <w:p w:rsidR="00000000" w:rsidDel="00000000" w:rsidP="00000000" w:rsidRDefault="00000000" w:rsidRPr="00000000" w14:paraId="00000022">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Promover la accesibilidad y la confianza de los Medios Alternos de Solución de Conflictos, así como el acceso de los mecanismos alternativos de solución de conflictos.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B">
      <w:pPr>
        <w:spacing w:after="0" w:line="240" w:lineRule="auto"/>
        <w:ind w:left="-708" w:firstLine="0"/>
        <w:jc w:val="center"/>
        <w:rPr>
          <w:rFonts w:ascii="Palatino Linotype" w:cs="Palatino Linotype" w:eastAsia="Palatino Linotype" w:hAnsi="Palatino Linotype"/>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C">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20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1320"/>
            <w:gridCol w:w="3300"/>
            <w:gridCol w:w="5025"/>
            <w:tblGridChange w:id="0">
              <w:tblGrid>
                <w:gridCol w:w="4560"/>
                <w:gridCol w:w="1320"/>
                <w:gridCol w:w="3300"/>
                <w:gridCol w:w="502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315527" cy="1071264"/>
                      <wp:effectExtent b="0" l="0" r="0" t="0"/>
                      <wp:docPr id="32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315527" cy="1071264"/>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81325" cy="482600"/>
                      <wp:effectExtent b="0" l="0" r="0" t="0"/>
                      <wp:docPr id="31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8132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58402" cy="1610677"/>
                      <wp:effectExtent b="0" l="0" r="0" t="0"/>
                      <wp:docPr id="31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458402" cy="1610677"/>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 al conocer los centros de mediación y conciliación.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06027" cy="1893923"/>
                      <wp:effectExtent b="0" l="0" r="0" t="0"/>
                      <wp:docPr id="323"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2506027" cy="189392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otras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39377" cy="2768313"/>
                      <wp:effectExtent b="0" l="0" r="0" t="0"/>
                      <wp:docPr id="31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639377" cy="276831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39402" cy="2023482"/>
                      <wp:effectExtent b="0" l="0" r="0" t="0"/>
                      <wp:docPr id="31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839402" cy="2023482"/>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Mantiene información actualizada.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7525" cy="2349500"/>
                      <wp:effectExtent b="0" l="0" r="0" t="0"/>
                      <wp:docPr id="31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057525"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conceptos sobre el tema de justicia cívica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49040" cy="1837800"/>
                      <wp:effectExtent b="0" l="0" r="0" t="0"/>
                      <wp:docPr id="314"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3149040" cy="18378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01252" cy="579613"/>
                      <wp:effectExtent b="0" l="0" r="0" t="0"/>
                      <wp:docPr id="30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401252" cy="579613"/>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el alcance de los interesados.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9099" cy="1762307"/>
                      <wp:effectExtent b="0" l="0" r="0" t="0"/>
                      <wp:docPr id="32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059099" cy="176230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05977" cy="1579483"/>
                      <wp:effectExtent b="0" l="0" r="0" t="0"/>
                      <wp:docPr id="32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105977" cy="1579483"/>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mejoras.</w:t>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42094" cy="2008023"/>
                      <wp:effectExtent b="0" l="0" r="0" t="0"/>
                      <wp:docPr id="31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042094" cy="200802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Disminuir la asimetría de la información informando a la sociedad sobre Mecanismos Alternativos de Solución de Controversias y Promover la confianza de los justiciables al dar a conocer los convenios relevantes.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81325" cy="1032510"/>
                      <wp:effectExtent b="0" l="0" r="0" t="0"/>
                      <wp:docPr id="318" name="image5.png"/>
                      <a:graphic>
                        <a:graphicData uri="http://schemas.openxmlformats.org/drawingml/2006/picture">
                          <pic:pic>
                            <pic:nvPicPr>
                              <pic:cNvPr id="0" name="image5.png"/>
                              <pic:cNvPicPr preferRelativeResize="0"/>
                            </pic:nvPicPr>
                            <pic:blipFill>
                              <a:blip r:embed="rId21"/>
                              <a:srcRect b="70463" l="0" r="0" t="0"/>
                              <a:stretch>
                                <a:fillRect/>
                              </a:stretch>
                            </pic:blipFill>
                            <pic:spPr>
                              <a:xfrm>
                                <a:off x="0" y="0"/>
                                <a:ext cx="2981325" cy="1032510"/>
                              </a:xfrm>
                              <a:prstGeom prst="rect"/>
                              <a:ln/>
                            </pic:spPr>
                          </pic:pic>
                        </a:graphicData>
                      </a:graphic>
                    </wp:inline>
                  </w:drawing>
                </w:r>
                <w:r w:rsidDel="00000000" w:rsidR="00000000" w:rsidRPr="00000000">
                  <w:rPr>
                    <w:rFonts w:ascii="Palatino Linotype" w:cs="Palatino Linotype" w:eastAsia="Palatino Linotype" w:hAnsi="Palatino Linotype"/>
                  </w:rPr>
                  <w:drawing>
                    <wp:inline distB="114300" distT="114300" distL="114300" distR="114300">
                      <wp:extent cx="2929890" cy="1062990"/>
                      <wp:effectExtent b="0" l="0" r="0" t="0"/>
                      <wp:docPr id="315" name="image5.png"/>
                      <a:graphic>
                        <a:graphicData uri="http://schemas.openxmlformats.org/drawingml/2006/picture">
                          <pic:pic>
                            <pic:nvPicPr>
                              <pic:cNvPr id="0" name="image5.png"/>
                              <pic:cNvPicPr preferRelativeResize="0"/>
                            </pic:nvPicPr>
                            <pic:blipFill>
                              <a:blip r:embed="rId21"/>
                              <a:srcRect b="0" l="0" r="1725" t="69591"/>
                              <a:stretch>
                                <a:fillRect/>
                              </a:stretch>
                            </pic:blipFill>
                            <pic:spPr>
                              <a:xfrm>
                                <a:off x="0" y="0"/>
                                <a:ext cx="2929890" cy="106299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78016" cy="1608447"/>
                      <wp:effectExtent b="0" l="0" r="0" t="0"/>
                      <wp:docPr id="308"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978016" cy="1608447"/>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bl>
      </w:sdtContent>
    </w:sdt>
    <w:p w:rsidR="00000000" w:rsidDel="00000000" w:rsidP="00000000" w:rsidRDefault="00000000" w:rsidRPr="00000000" w14:paraId="000000A6">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7">
      <w:pPr>
        <w:spacing w:after="0" w:line="240" w:lineRule="auto"/>
        <w:ind w:left="-708" w:firstLine="0"/>
        <w:jc w:val="center"/>
        <w:rPr>
          <w:rFonts w:ascii="Palatino Linotype" w:cs="Palatino Linotype" w:eastAsia="Palatino Linotype" w:hAnsi="Palatino Linotype"/>
          <w:b w:val="1"/>
        </w:rPr>
      </w:pPr>
      <w:bookmarkStart w:colFirst="0" w:colLast="0" w:name="_heading=h.m3q4i2cv48l4" w:id="4"/>
      <w:bookmarkEnd w:id="4"/>
      <w:r w:rsidDel="00000000" w:rsidR="00000000" w:rsidRPr="00000000">
        <w:rPr>
          <w:rtl w:val="0"/>
        </w:rPr>
      </w:r>
    </w:p>
    <w:p w:rsidR="00000000" w:rsidDel="00000000" w:rsidP="00000000" w:rsidRDefault="00000000" w:rsidRPr="00000000" w14:paraId="000000A8">
      <w:pPr>
        <w:jc w:val="both"/>
        <w:rPr>
          <w:rFonts w:ascii="Arial" w:cs="Arial" w:eastAsia="Arial" w:hAnsi="Arial"/>
        </w:rPr>
      </w:pPr>
      <w:bookmarkStart w:colFirst="0" w:colLast="0" w:name="_heading=h.1fob9te" w:id="5"/>
      <w:bookmarkEnd w:id="5"/>
      <w:r w:rsidDel="00000000" w:rsidR="00000000" w:rsidRPr="00000000">
        <w:rPr>
          <w:rtl w:val="0"/>
        </w:rPr>
      </w:r>
    </w:p>
    <w:p w:rsidR="00000000" w:rsidDel="00000000" w:rsidP="00000000" w:rsidRDefault="00000000" w:rsidRPr="00000000" w14:paraId="000000A9">
      <w:pPr>
        <w:jc w:val="both"/>
        <w:rPr>
          <w:rFonts w:ascii="Arial" w:cs="Arial" w:eastAsia="Arial" w:hAnsi="Arial"/>
        </w:rPr>
      </w:pPr>
      <w:r w:rsidDel="00000000" w:rsidR="00000000" w:rsidRPr="00000000">
        <w:rPr>
          <w:rtl w:val="0"/>
        </w:rPr>
      </w:r>
    </w:p>
    <w:sectPr>
      <w:headerReference r:id="rId23" w:type="default"/>
      <w:footerReference r:id="rId2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B">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13"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58"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-933443</wp:posOffset>
          </wp:positionH>
          <wp:positionV relativeFrom="paragraph">
            <wp:posOffset>-85720</wp:posOffset>
          </wp:positionV>
          <wp:extent cx="9916478" cy="7581900"/>
          <wp:effectExtent b="0" l="0" r="0" t="0"/>
          <wp:wrapNone/>
          <wp:docPr descr="Imagen que contiene Gráfico de superficie&#10;&#10;Descripción generada automáticamente" id="307"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2"/>
                  <a:srcRect b="0" l="0" r="0" t="0"/>
                  <a:stretch>
                    <a:fillRect/>
                  </a:stretch>
                </pic:blipFill>
                <pic:spPr>
                  <a:xfrm>
                    <a:off x="0" y="0"/>
                    <a:ext cx="9916478" cy="7581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8.png"/><Relationship Id="rId22" Type="http://schemas.openxmlformats.org/officeDocument/2006/relationships/image" Target="media/image13.png"/><Relationship Id="rId10" Type="http://schemas.openxmlformats.org/officeDocument/2006/relationships/image" Target="media/image9.png"/><Relationship Id="rId21" Type="http://schemas.openxmlformats.org/officeDocument/2006/relationships/image" Target="media/image5.png"/><Relationship Id="rId13" Type="http://schemas.openxmlformats.org/officeDocument/2006/relationships/image" Target="media/image3.png"/><Relationship Id="rId24" Type="http://schemas.openxmlformats.org/officeDocument/2006/relationships/footer" Target="footer1.xml"/><Relationship Id="rId12" Type="http://schemas.openxmlformats.org/officeDocument/2006/relationships/image" Target="media/image17.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6.png"/><Relationship Id="rId8" Type="http://schemas.openxmlformats.org/officeDocument/2006/relationships/hyperlink" Target="https://centromediacion.pjedomex.gob.mx/conciliacion/vista/index.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u+JS3rEDxa3IDMXweA0GrSmZQ==">CgMxLjAaHwoBMBIaChgICVIUChJ0YWJsZS43cDJxcm1nb21xMnQyCWguMzBqMHpsbDINaC41N2o1N3JpOHUxNDIOaC55MmZkbmJvZnRoMjkyDmgudXllMDN6cjBuY211Mg5oLm0zcTRpMmN2NDhsNDIJaC4xZm9iOXRlOAByITFlYW9SaTM0OTFLVnNseXZ3aGpTQ3dhMzBzN2NhcjdzZQ==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