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4950"/>
        <w:gridCol w:w="4350"/>
        <w:gridCol w:w="4725"/>
        <w:tblGridChange w:id="0">
          <w:tblGrid>
            <w:gridCol w:w="4950"/>
            <w:gridCol w:w="4350"/>
            <w:gridCol w:w="4725"/>
          </w:tblGrid>
        </w:tblGridChange>
      </w:tblGrid>
      <w:tr>
        <w:trPr>
          <w:cantSplit w:val="0"/>
          <w:trHeight w:val="690"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spacing w:after="0" w:line="24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3">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3009900" cy="1816100"/>
                  <wp:effectExtent b="0" l="0" r="0" t="0"/>
                  <wp:docPr id="321"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3009900" cy="1816100"/>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Nombre de la práctica:</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5">
            <w:pPr>
              <w:spacing w:after="0" w:lineRule="auto"/>
              <w:ind w:left="141.7322834645671" w:firstLine="0"/>
              <w:jc w:val="center"/>
              <w:rPr>
                <w:rFonts w:ascii="Palatino Linotype" w:cs="Palatino Linotype" w:eastAsia="Palatino Linotype" w:hAnsi="Palatino Linotype"/>
              </w:rPr>
            </w:pPr>
            <w:bookmarkStart w:colFirst="0" w:colLast="0" w:name="_heading=h.3znysh7" w:id="0"/>
            <w:bookmarkEnd w:id="0"/>
            <w:r w:rsidDel="00000000" w:rsidR="00000000" w:rsidRPr="00000000">
              <w:rPr>
                <w:rFonts w:ascii="Palatino Linotype" w:cs="Palatino Linotype" w:eastAsia="Palatino Linotype" w:hAnsi="Palatino Linotype"/>
                <w:rtl w:val="0"/>
              </w:rPr>
              <w:t xml:space="preserve">“Asesoría Comisionada: justicia cercana y accesible”</w:t>
            </w:r>
          </w:p>
        </w:tc>
      </w:tr>
      <w:tr>
        <w:trPr>
          <w:cantSplit w:val="0"/>
          <w:trHeight w:val="707.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9">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Tribunal de Justicia Administrativa del Estado de México</w:t>
            </w:r>
          </w:p>
        </w:tc>
      </w:tr>
      <w:tr>
        <w:trPr>
          <w:cantSplit w:val="0"/>
          <w:trHeight w:val="707.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D">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Unidad de Información, Planeación, Programación y Evaluación</w:t>
            </w:r>
          </w:p>
        </w:tc>
      </w:tr>
      <w:tr>
        <w:trPr>
          <w:cantSplit w:val="0"/>
          <w:trHeight w:val="75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1">
            <w:pPr>
              <w:spacing w:after="0" w:lineRule="auto"/>
              <w:jc w:val="center"/>
              <w:rPr>
                <w:rFonts w:ascii="Palatino Linotype" w:cs="Palatino Linotype" w:eastAsia="Palatino Linotype" w:hAnsi="Palatino Linotype"/>
                <w:highlight w:val="white"/>
              </w:rPr>
            </w:pPr>
            <w:hyperlink r:id="rId8">
              <w:r w:rsidDel="00000000" w:rsidR="00000000" w:rsidRPr="00000000">
                <w:rPr>
                  <w:rFonts w:ascii="Palatino Linotype" w:cs="Palatino Linotype" w:eastAsia="Palatino Linotype" w:hAnsi="Palatino Linotype"/>
                  <w:color w:val="1155cc"/>
                  <w:u w:val="single"/>
                  <w:rtl w:val="0"/>
                </w:rPr>
                <w:t xml:space="preserve">https://trijaem.gob.mx/asesoria-comisionada/</w:t>
              </w:r>
            </w:hyperlink>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Estatal</w:t>
            </w:r>
            <w:r w:rsidDel="00000000" w:rsidR="00000000" w:rsidRPr="00000000">
              <w:rPr>
                <w:rtl w:val="0"/>
              </w:rPr>
            </w:r>
          </w:p>
        </w:tc>
      </w:tr>
      <w:tr>
        <w:trPr>
          <w:cantSplit w:val="0"/>
          <w:trHeight w:val="37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100</w:t>
            </w:r>
          </w:p>
        </w:tc>
      </w:tr>
    </w:tbl>
    <w:p w:rsidR="00000000" w:rsidDel="00000000" w:rsidP="00000000" w:rsidRDefault="00000000" w:rsidRPr="00000000" w14:paraId="00000019">
      <w:pPr>
        <w:spacing w:after="0" w:lineRule="auto"/>
        <w:jc w:val="left"/>
        <w:rPr>
          <w:rFonts w:ascii="Palatino Linotype" w:cs="Palatino Linotype" w:eastAsia="Palatino Linotype" w:hAnsi="Palatino Linotype"/>
          <w:b w:val="1"/>
        </w:rPr>
      </w:pPr>
      <w:bookmarkStart w:colFirst="0" w:colLast="0" w:name="_heading=h.30j0zll" w:id="1"/>
      <w:bookmarkEnd w:id="1"/>
      <w:r w:rsidDel="00000000" w:rsidR="00000000" w:rsidRPr="00000000">
        <w:rPr>
          <w:rtl w:val="0"/>
        </w:rPr>
      </w:r>
    </w:p>
    <w:tbl>
      <w:tblPr>
        <w:tblStyle w:val="Table2"/>
        <w:tblW w:w="13905.0" w:type="dxa"/>
        <w:jc w:val="left"/>
        <w:tblInd w:w="-572.0" w:type="dxa"/>
        <w:tblLayout w:type="fixed"/>
        <w:tblLook w:val="0400"/>
      </w:tblPr>
      <w:tblGrid>
        <w:gridCol w:w="6165"/>
        <w:gridCol w:w="7740"/>
        <w:tblGridChange w:id="0">
          <w:tblGrid>
            <w:gridCol w:w="6165"/>
            <w:gridCol w:w="7740"/>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un micrositio donde proporciona información que permite a la ciudadanía identificar los servicios gratuitos que ofrece el Trijaem, como asesoría y orientación jurídica, representación a personas de escasos recursos, causales de revocación, ubicación y horarios de atención de las unidades, en un lenguaje claro y sencillo mediante infografías, datos estadísticos de las asesorías realizadas. Presenta información en formato de datos abiertos TXT,  promueve la participación ciudadana mediante una encuesta de satisfacción respecto de los contenidos publicados.</w:t>
            </w:r>
          </w:p>
        </w:tc>
      </w:tr>
      <w:tr>
        <w:trPr>
          <w:cantSplit w:val="0"/>
          <w:trHeight w:val="1220.723754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p>
          <w:p w:rsidR="00000000" w:rsidDel="00000000" w:rsidP="00000000" w:rsidRDefault="00000000" w:rsidRPr="00000000" w14:paraId="0000001E">
            <w:pPr>
              <w:spacing w:after="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Proporcionar información de los servicios de asesoría, orientación y patrocinio jurídico que brindan los asesores comisionados del Tribunal de Justicia Administrativa del Estado de México.</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Surge de la necesidad de acercar a la población la información que se proporciona de los servicios gratuitos que ofrece el Trijaem, preferentemente a aquella que se encuentre en estado de vulnerabilidad y de escasos recursos.  </w:t>
            </w:r>
          </w:p>
        </w:tc>
      </w:tr>
      <w:tr>
        <w:trPr>
          <w:cantSplit w:val="0"/>
          <w:trHeight w:val="66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highlight w:val="white"/>
                <w:u w:val="none"/>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p>
          <w:p w:rsidR="00000000" w:rsidDel="00000000" w:rsidP="00000000" w:rsidRDefault="00000000" w:rsidRPr="00000000" w14:paraId="00000022">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Proporcionar asesoría jurídica y un efectivo ejercicio de rendición de cuentas. </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a través de su encuesta de satisfacción que aplican al término en el micrositio.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6">
            <w:pPr>
              <w:spacing w:after="0" w:line="24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práctica cuenta con algún registro del número de consultas realizadas a la información difundida?</w:t>
            </w:r>
            <w:r w:rsidDel="00000000" w:rsidR="00000000" w:rsidRPr="00000000">
              <w:rPr>
                <w:rtl w:val="0"/>
              </w:rPr>
            </w:r>
          </w:p>
          <w:p w:rsidR="00000000" w:rsidDel="00000000" w:rsidP="00000000" w:rsidRDefault="00000000" w:rsidRPr="00000000" w14:paraId="00000027">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cuenta con contador de visitas.</w:t>
            </w:r>
            <w:r w:rsidDel="00000000" w:rsidR="00000000" w:rsidRPr="00000000">
              <w:rPr>
                <w:rtl w:val="0"/>
              </w:rPr>
            </w:r>
          </w:p>
        </w:tc>
      </w:tr>
      <w:tr>
        <w:trPr>
          <w:cantSplit w:val="0"/>
          <w:trHeight w:val="9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8">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tl w:val="0"/>
              </w:rPr>
            </w:r>
          </w:p>
          <w:p w:rsidR="00000000" w:rsidDel="00000000" w:rsidP="00000000" w:rsidRDefault="00000000" w:rsidRPr="00000000" w14:paraId="00000029">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la participación ciudadana, los efectos positivos y los medios alternos de difusión de la información.</w:t>
            </w:r>
            <w:r w:rsidDel="00000000" w:rsidR="00000000" w:rsidRPr="00000000">
              <w:rPr>
                <w:rtl w:val="0"/>
              </w:rPr>
            </w:r>
          </w:p>
        </w:tc>
      </w:tr>
    </w:tbl>
    <w:p w:rsidR="00000000" w:rsidDel="00000000" w:rsidP="00000000" w:rsidRDefault="00000000" w:rsidRPr="00000000" w14:paraId="0000002B">
      <w:pPr>
        <w:jc w:val="both"/>
        <w:rPr>
          <w:rFonts w:ascii="Palatino Linotype" w:cs="Palatino Linotype" w:eastAsia="Palatino Linotype" w:hAnsi="Palatino Linotype"/>
        </w:rPr>
      </w:pPr>
      <w:bookmarkStart w:colFirst="0" w:colLast="0" w:name="_heading=h.3zxyr4rdy99m" w:id="2"/>
      <w:bookmarkEnd w:id="2"/>
      <w:r w:rsidDel="00000000" w:rsidR="00000000" w:rsidRPr="00000000">
        <w:rPr>
          <w:rtl w:val="0"/>
        </w:rPr>
      </w:r>
    </w:p>
    <w:p w:rsidR="00000000" w:rsidDel="00000000" w:rsidP="00000000" w:rsidRDefault="00000000" w:rsidRPr="00000000" w14:paraId="0000002C">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3"/>
      <w:bookmarkEnd w:id="3"/>
      <w:r w:rsidDel="00000000" w:rsidR="00000000" w:rsidRPr="00000000">
        <w:rPr>
          <w:rFonts w:ascii="Palatino Linotype" w:cs="Palatino Linotype" w:eastAsia="Palatino Linotype" w:hAnsi="Palatino Linotype"/>
          <w:b w:val="1"/>
          <w:rtl w:val="0"/>
        </w:rPr>
        <w:t xml:space="preserve">EVALUACIÓN</w:t>
      </w:r>
    </w:p>
    <w:sdt>
      <w:sdtPr>
        <w:lock w:val="contentLocked"/>
        <w:tag w:val="goog_rdk_0"/>
      </w:sdtPr>
      <w:sdtContent>
        <w:tbl>
          <w:tblPr>
            <w:tblStyle w:val="Table3"/>
            <w:tblW w:w="14280.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1305"/>
            <w:gridCol w:w="2805"/>
            <w:gridCol w:w="5400"/>
            <w:tblGridChange w:id="0">
              <w:tblGrid>
                <w:gridCol w:w="4770"/>
                <w:gridCol w:w="1305"/>
                <w:gridCol w:w="2805"/>
                <w:gridCol w:w="5400"/>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3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3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3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Cualquier persona puede consultarlo y se encuentra alojado en la página oficial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58502" cy="1502225"/>
                      <wp:effectExtent b="0" l="0" r="0" t="0"/>
                      <wp:docPr id="31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258502" cy="1502225"/>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3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3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3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es vigente y se ha difundido de manera reciente.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82302" cy="563239"/>
                      <wp:effectExtent b="0" l="0" r="0" t="0"/>
                      <wp:docPr id="322"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3182302" cy="563239"/>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4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contenida en el sitio web es presentada en un lenguaje sencillo y fácil de entender.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201227" cy="2093851"/>
                      <wp:effectExtent b="0" l="0" r="0" t="0"/>
                      <wp:docPr id="31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201227" cy="2093851"/>
                              </a:xfrm>
                              <a:prstGeom prst="rect"/>
                              <a:ln/>
                            </pic:spPr>
                          </pic:pic>
                        </a:graphicData>
                      </a:graphic>
                    </wp:inline>
                  </w:drawing>
                </w:r>
                <w:r w:rsidDel="00000000" w:rsidR="00000000" w:rsidRPr="00000000">
                  <w:rPr>
                    <w:rtl w:val="0"/>
                  </w:rPr>
                </w:r>
              </w:p>
            </w:tc>
          </w:tr>
          <w:tr>
            <w:trPr>
              <w:cantSplit w:val="0"/>
              <w:trHeight w:val="1307.2265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4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4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encuentra disponible en el momento en el que se requiera, para apoyar en la toma de decisiones de los usuarios.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39352" cy="1450122"/>
                      <wp:effectExtent b="0" l="0" r="0" t="0"/>
                      <wp:docPr id="312"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439352" cy="1450122"/>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5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5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52">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Está basada en la normatividad del Tribunal.</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639377" cy="1506731"/>
                      <wp:effectExtent b="0" l="0" r="0" t="0"/>
                      <wp:docPr id="314"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2639377" cy="1506731"/>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5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5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Está relacionado con la normatividad vigente .</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after="0" w:before="0" w:line="240" w:lineRule="auto"/>
                  <w:ind w:left="0" w:firstLine="0"/>
                  <w:jc w:val="both"/>
                  <w:rPr>
                    <w:rFonts w:ascii="Palatino Linotype" w:cs="Palatino Linotype" w:eastAsia="Palatino Linotype" w:hAnsi="Palatino Linotype"/>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5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constatar la información compartida con la normatividad aplicable.</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2">
                <w:pPr>
                  <w:widowControl w:val="0"/>
                  <w:spacing w:after="0" w:before="0" w:line="240" w:lineRule="auto"/>
                  <w:ind w:left="0" w:firstLine="0"/>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6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y datos del quehacer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19350" cy="1435100"/>
                      <wp:effectExtent b="0" l="0" r="0" t="0"/>
                      <wp:docPr id="31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419350" cy="1435100"/>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6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6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Presenta información de fechas recientes.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832610" cy="1390650"/>
                      <wp:effectExtent b="0" l="0" r="0" t="0"/>
                      <wp:docPr id="310" name="image9.png"/>
                      <a:graphic>
                        <a:graphicData uri="http://schemas.openxmlformats.org/drawingml/2006/picture">
                          <pic:pic>
                            <pic:nvPicPr>
                              <pic:cNvPr id="0" name="image9.png"/>
                              <pic:cNvPicPr preferRelativeResize="0"/>
                            </pic:nvPicPr>
                            <pic:blipFill>
                              <a:blip r:embed="rId15"/>
                              <a:srcRect b="14423" l="13445" r="31040" t="6195"/>
                              <a:stretch>
                                <a:fillRect/>
                              </a:stretch>
                            </pic:blipFill>
                            <pic:spPr>
                              <a:xfrm>
                                <a:off x="0" y="0"/>
                                <a:ext cx="1832610" cy="1390650"/>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información de sus servicios en formato TXT.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077527" cy="1450686"/>
                      <wp:effectExtent b="0" l="0" r="0" t="0"/>
                      <wp:docPr id="32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3077527" cy="1450686"/>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325052" cy="1346523"/>
                      <wp:effectExtent b="0" l="0" r="0" t="0"/>
                      <wp:docPr id="308"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2325052" cy="1346523"/>
                              </a:xfrm>
                              <a:prstGeom prst="rect"/>
                              <a:ln/>
                            </pic:spPr>
                          </pic:pic>
                        </a:graphicData>
                      </a:graphic>
                    </wp:inline>
                  </w:drawing>
                </w: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D">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contador de visitas refleja la utilidad e importancia del micrositio. </w:t>
                </w:r>
              </w:p>
              <w:p w:rsidR="00000000" w:rsidDel="00000000" w:rsidP="00000000" w:rsidRDefault="00000000" w:rsidRPr="00000000" w14:paraId="0000007E">
                <w:pPr>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696527" cy="1510985"/>
                      <wp:effectExtent b="0" l="0" r="0" t="0"/>
                      <wp:docPr id="316"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2696527" cy="1510985"/>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encuesta de satisfacción de la información.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842135" cy="1152525"/>
                      <wp:effectExtent b="0" l="0" r="0" t="0"/>
                      <wp:docPr id="317" name="image6.png"/>
                      <a:graphic>
                        <a:graphicData uri="http://schemas.openxmlformats.org/drawingml/2006/picture">
                          <pic:pic>
                            <pic:nvPicPr>
                              <pic:cNvPr id="0" name="image6.png"/>
                              <pic:cNvPicPr preferRelativeResize="0"/>
                            </pic:nvPicPr>
                            <pic:blipFill>
                              <a:blip r:embed="rId19"/>
                              <a:srcRect b="0" l="13081" r="31436" t="0"/>
                              <a:stretch>
                                <a:fillRect/>
                              </a:stretch>
                            </pic:blipFill>
                            <pic:spPr>
                              <a:xfrm>
                                <a:off x="0" y="0"/>
                                <a:ext cx="1842135" cy="1152525"/>
                              </a:xfrm>
                              <a:prstGeom prst="rect"/>
                              <a:ln/>
                            </pic:spPr>
                          </pic:pic>
                        </a:graphicData>
                      </a:graphic>
                    </wp:inline>
                  </w:drawing>
                </w: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B">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Les permite  realizar adecuaciones al micrositio para la mejora continua.</w:t>
                </w:r>
              </w:p>
              <w:p w:rsidR="00000000" w:rsidDel="00000000" w:rsidP="00000000" w:rsidRDefault="00000000" w:rsidRPr="00000000" w14:paraId="0000008C">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73241" cy="1713547"/>
                      <wp:effectExtent b="0" l="0" r="0" t="0"/>
                      <wp:docPr id="309"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2773241" cy="1713547"/>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rHeight w:val="1508.37890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5">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Usuarios mejor informados y un efectivo ejercicio de rendición de cuentas.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048237" cy="759268"/>
                      <wp:effectExtent b="0" l="0" r="0" t="0"/>
                      <wp:docPr id="320"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3048237" cy="759268"/>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rHeight w:val="2446.259765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difundido a través de medios impresos.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059252" cy="1355588"/>
                      <wp:effectExtent b="0" l="0" r="0" t="0"/>
                      <wp:docPr id="319"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2059252" cy="1355588"/>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A0">
      <w:pPr>
        <w:jc w:val="both"/>
        <w:rPr>
          <w:rFonts w:ascii="Arial" w:cs="Arial" w:eastAsia="Arial" w:hAnsi="Arial"/>
        </w:rPr>
      </w:pPr>
      <w:r w:rsidDel="00000000" w:rsidR="00000000" w:rsidRPr="00000000">
        <w:rPr>
          <w:rtl w:val="0"/>
        </w:rPr>
      </w:r>
    </w:p>
    <w:sectPr>
      <w:headerReference r:id="rId23" w:type="default"/>
      <w:footerReference r:id="rId24"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2">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13" name="image1.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png"/>
                  <pic:cNvPicPr preferRelativeResize="0"/>
                </pic:nvPicPr>
                <pic:blipFill>
                  <a:blip r:embed="rId1"/>
                  <a:srcRect b="25358" l="27474" r="25000" t="5795"/>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-1084896</wp:posOffset>
          </wp:positionH>
          <wp:positionV relativeFrom="paragraph">
            <wp:posOffset>-85724</wp:posOffset>
          </wp:positionV>
          <wp:extent cx="10067925" cy="7673023"/>
          <wp:effectExtent b="0" l="0" r="0" t="0"/>
          <wp:wrapNone/>
          <wp:docPr descr="Imagen que contiene Gráfico de superficie&#10;&#10;Descripción generada automáticamente" id="307" name="image4.png"/>
          <a:graphic>
            <a:graphicData uri="http://schemas.openxmlformats.org/drawingml/2006/picture">
              <pic:pic>
                <pic:nvPicPr>
                  <pic:cNvPr descr="Imagen que contiene Gráfico de superficie&#10;&#10;Descripción generada automáticamente" id="0" name="image4.png"/>
                  <pic:cNvPicPr preferRelativeResize="0"/>
                </pic:nvPicPr>
                <pic:blipFill>
                  <a:blip r:embed="rId2"/>
                  <a:srcRect b="0" l="0" r="0" t="0"/>
                  <a:stretch>
                    <a:fillRect/>
                  </a:stretch>
                </pic:blipFill>
                <pic:spPr>
                  <a:xfrm>
                    <a:off x="0" y="0"/>
                    <a:ext cx="10067925" cy="767302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5.png"/><Relationship Id="rId22" Type="http://schemas.openxmlformats.org/officeDocument/2006/relationships/image" Target="media/image17.png"/><Relationship Id="rId10" Type="http://schemas.openxmlformats.org/officeDocument/2006/relationships/image" Target="media/image12.png"/><Relationship Id="rId21" Type="http://schemas.openxmlformats.org/officeDocument/2006/relationships/image" Target="media/image11.png"/><Relationship Id="rId13" Type="http://schemas.openxmlformats.org/officeDocument/2006/relationships/image" Target="media/image15.png"/><Relationship Id="rId24" Type="http://schemas.openxmlformats.org/officeDocument/2006/relationships/footer" Target="footer1.xml"/><Relationship Id="rId12" Type="http://schemas.openxmlformats.org/officeDocument/2006/relationships/image" Target="media/image8.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9.png"/><Relationship Id="rId14" Type="http://schemas.openxmlformats.org/officeDocument/2006/relationships/image" Target="media/image3.png"/><Relationship Id="rId17" Type="http://schemas.openxmlformats.org/officeDocument/2006/relationships/image" Target="media/image14.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16.png"/><Relationship Id="rId8" Type="http://schemas.openxmlformats.org/officeDocument/2006/relationships/hyperlink" Target="https://trijaem.gob.mx/asesoria-comisionad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UdPznGhBTlTo4qHKssQVrGncug==">CgMxLjAaHwoBMBIaChgICVIUChJ0YWJsZS5rNnIwZmQ5eHpzZDYyCWguM3pueXNoNzIJaC4zMGowemxsMg5oLjN6eHlyNHJkeTk5bTIOaC55MmZkbmJvZnRoMjk4AHIhMWxFUHU5Z1lQSXN5OUZHaWRLTDczM3N6R1BEODdCNUpw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