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tbl>
      <w:tblPr>
        <w:tblStyle w:val="Table1"/>
        <w:tblW w:w="14025.0" w:type="dxa"/>
        <w:jc w:val="left"/>
        <w:tblInd w:w="-645.0" w:type="dxa"/>
        <w:tblLayout w:type="fixed"/>
        <w:tblLook w:val="0400"/>
      </w:tblPr>
      <w:tblGrid>
        <w:gridCol w:w="4950"/>
        <w:gridCol w:w="4485"/>
        <w:gridCol w:w="4590"/>
        <w:tblGridChange w:id="0">
          <w:tblGrid>
            <w:gridCol w:w="4950"/>
            <w:gridCol w:w="4485"/>
            <w:gridCol w:w="4590"/>
          </w:tblGrid>
        </w:tblGridChange>
      </w:tblGrid>
      <w:tr>
        <w:trPr>
          <w:cantSplit w:val="0"/>
          <w:trHeight w:val="672.1104736328125" w:hRule="atLeast"/>
          <w:tblHeader w:val="1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</w:rPr>
              <w:drawing>
                <wp:inline distB="114300" distT="114300" distL="114300" distR="114300">
                  <wp:extent cx="2453640" cy="1533525"/>
                  <wp:effectExtent b="0" l="0" r="0" t="0"/>
                  <wp:docPr id="323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640" cy="1533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Nombre de la práctica: </w:t>
            </w:r>
          </w:p>
          <w:p w:rsidR="00000000" w:rsidDel="00000000" w:rsidP="00000000" w:rsidRDefault="00000000" w:rsidRPr="00000000" w14:paraId="00000005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Micrositio de la Defensoría Pública Electoral</w:t>
            </w:r>
          </w:p>
        </w:tc>
      </w:tr>
      <w:tr>
        <w:trPr>
          <w:cantSplit w:val="0"/>
          <w:trHeight w:val="662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9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Tribunal Electoral del Estado de México</w:t>
            </w:r>
          </w:p>
        </w:tc>
      </w:tr>
      <w:tr>
        <w:trPr>
          <w:cantSplit w:val="0"/>
          <w:trHeight w:val="662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D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Defensoría Pública Electoral</w:t>
            </w:r>
          </w:p>
        </w:tc>
      </w:tr>
      <w:tr>
        <w:trPr>
          <w:cantSplit w:val="0"/>
          <w:trHeight w:val="642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1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  <w:b w:val="1"/>
                <w:highlight w:val="whit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b w:val="1"/>
                  <w:color w:val="1155cc"/>
                  <w:highlight w:val="white"/>
                  <w:u w:val="single"/>
                  <w:rtl w:val="0"/>
                </w:rPr>
                <w:t xml:space="preserve">https://teemmx.org.mx/defensoria/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Vigente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Alcance: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Estatal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Estado de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 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100</w:t>
            </w:r>
          </w:p>
        </w:tc>
      </w:tr>
    </w:tbl>
    <w:p w:rsidR="00000000" w:rsidDel="00000000" w:rsidP="00000000" w:rsidRDefault="00000000" w:rsidRPr="00000000" w14:paraId="00000019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3905.0" w:type="dxa"/>
        <w:jc w:val="left"/>
        <w:tblInd w:w="-572.0" w:type="dxa"/>
        <w:tblLayout w:type="fixed"/>
        <w:tblLook w:val="0400"/>
      </w:tblPr>
      <w:tblGrid>
        <w:gridCol w:w="6165"/>
        <w:gridCol w:w="7740"/>
        <w:tblGridChange w:id="0">
          <w:tblGrid>
            <w:gridCol w:w="6165"/>
            <w:gridCol w:w="7740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 un micrositio donde se  pone a disposición información acerca de la Defensoría Pública Electoral, los servicios que presta, requisitos, medios de contacto, contribuye a proteger lo derechos político electorales, publica información mediante contacto directo a través de WhatsApp, infografías, videos; se comparte información de como inicia el trámite procedente y se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otorgue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patrocinio jurídico, todo ello sin necesidad de acudir a las oficinas institucionales. Promueve la participación ciudadana mediante una encuesta de satisfacción de la información, contiene información en formato de datos abiertos TXT y como medios de difusión alternos utilizó carteles, trípticos y redes sociales.</w:t>
            </w:r>
          </w:p>
        </w:tc>
      </w:tr>
      <w:tr>
        <w:trPr>
          <w:cantSplit w:val="0"/>
          <w:trHeight w:val="1220.7237548828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Objetivo: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Dar información sobre los servicios que presta la Defensoría Pública Electoral, para la atención a personas pertenecientes a grupos sociales en situación de vulnerabilidad en formatos de datos abiertos.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Para fortalecer las acciones que lleva a cabo este órgano jurisdiccional, encaminadas a garantizar la protección de los derechos político – electorales de las personas pertenecientes a grupos sociales en situación de vulnerabilidad</w:t>
            </w:r>
          </w:p>
        </w:tc>
      </w:tr>
      <w:tr>
        <w:trPr>
          <w:cantSplit w:val="0"/>
          <w:trHeight w:val="992.4143066406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Beneficios o 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  <w:rtl w:val="0"/>
              </w:rPr>
              <w:t xml:space="preserve">fectos positivos generados a partir de la información difundida.</w:t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Disminución de la asimetría de la información</w:t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Facilitar el acceso y cobertura de los servicios que presta</w:t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Evitar traslados innecesarios de la ciudadanía a las oficinas</w:t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Reducción de la carga administrativa en los trámites de servicios que presta</w:t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Contacto inmediato con la ciudadanía</w:t>
            </w:r>
          </w:p>
        </w:tc>
      </w:tr>
      <w:tr>
        <w:trPr>
          <w:cantSplit w:val="0"/>
          <w:trHeight w:val="8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¿La práctica cuenta con mecanismos de participación ciudadana durante el proceso?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Si, a través de su encuesta de satisfacción que aplican al término en el micrositio.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A">
            <w:pPr>
              <w:spacing w:after="0" w:line="24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¿La práctica cuenta con algún registro del número de consultas realizadas a la información difundida?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Si, cuenta con contador de visitas.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Observaciones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highlight w:val="yellow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información remitida, se advierte que cuenta con los elementos suficientes para considerarse una Práctica de Transparencia Proactiva, al apreciarse los atributos de calidad de la información, la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contabilización de consultas, la participación ciudadana, los efectos positivos y los medios alternos de difusión de la información.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jc w:val="both"/>
        <w:rPr>
          <w:rFonts w:ascii="Palatino Linotype" w:cs="Palatino Linotype" w:eastAsia="Palatino Linotype" w:hAnsi="Palatino Linotype"/>
        </w:rPr>
      </w:pPr>
      <w:bookmarkStart w:colFirst="0" w:colLast="0" w:name="_heading=h.oivcii1jbwzc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rFonts w:ascii="Palatino Linotype" w:cs="Palatino Linotype" w:eastAsia="Palatino Linotype" w:hAnsi="Palatino Linotype"/>
        </w:rPr>
      </w:pPr>
      <w:bookmarkStart w:colFirst="0" w:colLast="0" w:name="_heading=h.bl430y4iek75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rFonts w:ascii="Palatino Linotype" w:cs="Palatino Linotype" w:eastAsia="Palatino Linotype" w:hAnsi="Palatino Linotype"/>
        </w:rPr>
      </w:pPr>
      <w:bookmarkStart w:colFirst="0" w:colLast="0" w:name="_heading=h.ysrpkj9jk77r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Palatino Linotype" w:cs="Palatino Linotype" w:eastAsia="Palatino Linotype" w:hAnsi="Palatino Linotype"/>
        </w:rPr>
      </w:pPr>
      <w:bookmarkStart w:colFirst="0" w:colLast="0" w:name="_heading=h.3ftn30yka5wp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rFonts w:ascii="Palatino Linotype" w:cs="Palatino Linotype" w:eastAsia="Palatino Linotype" w:hAnsi="Palatino Linotype"/>
        </w:rPr>
      </w:pPr>
      <w:bookmarkStart w:colFirst="0" w:colLast="0" w:name="_heading=h.ykaeg2ouraqc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Palatino Linotype" w:cs="Palatino Linotype" w:eastAsia="Palatino Linotype" w:hAnsi="Palatino Linotype"/>
        </w:rPr>
      </w:pPr>
      <w:bookmarkStart w:colFirst="0" w:colLast="0" w:name="_heading=h.rlk186fnr5ym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Palatino Linotype" w:cs="Palatino Linotype" w:eastAsia="Palatino Linotype" w:hAnsi="Palatino Linotype"/>
        </w:rPr>
      </w:pPr>
      <w:bookmarkStart w:colFirst="0" w:colLast="0" w:name="_heading=h.sxwg645nvysh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rFonts w:ascii="Palatino Linotype" w:cs="Palatino Linotype" w:eastAsia="Palatino Linotype" w:hAnsi="Palatino Linotype"/>
        </w:rPr>
      </w:pPr>
      <w:bookmarkStart w:colFirst="0" w:colLast="0" w:name="_heading=h.i1bqv4mr6r4v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Palatino Linotype" w:cs="Palatino Linotype" w:eastAsia="Palatino Linotype" w:hAnsi="Palatino Linotype"/>
        </w:rPr>
      </w:pPr>
      <w:bookmarkStart w:colFirst="0" w:colLast="0" w:name="_heading=h.3zxyr4rdy99m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y2fdnbofth29" w:id="10"/>
      <w:bookmarkEnd w:id="10"/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EVALUACIÓN</w:t>
      </w:r>
    </w:p>
    <w:sdt>
      <w:sdtPr>
        <w:lock w:val="contentLocked"/>
        <w:tag w:val="goog_rdk_0"/>
      </w:sdtPr>
      <w:sdtContent>
        <w:tbl>
          <w:tblPr>
            <w:tblStyle w:val="Table3"/>
            <w:tblW w:w="14130.0" w:type="dxa"/>
            <w:jc w:val="left"/>
            <w:tblInd w:w="-768.0000000000001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275"/>
            <w:gridCol w:w="1305"/>
            <w:gridCol w:w="3375"/>
            <w:gridCol w:w="5175"/>
            <w:tblGridChange w:id="0">
              <w:tblGrid>
                <w:gridCol w:w="4275"/>
                <w:gridCol w:w="1305"/>
                <w:gridCol w:w="3375"/>
                <w:gridCol w:w="5175"/>
              </w:tblGrid>
            </w:tblGridChange>
          </w:tblGrid>
          <w:tr>
            <w:trPr>
              <w:cantSplit w:val="0"/>
              <w:trHeight w:val="420" w:hRule="atLeast"/>
              <w:tblHeader w:val="0"/>
            </w:trPr>
            <w:tc>
              <w:tcPr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CRITERIOS A EVALUAR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PUNTOS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COMENTARIOS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EVIDENCIA</w:t>
                </w:r>
              </w:p>
            </w:tc>
          </w:tr>
          <w:tr>
            <w:trPr>
              <w:cantSplit w:val="0"/>
              <w:trHeight w:val="311.806640625" w:hRule="atLeast"/>
              <w:tblHeader w:val="0"/>
            </w:trPr>
            <w:tc>
              <w:tcPr>
                <w:gridSpan w:val="4"/>
                <w:tcBorders>
                  <w:bottom w:color="000000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1. Calidad de la información (0 a 4)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Accesible</w:t>
                </w:r>
              </w:p>
              <w:p w:rsidR="00000000" w:rsidDel="00000000" w:rsidP="00000000" w:rsidRDefault="00000000" w:rsidRPr="00000000" w14:paraId="0000004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esté presentada de tal manera que todas las personas puedan consultarla,</w:t>
                </w:r>
              </w:p>
              <w:p w:rsidR="00000000" w:rsidDel="00000000" w:rsidP="00000000" w:rsidRDefault="00000000" w:rsidRPr="00000000" w14:paraId="0000004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examinarla y utilizarla independientemente de sus capacidades técnicas, cognitivas o</w:t>
                </w:r>
              </w:p>
              <w:p w:rsidR="00000000" w:rsidDel="00000000" w:rsidP="00000000" w:rsidRDefault="00000000" w:rsidRPr="00000000" w14:paraId="0000004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físicas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Cualquier persona puede consultarlo y se encuentra alojado en la página oficial del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7">
                <w:pPr>
                  <w:spacing w:after="0" w:line="240" w:lineRule="auto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61298" cy="847725"/>
                      <wp:effectExtent b="0" l="0" r="0" t="0"/>
                      <wp:docPr id="312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61298" cy="8477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8">
                <w:pPr>
                  <w:spacing w:after="0" w:line="240" w:lineRule="auto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Confiable</w:t>
                </w:r>
              </w:p>
              <w:p w:rsidR="00000000" w:rsidDel="00000000" w:rsidP="00000000" w:rsidRDefault="00000000" w:rsidRPr="00000000" w14:paraId="0000004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creíble y fidedigna y que proporcione elementos y/o datos que</w:t>
                </w:r>
              </w:p>
              <w:p w:rsidR="00000000" w:rsidDel="00000000" w:rsidP="00000000" w:rsidRDefault="00000000" w:rsidRPr="00000000" w14:paraId="0000004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permiten la identificación de su origen, fecha de generación, de emisión y difusión de la</w:t>
                </w:r>
              </w:p>
              <w:p w:rsidR="00000000" w:rsidDel="00000000" w:rsidP="00000000" w:rsidRDefault="00000000" w:rsidRPr="00000000" w14:paraId="0000004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misma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es vigente y se ha difundido de manera reciente.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682240" cy="371475"/>
                      <wp:effectExtent b="0" l="0" r="0" t="0"/>
                      <wp:docPr id="31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0"/>
                              <a:srcRect b="0" l="0" r="9453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82240" cy="371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64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Comprensible</w:t>
                </w:r>
              </w:p>
              <w:p w:rsidR="00000000" w:rsidDel="00000000" w:rsidP="00000000" w:rsidRDefault="00000000" w:rsidRPr="00000000" w14:paraId="0000005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sencilla, clara y entendible para cualquier persona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contenida en el sitio web es presentada en un lenguaje sencillo y fácil de entender.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458402" cy="1334330"/>
                      <wp:effectExtent b="0" l="0" r="0" t="0"/>
                      <wp:docPr id="324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58402" cy="13343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307.22656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Oportuna</w:t>
                </w:r>
              </w:p>
              <w:p w:rsidR="00000000" w:rsidDel="00000000" w:rsidP="00000000" w:rsidRDefault="00000000" w:rsidRPr="00000000" w14:paraId="0000005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 publica a tiempo para preservar su valor y ser útil para la toma de</w:t>
                </w:r>
              </w:p>
              <w:p w:rsidR="00000000" w:rsidDel="00000000" w:rsidP="00000000" w:rsidRDefault="00000000" w:rsidRPr="00000000" w14:paraId="0000005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decisiones de las personas usuarias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encuentra disponible en el momento en el que se requiera, para apoyar en la toma de decisiones de los usuarios.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962275" cy="965200"/>
                      <wp:effectExtent b="0" l="0" r="0" t="0"/>
                      <wp:docPr id="314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62275" cy="965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Veraz</w:t>
                </w:r>
              </w:p>
              <w:p w:rsidR="00000000" w:rsidDel="00000000" w:rsidP="00000000" w:rsidRDefault="00000000" w:rsidRPr="00000000" w14:paraId="0000005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exacta, refiera o manifieste siempre la verdad respecto de lo generado,</w:t>
                </w:r>
              </w:p>
              <w:p w:rsidR="00000000" w:rsidDel="00000000" w:rsidP="00000000" w:rsidRDefault="00000000" w:rsidRPr="00000000" w14:paraId="0000005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utilizado o publicitado por el Sujeto Obligado</w:t>
                </w:r>
              </w:p>
              <w:p w:rsidR="00000000" w:rsidDel="00000000" w:rsidP="00000000" w:rsidRDefault="00000000" w:rsidRPr="00000000" w14:paraId="0000005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encuentra basado en la normatividad.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15481" cy="800506"/>
                      <wp:effectExtent b="0" l="0" r="0" t="0"/>
                      <wp:docPr id="316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15481" cy="80050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 </w:t>
                </w:r>
              </w:p>
              <w:p w:rsidR="00000000" w:rsidDel="00000000" w:rsidP="00000000" w:rsidRDefault="00000000" w:rsidRPr="00000000" w14:paraId="0000006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Congruente</w:t>
                </w:r>
              </w:p>
              <w:p w:rsidR="00000000" w:rsidDel="00000000" w:rsidP="00000000" w:rsidRDefault="00000000" w:rsidRPr="00000000" w14:paraId="0000006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mantiene relación y coherencia con otra información generada,</w:t>
                </w:r>
              </w:p>
              <w:p w:rsidR="00000000" w:rsidDel="00000000" w:rsidP="00000000" w:rsidRDefault="00000000" w:rsidRPr="00000000" w14:paraId="0000006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utilizada y/o publicada por 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Está relacionado con la normatividad vigente.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B">
                <w:pPr>
                  <w:widowControl w:val="0"/>
                  <w:spacing w:after="0" w:before="0" w:line="240" w:lineRule="auto"/>
                  <w:ind w:left="0" w:firstLine="0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Verificable</w:t>
                </w:r>
              </w:p>
              <w:p w:rsidR="00000000" w:rsidDel="00000000" w:rsidP="00000000" w:rsidRDefault="00000000" w:rsidRPr="00000000" w14:paraId="0000006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posible comprobar la veracidad de la información, así como</w:t>
                </w:r>
              </w:p>
              <w:p w:rsidR="00000000" w:rsidDel="00000000" w:rsidP="00000000" w:rsidRDefault="00000000" w:rsidRPr="00000000" w14:paraId="0000006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 el método por el cual el Sujeto Obligado la generó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Permite constatar la información compartida con la normatividad aplicable.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1">
                <w:pPr>
                  <w:widowControl w:val="0"/>
                  <w:spacing w:after="0" w:before="0" w:line="240" w:lineRule="auto"/>
                  <w:ind w:left="0" w:firstLine="0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Completa</w:t>
                </w:r>
              </w:p>
              <w:p w:rsidR="00000000" w:rsidDel="00000000" w:rsidP="00000000" w:rsidRDefault="00000000" w:rsidRPr="00000000" w14:paraId="0000007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proporcione todos los datos, aspectos, partes o referentes necesarios</w:t>
                </w:r>
              </w:p>
              <w:p w:rsidR="00000000" w:rsidDel="00000000" w:rsidP="00000000" w:rsidRDefault="00000000" w:rsidRPr="00000000" w14:paraId="0000007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para ser global respecto del quehacer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Proporciona información y datos del quehacer del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972627" cy="1596889"/>
                      <wp:effectExtent b="0" l="0" r="0" t="0"/>
                      <wp:docPr id="308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72627" cy="159688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Actual</w:t>
                </w:r>
              </w:p>
              <w:p w:rsidR="00000000" w:rsidDel="00000000" w:rsidP="00000000" w:rsidRDefault="00000000" w:rsidRPr="00000000" w14:paraId="0000007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la última versión de la información y es resultado de la adición,</w:t>
                </w:r>
              </w:p>
              <w:p w:rsidR="00000000" w:rsidDel="00000000" w:rsidP="00000000" w:rsidRDefault="00000000" w:rsidRPr="00000000" w14:paraId="0000007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modificación o generación de datos a partir de las acciones y actividades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Proporciona información de fechas recientes.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819400" cy="1219200"/>
                      <wp:effectExtent b="0" l="0" r="0" t="0"/>
                      <wp:docPr id="318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19400" cy="1219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Datos abiertos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información en formato TXT.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2">
                <w:pPr>
                  <w:spacing w:after="0" w:line="240" w:lineRule="auto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52775" cy="838200"/>
                      <wp:effectExtent b="0" l="0" r="0" t="0"/>
                      <wp:docPr id="309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52775" cy="838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2. Contabilización de consultas o reutilización de la información en medios de difusión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Existencia de mecanismos de registro de consultas y/o reutilización de información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contador de visitas.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535353" cy="1206535"/>
                      <wp:effectExtent b="0" l="0" r="0" t="0"/>
                      <wp:docPr id="311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35353" cy="12065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47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Aprovechamiento del registro de consultas y/o reutilización de la información publicada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D">
                <w:pPr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Tener un mayor impacto en la ciudadanía.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82252" cy="1248967"/>
                      <wp:effectExtent b="0" l="0" r="0" t="0"/>
                      <wp:docPr id="317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82252" cy="124896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75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3. La participación ciudadana efectiva e informada en el proceso de publicación y difusión de información proactiva (0 a 10)</w:t>
                </w:r>
              </w:p>
            </w:tc>
          </w:tr>
          <w:tr>
            <w:trPr>
              <w:cantSplit w:val="0"/>
              <w:trHeight w:val="223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implementación de mecanismos de participación ciudadana, como encuestas, estudios de opinión, o cualquier otro ejercicio que derive en la aplicación de algún instrumento o herramienta que posibilite la apertura de las instituciones públicas hacia la participación efectiva de la población que haga uso de la información publicada de manera proactiva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encuesta de satisfacción de la información 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962275" cy="1460500"/>
                      <wp:effectExtent b="0" l="0" r="0" t="0"/>
                      <wp:docPr id="310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62275" cy="1460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23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aprovechamiento de los mecanismos de participación ciudadana para la mejora de la publicación y difusión de información proactiva.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A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Permite mejorar el contenido de la práctica así como la atención hacia la ciudadanía. </w:t>
                </w:r>
              </w:p>
              <w:p w:rsidR="00000000" w:rsidDel="00000000" w:rsidP="00000000" w:rsidRDefault="00000000" w:rsidRPr="00000000" w14:paraId="0000009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068865" cy="1980247"/>
                      <wp:effectExtent b="0" l="0" r="0" t="0"/>
                      <wp:docPr id="32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2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68865" cy="198024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  <w:p w:rsidR="00000000" w:rsidDel="00000000" w:rsidP="00000000" w:rsidRDefault="00000000" w:rsidRPr="00000000" w14:paraId="0000009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4. Efectos positivos generados a partir de la información difundida en el marco de la política de TP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diseño e implementación de mecanismos de evaluación de la política de transparencia proactiva por parte de cada Sujeto Obligado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7">
                <w:pPr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Disminución de la asimetría de la información, facilita el acceso y cobertura de los servicios y evitar traslados innecesarios de la ciudadanía a las oficinas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206823" cy="1092771"/>
                      <wp:effectExtent b="0" l="0" r="0" t="0"/>
                      <wp:docPr id="32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2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06823" cy="109277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  <w:p w:rsidR="00000000" w:rsidDel="00000000" w:rsidP="00000000" w:rsidRDefault="00000000" w:rsidRPr="00000000" w14:paraId="000000A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B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B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5. La difusión de la información proactiva en medios distintos al internet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B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Utilización e implementación de medios alternativos de divulgación de la información proactiva, como radiodifusión, televisión, medios impresos, lonas, perifoneo, pláticas informativas, asesorías, volantes, sistemas de comunicación para personas con discapacidad y otras herramientas específicas dirigidas a grupos con dificultades de uso y acceso a tecnologías de la información.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B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B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ha difundido a través de medios impresos y redes sociales.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B8">
                <w:pPr>
                  <w:spacing w:after="0" w:line="240" w:lineRule="auto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0" distT="0" distL="0" distR="0">
                      <wp:extent cx="1823966" cy="1293925"/>
                      <wp:effectExtent b="0" l="0" r="0" t="0"/>
                      <wp:docPr id="315" name="image11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jpg"/>
                              <pic:cNvPicPr preferRelativeResize="0"/>
                            </pic:nvPicPr>
                            <pic:blipFill>
                              <a:blip r:embed="rId22"/>
                              <a:srcRect b="30654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3966" cy="1293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0" distT="0" distL="0" distR="0">
                      <wp:extent cx="1734502" cy="1467656"/>
                      <wp:effectExtent b="0" l="0" r="0" t="0"/>
                      <wp:docPr id="319" name="image12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jpg"/>
                              <pic:cNvPicPr preferRelativeResize="0"/>
                            </pic:nvPicPr>
                            <pic:blipFill>
                              <a:blip r:embed="rId23"/>
                              <a:srcRect b="24225" l="19807" r="24283" t="1650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34502" cy="146765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B9">
      <w:pPr>
        <w:spacing w:after="240" w:line="276" w:lineRule="auto"/>
        <w:ind w:left="-708" w:firstLine="0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uye03zr0ncmu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24" w:type="default"/>
      <w:footerReference r:id="rId25" w:type="default"/>
      <w:pgSz w:h="12240" w:w="15840" w:orient="landscape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BC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B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320" name="image8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8.png"/>
                  <pic:cNvPicPr preferRelativeResize="0"/>
                </pic:nvPicPr>
                <pic:blipFill>
                  <a:blip r:embed="rId1"/>
                  <a:srcRect b="25358" l="27474" r="25000" t="5795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-1094421</wp:posOffset>
          </wp:positionH>
          <wp:positionV relativeFrom="paragraph">
            <wp:posOffset>-85724</wp:posOffset>
          </wp:positionV>
          <wp:extent cx="10086023" cy="7639050"/>
          <wp:effectExtent b="0" l="0" r="0" t="0"/>
          <wp:wrapNone/>
          <wp:docPr descr="Imagen que contiene Gráfico de superficie&#10;&#10;Descripción generada automáticamente" id="307" name="image9.png"/>
          <a:graphic>
            <a:graphicData uri="http://schemas.openxmlformats.org/drawingml/2006/picture">
              <pic:pic>
                <pic:nvPicPr>
                  <pic:cNvPr descr="Imagen que contiene Gráfico de superficie&#10;&#10;Descripción generada automáticamente" id="0" name="image9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86023" cy="76390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22" Type="http://schemas.openxmlformats.org/officeDocument/2006/relationships/image" Target="media/image11.jpg"/><Relationship Id="rId21" Type="http://schemas.openxmlformats.org/officeDocument/2006/relationships/image" Target="media/image2.png"/><Relationship Id="rId24" Type="http://schemas.openxmlformats.org/officeDocument/2006/relationships/header" Target="header1.xml"/><Relationship Id="rId23" Type="http://schemas.openxmlformats.org/officeDocument/2006/relationships/image" Target="media/image1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png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4.png"/><Relationship Id="rId8" Type="http://schemas.openxmlformats.org/officeDocument/2006/relationships/hyperlink" Target="https://teemmx.org.mx/defensoria/" TargetMode="External"/><Relationship Id="rId11" Type="http://schemas.openxmlformats.org/officeDocument/2006/relationships/image" Target="media/image18.png"/><Relationship Id="rId10" Type="http://schemas.openxmlformats.org/officeDocument/2006/relationships/image" Target="media/image5.png"/><Relationship Id="rId13" Type="http://schemas.openxmlformats.org/officeDocument/2006/relationships/image" Target="media/image10.png"/><Relationship Id="rId12" Type="http://schemas.openxmlformats.org/officeDocument/2006/relationships/image" Target="media/image16.png"/><Relationship Id="rId15" Type="http://schemas.openxmlformats.org/officeDocument/2006/relationships/image" Target="media/image15.png"/><Relationship Id="rId14" Type="http://schemas.openxmlformats.org/officeDocument/2006/relationships/image" Target="media/image6.png"/><Relationship Id="rId17" Type="http://schemas.openxmlformats.org/officeDocument/2006/relationships/image" Target="media/image4.png"/><Relationship Id="rId16" Type="http://schemas.openxmlformats.org/officeDocument/2006/relationships/image" Target="media/image7.png"/><Relationship Id="rId19" Type="http://schemas.openxmlformats.org/officeDocument/2006/relationships/image" Target="media/image3.png"/><Relationship Id="rId18" Type="http://schemas.openxmlformats.org/officeDocument/2006/relationships/image" Target="media/image1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YS1Ej9Zs7Sa24EEEilcXKpZ00Q==">CgMxLjAaHwoBMBIaChgICVIUChJ0YWJsZS5qMDB4b240cnAyMm4yCWguMzBqMHpsbDIOaC5vaXZjaWkxamJ3emMyDmguYmw0MzB5NGllazc1Mg5oLnlzcnBrajlqazc3cjIOaC4zZnRuMzB5a2E1d3AyDmgueWthZWcyb3VyYXFjMg5oLnJsazE4NmZucjV5bTIOaC5zeHdnNjQ1bnZ5c2gyDmguaTFicXY0bXI2cjR2Mg5oLjN6eHlyNHJkeTk5bTIOaC55MmZkbmJvZnRoMjkyDmgudXllMDN6cjBuY211OAByITE4NW1UcERnY2FYYU40VGFRV0lEU19tNzk4SVRvUW9t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