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419"/>
          <w:tab w:val="right" w:leader="none" w:pos="8838"/>
        </w:tabs>
        <w:spacing w:after="0" w:line="240" w:lineRule="auto"/>
        <w:ind w:hanging="709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FICHA TÉCNICA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419"/>
          <w:tab w:val="right" w:leader="none" w:pos="8838"/>
        </w:tabs>
        <w:spacing w:after="0" w:line="240" w:lineRule="auto"/>
        <w:ind w:hanging="709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645.0" w:type="dxa"/>
        <w:tblLayout w:type="fixed"/>
        <w:tblLook w:val="0400"/>
      </w:tblPr>
      <w:tblGrid>
        <w:gridCol w:w="4905"/>
        <w:gridCol w:w="3120"/>
        <w:gridCol w:w="2055"/>
        <w:tblGridChange w:id="0">
          <w:tblGrid>
            <w:gridCol w:w="4905"/>
            <w:gridCol w:w="3120"/>
            <w:gridCol w:w="2055"/>
          </w:tblGrid>
        </w:tblGridChange>
      </w:tblGrid>
      <w:tr>
        <w:trPr>
          <w:cantSplit w:val="0"/>
          <w:trHeight w:val="496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Nombre de la práctica: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Estandarización de los contenidos de información de los proyectos presupuestarios en la página oficial del Organismo</w:t>
            </w:r>
          </w:p>
        </w:tc>
      </w:tr>
      <w:tr>
        <w:trPr>
          <w:cantSplit w:val="0"/>
          <w:trHeight w:val="544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Nombre del Sujeto Obligado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Protectora de Bosques del Estado de México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Área responsable de la práctica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Dirección de Restauración y Fomento Forestal</w:t>
            </w:r>
          </w:p>
        </w:tc>
      </w:tr>
      <w:tr>
        <w:trPr>
          <w:cantSplit w:val="0"/>
          <w:trHeight w:val="642.1104736328125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Disponible para su consulta en:</w:t>
            </w:r>
          </w:p>
        </w:tc>
      </w:tr>
      <w:tr>
        <w:trPr>
          <w:cantSplit w:val="0"/>
          <w:trHeight w:val="520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Periodo: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Alcance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Estatal</w:t>
            </w:r>
          </w:p>
        </w:tc>
      </w:tr>
      <w:tr>
        <w:trPr>
          <w:cantSplit w:val="0"/>
          <w:trHeight w:val="395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Lugar: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Estado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de México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Puntuación total: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Rule="auto"/>
        <w:jc w:val="left"/>
        <w:rPr>
          <w:rFonts w:ascii="Palatino Linotype" w:cs="Palatino Linotype" w:eastAsia="Palatino Linotype" w:hAnsi="Palatino Linotype"/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0005.0" w:type="dxa"/>
        <w:jc w:val="left"/>
        <w:tblInd w:w="-572.0" w:type="dxa"/>
        <w:tblLayout w:type="fixed"/>
        <w:tblLook w:val="0400"/>
      </w:tblPr>
      <w:tblGrid>
        <w:gridCol w:w="4650"/>
        <w:gridCol w:w="5355"/>
        <w:tblGridChange w:id="0">
          <w:tblGrid>
            <w:gridCol w:w="4650"/>
            <w:gridCol w:w="5355"/>
          </w:tblGrid>
        </w:tblGridChange>
      </w:tblGrid>
      <w:tr>
        <w:trPr>
          <w:cantSplit w:val="0"/>
          <w:trHeight w:val="1152.226562499999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¿Qué es y cómo funciona la práctica?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La propuesta es que a través de un mapa se pueda dar a conocer a la ciudadanía la información sobre los predios que cuenten con permisos vigentes de aprovechamiento de recursos forestales maderables y no maderables.</w:t>
            </w:r>
          </w:p>
        </w:tc>
      </w:tr>
      <w:tr>
        <w:trPr>
          <w:cantSplit w:val="0"/>
          <w:trHeight w:val="2117.6464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Objetivo: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Que los ciudadanos puedan tener acceso a las bases de datos técnicos, así como el conocimiento de los predios que cuentan con permisos vigentes de aprovechamiento de recursos forestales maderables y no maderables, en el Estado de México.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¿Por qué se desarrolló?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Derivado de la cantidad de solicitudes de información y/o peticiones ciudadanas que llegan al Organismo, mediante las cuáles solicitan información o apoyo para detener la tala.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.613281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Beneficios o 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fectos positivos generados a partir de la información difundida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0" w:firstLine="0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Dar a conocer la información acerca de los predios que cuentan con los permisos</w:t>
            </w:r>
          </w:p>
        </w:tc>
      </w:tr>
      <w:tr>
        <w:trPr>
          <w:cantSplit w:val="0"/>
          <w:trHeight w:val="733.4565429687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¿La práctica cuenta con mecanismos de participación ciudadana durante el proceso?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¿Cómo contribuye a la apertura gubernamental?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Observaciones: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Dado que la propuesta no se encuentra vigente, no es posible llevar a cabo la evaluación correspondiente ya que una de las características indispensables es que la práctica postulada esté siendo implementada. </w:t>
            </w:r>
          </w:p>
        </w:tc>
      </w:tr>
      <w:tr>
        <w:trPr>
          <w:cantSplit w:val="0"/>
          <w:trHeight w:val="1972.646484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Recomendaciones: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Se sugiere al Sujeto Obligado que una vez que su práctica se encuentre en construcción,  considere integrar los atributos de calidad de la información,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1f1f1f"/>
                <w:highlight w:val="white"/>
                <w:rtl w:val="0"/>
              </w:rPr>
              <w:t xml:space="preserve">contabilización de consultas o reutilización de la información en medios de difusión,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1f1f1f"/>
                <w:highlight w:val="white"/>
                <w:rtl w:val="0"/>
              </w:rPr>
              <w:t xml:space="preserve">participación ciudadana efectiva, utilizar medios de difusión alternos a una página de internet, así como los efectos positivos generados a partir de la información difundida.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426" w:top="703" w:left="1701" w:right="1701" w:header="284" w:footer="12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center"/>
      <w:rPr>
        <w:rFonts w:ascii="Arial Black" w:cs="Arial Black" w:eastAsia="Arial Black" w:hAnsi="Arial Black"/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-1137281</wp:posOffset>
          </wp:positionH>
          <wp:positionV relativeFrom="paragraph">
            <wp:posOffset>-1177286</wp:posOffset>
          </wp:positionV>
          <wp:extent cx="8210550" cy="2508250"/>
          <wp:effectExtent b="0" l="0" r="0" t="0"/>
          <wp:wrapNone/>
          <wp:docPr id="29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949" l="0" r="0" t="45574"/>
                  <a:stretch>
                    <a:fillRect/>
                  </a:stretch>
                </pic:blipFill>
                <pic:spPr>
                  <a:xfrm>
                    <a:off x="0" y="0"/>
                    <a:ext cx="8210550" cy="2508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hanging="709"/>
      <w:rPr>
        <w:color w:val="000000"/>
      </w:rPr>
    </w:pPr>
    <w:r w:rsidDel="00000000" w:rsidR="00000000" w:rsidRPr="00000000">
      <w:rPr/>
      <w:drawing>
        <wp:inline distB="0" distT="0" distL="0" distR="0">
          <wp:extent cx="1219200" cy="603250"/>
          <wp:effectExtent b="0" l="0" r="0" t="0"/>
          <wp:docPr descr="https://lh6.googleusercontent.com/jNsTCK7SJZV1G9JWz3KsjecHRN4qJBWoT1yqJ8zI3zdP1eyDVhfsZPKAbxD-9PH4L81amB6R4ly7ryAICARerfuunqGa48sgff2NtmnjPGjMrXalaO6TgZ9QPIAQbCVvAvSzKqdARw2yNhE-5_s2eg" id="300" name="image1.png"/>
          <a:graphic>
            <a:graphicData uri="http://schemas.openxmlformats.org/drawingml/2006/picture">
              <pic:pic>
                <pic:nvPicPr>
                  <pic:cNvPr descr="https://lh6.googleusercontent.com/jNsTCK7SJZV1G9JWz3KsjecHRN4qJBWoT1yqJ8zI3zdP1eyDVhfsZPKAbxD-9PH4L81amB6R4ly7ryAICARerfuunqGa48sgff2NtmnjPGjMrXalaO6TgZ9QPIAQbCVvAvSzKqdARw2yNhE-5_s2eg" id="0" name="image1.png"/>
                  <pic:cNvPicPr preferRelativeResize="0"/>
                </pic:nvPicPr>
                <pic:blipFill>
                  <a:blip r:embed="rId1"/>
                  <a:srcRect b="25360" l="27474" r="25000" t="5796"/>
                  <a:stretch>
                    <a:fillRect/>
                  </a:stretch>
                </pic:blipFill>
                <pic:spPr>
                  <a:xfrm>
                    <a:off x="0" y="0"/>
                    <a:ext cx="1219200" cy="603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-1315081</wp:posOffset>
          </wp:positionV>
          <wp:extent cx="7808595" cy="9436100"/>
          <wp:effectExtent b="0" l="0" r="0" t="0"/>
          <wp:wrapNone/>
          <wp:docPr id="29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6051"/>
                  <a:stretch>
                    <a:fillRect/>
                  </a:stretch>
                </pic:blipFill>
                <pic:spPr>
                  <a:xfrm rot="10800000">
                    <a:off x="0" y="0"/>
                    <a:ext cx="7808595" cy="9436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5709A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709AD"/>
    <w:rPr>
      <w:lang w:val="es-MX"/>
    </w:rPr>
  </w:style>
  <w:style w:type="paragraph" w:styleId="Piedepgina">
    <w:name w:val="footer"/>
    <w:basedOn w:val="Normal"/>
    <w:link w:val="PiedepginaCar"/>
    <w:uiPriority w:val="99"/>
    <w:unhideWhenUsed w:val="1"/>
    <w:rsid w:val="005709A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709AD"/>
    <w:rPr>
      <w:lang w:val="es-MX"/>
    </w:rPr>
  </w:style>
  <w:style w:type="paragraph" w:styleId="Prrafodelista">
    <w:name w:val="List Paragraph"/>
    <w:basedOn w:val="Normal"/>
    <w:uiPriority w:val="34"/>
    <w:qFormat w:val="1"/>
    <w:rsid w:val="00CA6134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CA6134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tblPr>
      <w:tblStyleRowBandSize w:val="1"/>
      <w:tblStyleColBandSize w:val="1"/>
      <w:tblCellMar>
        <w:top w:w="41.0" w:type="dxa"/>
        <w:left w:w="106.0" w:type="dxa"/>
        <w:bottom w:w="0.0" w:type="dxa"/>
        <w:right w:w="67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top w:w="41.0" w:type="dxa"/>
        <w:left w:w="107.0" w:type="dxa"/>
        <w:bottom w:w="0.0" w:type="dxa"/>
        <w:right w:w="73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top w:w="41.0" w:type="dxa"/>
        <w:left w:w="0.0" w:type="dxa"/>
        <w:bottom w:w="0.0" w:type="dxa"/>
        <w:right w:w="60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top w:w="41.0" w:type="dxa"/>
        <w:left w:w="0.0" w:type="dxa"/>
        <w:bottom w:w="0.0" w:type="dxa"/>
        <w:right w:w="62.0" w:type="dxa"/>
      </w:tblCellMar>
    </w:tblPr>
  </w:style>
  <w:style w:type="table" w:styleId="a3" w:customStyle="1">
    <w:basedOn w:val="TableNormal6"/>
    <w:tblPr>
      <w:tblStyleRowBandSize w:val="1"/>
      <w:tblStyleColBandSize w:val="1"/>
      <w:tblCellMar>
        <w:top w:w="41.0" w:type="dxa"/>
        <w:left w:w="107.0" w:type="dxa"/>
        <w:bottom w:w="0.0" w:type="dxa"/>
        <w:right w:w="70.0" w:type="dxa"/>
      </w:tblCellMar>
    </w:tblPr>
  </w:style>
  <w:style w:type="table" w:styleId="a4" w:customStyle="1">
    <w:basedOn w:val="TableNormal6"/>
    <w:tblPr>
      <w:tblStyleRowBandSize w:val="1"/>
      <w:tblStyleColBandSize w:val="1"/>
      <w:tblCellMar>
        <w:top w:w="40.0" w:type="dxa"/>
        <w:left w:w="0.0" w:type="dxa"/>
        <w:bottom w:w="0.0" w:type="dxa"/>
        <w:right w:w="26.0" w:type="dxa"/>
      </w:tblCellMar>
    </w:tblPr>
  </w:style>
  <w:style w:type="table" w:styleId="a5" w:customStyle="1">
    <w:basedOn w:val="TableNormal6"/>
    <w:tblPr>
      <w:tblStyleRowBandSize w:val="1"/>
      <w:tblStyleColBandSize w:val="1"/>
      <w:tblCellMar>
        <w:top w:w="41.0" w:type="dxa"/>
        <w:left w:w="107.0" w:type="dxa"/>
        <w:bottom w:w="0.0" w:type="dxa"/>
        <w:right w:w="71.0" w:type="dxa"/>
      </w:tblCellMar>
    </w:tblPr>
  </w:style>
  <w:style w:type="table" w:styleId="a6" w:customStyle="1">
    <w:basedOn w:val="TableNormal6"/>
    <w:tblPr>
      <w:tblStyleRowBandSize w:val="1"/>
      <w:tblStyleColBandSize w:val="1"/>
      <w:tblCellMar>
        <w:top w:w="40.0" w:type="dxa"/>
        <w:left w:w="0.0" w:type="dxa"/>
        <w:bottom w:w="0.0" w:type="dxa"/>
        <w:right w:w="12.0" w:type="dxa"/>
      </w:tblCellMar>
    </w:tblPr>
  </w:style>
  <w:style w:type="table" w:styleId="a7" w:customStyle="1">
    <w:basedOn w:val="TableNormal6"/>
    <w:tblPr>
      <w:tblStyleRowBandSize w:val="1"/>
      <w:tblStyleColBandSize w:val="1"/>
      <w:tblCellMar>
        <w:top w:w="41.0" w:type="dxa"/>
        <w:left w:w="107.0" w:type="dxa"/>
        <w:bottom w:w="0.0" w:type="dxa"/>
        <w:right w:w="69.0" w:type="dxa"/>
      </w:tblCellMar>
    </w:tblPr>
  </w:style>
  <w:style w:type="table" w:styleId="a8" w:customStyle="1">
    <w:basedOn w:val="TableNormal6"/>
    <w:tblPr>
      <w:tblStyleRowBandSize w:val="1"/>
      <w:tblStyleColBandSize w:val="1"/>
      <w:tblCellMar>
        <w:top w:w="41.0" w:type="dxa"/>
        <w:left w:w="107.0" w:type="dxa"/>
        <w:bottom w:w="0.0" w:type="dxa"/>
        <w:right w:w="70.0" w:type="dxa"/>
      </w:tblCellMar>
    </w:tblPr>
  </w:style>
  <w:style w:type="table" w:styleId="a9" w:customStyle="1">
    <w:basedOn w:val="TableNormal6"/>
    <w:tblPr>
      <w:tblStyleRowBandSize w:val="1"/>
      <w:tblStyleColBandSize w:val="1"/>
      <w:tblCellMar>
        <w:top w:w="41.0" w:type="dxa"/>
        <w:left w:w="107.0" w:type="dxa"/>
        <w:bottom w:w="0.0" w:type="dxa"/>
        <w:right w:w="67.0" w:type="dxa"/>
      </w:tblCellMar>
    </w:tblPr>
  </w:style>
  <w:style w:type="table" w:styleId="aa" w:customStyle="1">
    <w:basedOn w:val="TableNormal6"/>
    <w:tblPr>
      <w:tblStyleRowBandSize w:val="1"/>
      <w:tblStyleColBandSize w:val="1"/>
      <w:tblCellMar>
        <w:top w:w="41.0" w:type="dxa"/>
        <w:left w:w="107.0" w:type="dxa"/>
        <w:bottom w:w="0.0" w:type="dxa"/>
        <w:right w:w="70.0" w:type="dxa"/>
      </w:tblCellMar>
    </w:tblPr>
  </w:style>
  <w:style w:type="table" w:styleId="ab" w:customStyle="1">
    <w:basedOn w:val="TableNormal6"/>
    <w:tblPr>
      <w:tblStyleRowBandSize w:val="1"/>
      <w:tblStyleColBandSize w:val="1"/>
      <w:tblCellMar>
        <w:top w:w="41.0" w:type="dxa"/>
        <w:left w:w="107.0" w:type="dxa"/>
        <w:bottom w:w="0.0" w:type="dxa"/>
        <w:right w:w="71.0" w:type="dxa"/>
      </w:tblCellMar>
    </w:tblPr>
  </w:style>
  <w:style w:type="table" w:styleId="ac" w:customStyle="1">
    <w:basedOn w:val="TableNormal6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d" w:customStyle="1">
    <w:basedOn w:val="TableNormal6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e" w:customStyle="1">
    <w:basedOn w:val="TableNormal6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" w:customStyle="1">
    <w:basedOn w:val="TableNormal6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0" w:customStyle="1">
    <w:basedOn w:val="TableNormal6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1" w:customStyle="1">
    <w:basedOn w:val="TableNormal6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2" w:customStyle="1">
    <w:basedOn w:val="TableNormal6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3" w:customStyle="1">
    <w:basedOn w:val="TableNormal6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4" w:customStyle="1">
    <w:basedOn w:val="TableNormal6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5" w:customStyle="1">
    <w:basedOn w:val="TableNormal6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6" w:customStyle="1">
    <w:basedOn w:val="TableNormal6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7" w:customStyle="1">
    <w:basedOn w:val="TableNormal6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8" w:customStyle="1">
    <w:basedOn w:val="TableNormal6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9" w:customStyle="1">
    <w:basedOn w:val="TableNormal6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a" w:customStyle="1">
    <w:basedOn w:val="TableNormal6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character" w:styleId="Nmerodepgina">
    <w:name w:val="page number"/>
    <w:basedOn w:val="Fuentedeprrafopredeter"/>
    <w:uiPriority w:val="99"/>
    <w:semiHidden w:val="1"/>
    <w:unhideWhenUsed w:val="1"/>
    <w:rsid w:val="00B6330C"/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1E5A88"/>
    <w:rPr>
      <w:color w:val="605e5c"/>
      <w:shd w:color="auto" w:fill="e1dfdd" w:val="clear"/>
    </w:rPr>
  </w:style>
  <w:style w:type="table" w:styleId="afb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c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d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e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0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1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2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3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4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5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6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7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8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9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a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b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c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d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e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f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f0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f1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f2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f3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f4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f5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f6" w:customStyle="1">
    <w:basedOn w:val="TableNormal5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f7" w:customStyle="1">
    <w:basedOn w:val="TableNormal3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f8" w:customStyle="1">
    <w:basedOn w:val="TableNormal3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f9" w:customStyle="1">
    <w:basedOn w:val="TableNormal3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fa" w:customStyle="1">
    <w:basedOn w:val="TableNormal3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fb" w:customStyle="1">
    <w:basedOn w:val="TableNormal3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fc" w:customStyle="1">
    <w:basedOn w:val="TableNormal3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fd" w:customStyle="1">
    <w:basedOn w:val="TableNormal3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fe" w:customStyle="1">
    <w:basedOn w:val="TableNormal3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ff" w:customStyle="1">
    <w:basedOn w:val="TableNormal3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ff0" w:customStyle="1">
    <w:basedOn w:val="TableNormal3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ff1" w:customStyle="1">
    <w:basedOn w:val="TableNormal3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ff2" w:customStyle="1">
    <w:basedOn w:val="TableNormal3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ff3" w:customStyle="1">
    <w:basedOn w:val="TableNormal3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affff4" w:customStyle="1">
    <w:basedOn w:val="TableNormal3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paragraph" w:styleId="NormalWeb">
    <w:name w:val="Normal (Web)"/>
    <w:basedOn w:val="Normal"/>
    <w:uiPriority w:val="99"/>
    <w:unhideWhenUsed w:val="1"/>
    <w:rsid w:val="0019507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5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EwZfTyNKH9+13nQOC4Fdct8C/w==">CgMxLjAyCWguMzBqMHpsbDIJaC4xZm9iOXRlOAByITFlX1J6Y3ZxNHlVU3E2czU5UF9RRWZyV1hXUGY4VVF1dg==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2023-07-10T20:15:00Z</dcterms:created>
  <dc:creator>Jonathan Guillermo Munoz Acevedo</dc:creator>
</cp:coreProperties>
</file>