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Arial" w:cs="Arial" w:eastAsia="Arial" w:hAnsi="Arial"/>
        </w:rPr>
      </w:pPr>
      <w:r w:rsidDel="00000000" w:rsidR="00000000" w:rsidRPr="00000000">
        <w:rPr>
          <w:rFonts w:ascii="Palatino Linotype" w:cs="Palatino Linotype" w:eastAsia="Palatino Linotype" w:hAnsi="Palatino Linotype"/>
          <w:b w:val="1"/>
          <w:sz w:val="20"/>
          <w:szCs w:val="20"/>
          <w:rtl w:val="0"/>
        </w:rPr>
        <w:t xml:space="preserve">FICHA TÉCNICA</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bl>
      <w:tblPr>
        <w:tblStyle w:val="Table1"/>
        <w:tblW w:w="10155.0" w:type="dxa"/>
        <w:jc w:val="left"/>
        <w:tblInd w:w="-645.0" w:type="dxa"/>
        <w:tblLayout w:type="fixed"/>
        <w:tblLook w:val="0400"/>
      </w:tblPr>
      <w:tblGrid>
        <w:gridCol w:w="4905"/>
        <w:gridCol w:w="2745"/>
        <w:gridCol w:w="2505"/>
        <w:tblGridChange w:id="0">
          <w:tblGrid>
            <w:gridCol w:w="4905"/>
            <w:gridCol w:w="2745"/>
            <w:gridCol w:w="2505"/>
          </w:tblGrid>
        </w:tblGridChange>
      </w:tblGrid>
      <w:tr>
        <w:trPr>
          <w:cantSplit w:val="0"/>
          <w:trHeight w:val="496" w:hRule="atLeast"/>
          <w:tblHeader w:val="1"/>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4">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3095625" cy="1981200"/>
                  <wp:effectExtent b="0" l="0" r="0" t="0"/>
                  <wp:docPr id="29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095625" cy="198120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 la práctica:</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612" w:right="0" w:firstLine="1612"/>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Sistemas Municipales Anticorrupción </w:t>
            </w:r>
            <w:r w:rsidDel="00000000" w:rsidR="00000000" w:rsidRPr="00000000">
              <w:rPr>
                <w:rtl w:val="0"/>
              </w:rPr>
            </w:r>
          </w:p>
        </w:tc>
      </w:tr>
      <w:tr>
        <w:trPr>
          <w:cantSplit w:val="0"/>
          <w:trHeight w:val="544"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Secretaría Ejecutiva del Sistema Anticorrupción del Estado de México </w:t>
            </w:r>
            <w:r w:rsidDel="00000000" w:rsidR="00000000" w:rsidRPr="00000000">
              <w:rPr>
                <w:rtl w:val="0"/>
              </w:rPr>
            </w:r>
          </w:p>
        </w:tc>
      </w:tr>
      <w:tr>
        <w:trPr>
          <w:cantSplit w:val="0"/>
          <w:trHeight w:val="276"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Dirección General de Vinculación Interinstitucional </w:t>
            </w:r>
            <w:r w:rsidDel="00000000" w:rsidR="00000000" w:rsidRPr="00000000">
              <w:rPr>
                <w:rtl w:val="0"/>
              </w:rPr>
            </w:r>
          </w:p>
        </w:tc>
      </w:tr>
      <w:tr>
        <w:trPr>
          <w:cantSplit w:val="0"/>
          <w:trHeight w:val="980.419921875"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single"/>
                <w:shd w:fill="auto" w:val="clear"/>
                <w:vertAlign w:val="baseline"/>
              </w:rPr>
            </w:pPr>
            <w:hyperlink r:id="rId8">
              <w:r w:rsidDel="00000000" w:rsidR="00000000" w:rsidRPr="00000000">
                <w:rPr>
                  <w:rFonts w:ascii="Palatino Linotype" w:cs="Palatino Linotype" w:eastAsia="Palatino Linotype" w:hAnsi="Palatino Linotype"/>
                  <w:color w:val="1155cc"/>
                  <w:highlight w:val="white"/>
                  <w:u w:val="single"/>
                  <w:rtl w:val="0"/>
                </w:rPr>
                <w:t xml:space="preserve">https://sesaemm.gob.mx/sistemas_anticorrupcion-05-sistemas_municipales_anticorrupcion/</w:t>
              </w:r>
            </w:hyperlink>
            <w:r w:rsidDel="00000000" w:rsidR="00000000" w:rsidRPr="00000000">
              <w:rPr>
                <w:rtl w:val="0"/>
              </w:rPr>
            </w:r>
          </w:p>
        </w:tc>
      </w:tr>
      <w:tr>
        <w:trPr>
          <w:cantSplit w:val="0"/>
          <w:trHeight w:val="405"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20</w:t>
            </w:r>
            <w:r w:rsidDel="00000000" w:rsidR="00000000" w:rsidRPr="00000000">
              <w:rPr>
                <w:rFonts w:ascii="Palatino Linotype" w:cs="Palatino Linotype" w:eastAsia="Palatino Linotype" w:hAnsi="Palatino Linotype"/>
                <w:rtl w:val="0"/>
              </w:rPr>
              <w:t xml:space="preserve">19</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vigente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Municipal</w:t>
            </w:r>
            <w:r w:rsidDel="00000000" w:rsidR="00000000" w:rsidRPr="00000000">
              <w:rPr>
                <w:rtl w:val="0"/>
              </w:rPr>
            </w:r>
          </w:p>
        </w:tc>
      </w:tr>
      <w:tr>
        <w:trPr>
          <w:cantSplit w:val="0"/>
          <w:trHeight w:val="395"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Estado de México</w:t>
            </w: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100</w:t>
            </w:r>
            <w:r w:rsidDel="00000000" w:rsidR="00000000" w:rsidRPr="00000000">
              <w:rPr>
                <w:rtl w:val="0"/>
              </w:rPr>
            </w:r>
          </w:p>
        </w:tc>
      </w:tr>
    </w:tbl>
    <w:p w:rsidR="00000000" w:rsidDel="00000000" w:rsidP="00000000" w:rsidRDefault="00000000" w:rsidRPr="00000000" w14:paraId="0000001A">
      <w:pPr>
        <w:spacing w:after="0" w:lineRule="auto"/>
        <w:jc w:val="center"/>
        <w:rPr>
          <w:rFonts w:ascii="Palatino Linotype" w:cs="Palatino Linotype" w:eastAsia="Palatino Linotype" w:hAnsi="Palatino Linotype"/>
          <w:b w:val="1"/>
          <w:sz w:val="18"/>
          <w:szCs w:val="18"/>
        </w:rPr>
      </w:pPr>
      <w:bookmarkStart w:colFirst="0" w:colLast="0" w:name="_heading=h.30j0zll" w:id="0"/>
      <w:bookmarkEnd w:id="0"/>
      <w:r w:rsidDel="00000000" w:rsidR="00000000" w:rsidRPr="00000000">
        <w:rPr>
          <w:rtl w:val="0"/>
        </w:rPr>
      </w:r>
    </w:p>
    <w:tbl>
      <w:tblPr>
        <w:tblStyle w:val="Table2"/>
        <w:tblW w:w="10095.0" w:type="dxa"/>
        <w:jc w:val="left"/>
        <w:tblInd w:w="-572.0" w:type="dxa"/>
        <w:tblLayout w:type="fixed"/>
        <w:tblLook w:val="0400"/>
      </w:tblPr>
      <w:tblGrid>
        <w:gridCol w:w="4800"/>
        <w:gridCol w:w="5295"/>
        <w:tblGridChange w:id="0">
          <w:tblGrid>
            <w:gridCol w:w="4800"/>
            <w:gridCol w:w="5295"/>
          </w:tblGrid>
        </w:tblGridChange>
      </w:tblGrid>
      <w:tr>
        <w:trPr>
          <w:cantSplit w:val="0"/>
          <w:trHeight w:val="1188"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Mapa interactivo, donde se visualiza el avance en la organización del Sistema Municipal Anticorrupción, en la instalación y renovación de los Comités de cada Ayuntamiento, iluminándose dependiendo de dicho avance, también puede visualizar las fechas de instalación de la Comisión de la Selección Municipal. Aparte podrá descargar los listados de los Ayuntamientos en su situación actual. </w:t>
            </w:r>
            <w:r w:rsidDel="00000000" w:rsidR="00000000" w:rsidRPr="00000000">
              <w:rPr>
                <w:rtl w:val="0"/>
              </w:rPr>
            </w:r>
          </w:p>
        </w:tc>
      </w:tr>
      <w:tr>
        <w:trPr>
          <w:cantSplit w:val="0"/>
          <w:trHeight w:val="1522"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Tiene por objeto establecer principios, bases generales,  políticas públicas, acciones y procedimientos en la prevención de faltas administrativas, actos y hechos de corrupción y control de recursos públicos en el ámbito municipal.  </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Por el interés de la ciudadanía en el tema, ya que de manera recurrente se realizaban solicitudes de información. </w:t>
            </w:r>
            <w:r w:rsidDel="00000000" w:rsidR="00000000" w:rsidRPr="00000000">
              <w:rPr>
                <w:rtl w:val="0"/>
              </w:rPr>
            </w:r>
          </w:p>
        </w:tc>
      </w:tr>
      <w:tr>
        <w:trPr>
          <w:cantSplit w:val="0"/>
          <w:trHeight w:val="88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Han disminuido considerablemente las solicitudes de información y se brinda información a la ciudadanía sobre el Sistema Anticorrupción.</w:t>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Sí, mediante una encuesta de satisfacción dentro de su micrositio.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¿Cómo contribuye a la apertura gubernamental?</w:t>
            </w:r>
            <w:r w:rsidDel="00000000" w:rsidR="00000000" w:rsidRPr="00000000">
              <w:rPr>
                <w:rtl w:val="0"/>
              </w:rPr>
            </w:r>
          </w:p>
          <w:p w:rsidR="00000000" w:rsidDel="00000000" w:rsidP="00000000" w:rsidRDefault="00000000" w:rsidRPr="00000000" w14:paraId="00000028">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Generando mecanismos de participación ciudadana.</w:t>
            </w:r>
          </w:p>
        </w:tc>
      </w:tr>
      <w:tr>
        <w:trPr>
          <w:cantSplit w:val="0"/>
          <w:trHeight w:val="81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Descripción</w:t>
            </w: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highlight w:val="white"/>
                <w:u w:val="none"/>
                <w:vertAlign w:val="baseline"/>
              </w:rPr>
            </w:pPr>
            <w:r w:rsidDel="00000000" w:rsidR="00000000" w:rsidRPr="00000000">
              <w:rPr>
                <w:rFonts w:ascii="Palatino Linotype" w:cs="Palatino Linotype" w:eastAsia="Palatino Linotype" w:hAnsi="Palatino Linotype"/>
                <w:rtl w:val="0"/>
              </w:rPr>
              <w:t xml:space="preserve">Esta práctica pone a disposición información acerca de la integración de los Sistemas Municipales Anticorrupción, brinda herramientas necesarias para denunciar alguna falta administrativa o hecho de corrupción, así como promover la participación ciudadana empoderando a la ciudadanía a exigir a las autoridades competentes la instalación de su sistema municipal y participar en el combate a la corrupción. Cuenta con información descargable en formato de datos abiertos “CSV” respecto de </w:t>
            </w:r>
            <w:r w:rsidDel="00000000" w:rsidR="00000000" w:rsidRPr="00000000">
              <w:rPr>
                <w:rFonts w:ascii="Palatino Linotype" w:cs="Palatino Linotype" w:eastAsia="Palatino Linotype" w:hAnsi="Palatino Linotype"/>
                <w:highlight w:val="white"/>
                <w:rtl w:val="0"/>
              </w:rPr>
              <w:t xml:space="preserve">los avances en la instalación de los sistemas municipales, así como traducciones en lenguas originarias y como medios de difusión alterno utiliza sus redes sociales.</w:t>
            </w:r>
            <w:r w:rsidDel="00000000" w:rsidR="00000000" w:rsidRPr="00000000">
              <w:rPr>
                <w:rtl w:val="0"/>
              </w:rPr>
            </w:r>
          </w:p>
        </w:tc>
      </w:tr>
    </w:tbl>
    <w:p w:rsidR="00000000" w:rsidDel="00000000" w:rsidP="00000000" w:rsidRDefault="00000000" w:rsidRPr="00000000" w14:paraId="0000002C">
      <w:pPr>
        <w:jc w:val="both"/>
        <w:rPr>
          <w:rFonts w:ascii="Arial" w:cs="Arial" w:eastAsia="Arial" w:hAnsi="Arial"/>
          <w:sz w:val="16"/>
          <w:szCs w:val="16"/>
        </w:rPr>
      </w:pPr>
      <w:bookmarkStart w:colFirst="0" w:colLast="0" w:name="_heading=h.1fob9te" w:id="1"/>
      <w:bookmarkEnd w:id="1"/>
      <w:r w:rsidDel="00000000" w:rsidR="00000000" w:rsidRPr="00000000">
        <w:rPr>
          <w:rtl w:val="0"/>
        </w:rPr>
      </w:r>
    </w:p>
    <w:sectPr>
      <w:headerReference r:id="rId9" w:type="default"/>
      <w:footerReference r:id="rId10" w:type="default"/>
      <w:pgSz w:h="15840" w:w="12240" w:orient="portrait"/>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jc w:val="center"/>
      <w:rPr>
        <w:rFonts w:ascii="Arial Black" w:cs="Arial Black" w:eastAsia="Arial Black" w:hAnsi="Arial Black"/>
        <w:b w:val="1"/>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-1137283</wp:posOffset>
          </wp:positionH>
          <wp:positionV relativeFrom="paragraph">
            <wp:posOffset>-1177288</wp:posOffset>
          </wp:positionV>
          <wp:extent cx="8210550" cy="2508250"/>
          <wp:effectExtent b="0" l="0" r="0" t="0"/>
          <wp:wrapNone/>
          <wp:docPr id="292" name="image2.jpg"/>
          <a:graphic>
            <a:graphicData uri="http://schemas.openxmlformats.org/drawingml/2006/picture">
              <pic:pic>
                <pic:nvPicPr>
                  <pic:cNvPr id="0" name="image2.jpg"/>
                  <pic:cNvPicPr preferRelativeResize="0"/>
                </pic:nvPicPr>
                <pic:blipFill>
                  <a:blip r:embed="rId1"/>
                  <a:srcRect b="-949" l="0" r="0" t="45574"/>
                  <a:stretch>
                    <a:fillRect/>
                  </a:stretch>
                </pic:blipFill>
                <pic:spPr>
                  <a:xfrm>
                    <a:off x="0" y="0"/>
                    <a:ext cx="8210550" cy="2508250"/>
                  </a:xfrm>
                  <a:prstGeom prst="rect"/>
                  <a:ln/>
                </pic:spPr>
              </pic:pic>
            </a:graphicData>
          </a:graphic>
        </wp:anchor>
      </w:drawing>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293" name="image1.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1.png"/>
                  <pic:cNvPicPr preferRelativeResize="0"/>
                </pic:nvPicPr>
                <pic:blipFill>
                  <a:blip r:embed="rId1"/>
                  <a:srcRect b="25361" l="27474" r="25000" t="5797"/>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-1080133</wp:posOffset>
          </wp:positionH>
          <wp:positionV relativeFrom="paragraph">
            <wp:posOffset>-1315083</wp:posOffset>
          </wp:positionV>
          <wp:extent cx="7808595" cy="9436100"/>
          <wp:effectExtent b="0" l="0" r="0" t="0"/>
          <wp:wrapNone/>
          <wp:docPr id="291" name="image2.jpg"/>
          <a:graphic>
            <a:graphicData uri="http://schemas.openxmlformats.org/drawingml/2006/picture">
              <pic:pic>
                <pic:nvPicPr>
                  <pic:cNvPr id="0" name="image2.jpg"/>
                  <pic:cNvPicPr preferRelativeResize="0"/>
                </pic:nvPicPr>
                <pic:blipFill>
                  <a:blip r:embed="rId2"/>
                  <a:srcRect b="0" l="0" r="0" t="6051"/>
                  <a:stretch>
                    <a:fillRect/>
                  </a:stretch>
                </pic:blipFill>
                <pic:spPr>
                  <a:xfrm rot="10800000">
                    <a:off x="0" y="0"/>
                    <a:ext cx="7808595" cy="94361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s://sesaemm.gob.mx/sistemas_anticorrupcion-05-sistemas_municipales_anticorrupc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gTfUYaVS513uvOgkABj+D2YkkQ==">CgMxLjAyCWguMzBqMHpsbDIJaC4xZm9iOXRlOAByITF3Ty1ETU41WFdPLTdJZ1BGZVdvT2tmdXVMdWNvb0hMaw==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