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spacing w:after="0" w:line="240" w:lineRule="auto"/>
        <w:ind w:hanging="709"/>
        <w:jc w:val="center"/>
        <w:rPr>
          <w:rFonts w:ascii="Arial" w:cs="Arial" w:eastAsia="Arial" w:hAnsi="Arial"/>
        </w:rPr>
      </w:pPr>
      <w:r w:rsidDel="00000000" w:rsidR="00000000" w:rsidRPr="00000000">
        <w:rPr>
          <w:rFonts w:ascii="Palatino Linotype" w:cs="Palatino Linotype" w:eastAsia="Palatino Linotype" w:hAnsi="Palatino Linotype"/>
          <w:b w:val="1"/>
          <w:sz w:val="20"/>
          <w:szCs w:val="20"/>
          <w:rtl w:val="0"/>
        </w:rPr>
        <w:t xml:space="preserve">FICHA TÉCNICA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200.0" w:type="dxa"/>
        <w:jc w:val="left"/>
        <w:tblInd w:w="-645.0" w:type="dxa"/>
        <w:tblLayout w:type="fixed"/>
        <w:tblLook w:val="0400"/>
      </w:tblPr>
      <w:tblGrid>
        <w:gridCol w:w="4905"/>
        <w:gridCol w:w="3120"/>
        <w:gridCol w:w="2175"/>
        <w:tblGridChange w:id="0">
          <w:tblGrid>
            <w:gridCol w:w="4905"/>
            <w:gridCol w:w="3120"/>
            <w:gridCol w:w="2175"/>
          </w:tblGrid>
        </w:tblGridChange>
      </w:tblGrid>
      <w:tr>
        <w:trPr>
          <w:cantSplit w:val="0"/>
          <w:trHeight w:val="633.61328125" w:hRule="atLeast"/>
          <w:tblHeader w:val="1"/>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Nombre de la práctica:</w:t>
            </w:r>
          </w:p>
          <w:p w:rsidR="00000000" w:rsidDel="00000000" w:rsidP="00000000" w:rsidRDefault="00000000" w:rsidRPr="00000000" w14:paraId="00000006">
            <w:pPr>
              <w:spacing w:line="240" w:lineRule="auto"/>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Centro de Inclusión y Desarrollo de Metepec </w:t>
            </w:r>
            <w:r w:rsidDel="00000000" w:rsidR="00000000" w:rsidRPr="00000000">
              <w:rPr>
                <w:rtl w:val="0"/>
              </w:rPr>
            </w:r>
          </w:p>
        </w:tc>
      </w:tr>
      <w:tr>
        <w:trPr>
          <w:cantSplit w:val="0"/>
          <w:trHeight w:val="544" w:hRule="atLeast"/>
          <w:tblHeader w:val="1"/>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Nombre del Sujeto Obligado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Sistema Municipal para el Desarrollo Integral de la Familia Metepec</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tc>
      </w:tr>
      <w:tr>
        <w:trPr>
          <w:cantSplit w:val="0"/>
          <w:trHeight w:val="276" w:hRule="atLeast"/>
          <w:tblHeader w:val="1"/>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Área responsable de la práctica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Dirección de Inclusión y Bienestar Familiar </w:t>
            </w:r>
            <w:r w:rsidDel="00000000" w:rsidR="00000000" w:rsidRPr="00000000">
              <w:rPr>
                <w:rtl w:val="0"/>
              </w:rPr>
            </w:r>
          </w:p>
        </w:tc>
      </w:tr>
      <w:tr>
        <w:trPr>
          <w:cantSplit w:val="0"/>
          <w:trHeight w:val="553.8734130859375" w:hRule="atLeast"/>
          <w:tblHeader w:val="1"/>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Disponible para su consulta en:</w:t>
            </w:r>
            <w:r w:rsidDel="00000000" w:rsidR="00000000" w:rsidRPr="00000000">
              <w:rPr>
                <w:rtl w:val="0"/>
              </w:rPr>
            </w:r>
          </w:p>
        </w:tc>
      </w:tr>
      <w:tr>
        <w:trPr>
          <w:cantSplit w:val="0"/>
          <w:trHeight w:val="345" w:hRule="atLeast"/>
          <w:tblHeader w:val="1"/>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Periodo:</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2022 vigente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Alcance</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Municipal</w:t>
            </w:r>
            <w:r w:rsidDel="00000000" w:rsidR="00000000" w:rsidRPr="00000000">
              <w:rPr>
                <w:rtl w:val="0"/>
              </w:rPr>
            </w:r>
          </w:p>
        </w:tc>
      </w:tr>
      <w:tr>
        <w:trPr>
          <w:cantSplit w:val="0"/>
          <w:trHeight w:val="315" w:hRule="atLeast"/>
          <w:tblHeader w:val="1"/>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Lugar: </w:t>
            </w: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Metepec </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Puntuación total:</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0</w:t>
            </w:r>
            <w:r w:rsidDel="00000000" w:rsidR="00000000" w:rsidRPr="00000000">
              <w:rPr>
                <w:rtl w:val="0"/>
              </w:rPr>
            </w:r>
          </w:p>
        </w:tc>
      </w:tr>
    </w:tbl>
    <w:p w:rsidR="00000000" w:rsidDel="00000000" w:rsidP="00000000" w:rsidRDefault="00000000" w:rsidRPr="00000000" w14:paraId="00000019">
      <w:pPr>
        <w:spacing w:after="0" w:lineRule="auto"/>
        <w:jc w:val="center"/>
        <w:rPr>
          <w:rFonts w:ascii="Palatino Linotype" w:cs="Palatino Linotype" w:eastAsia="Palatino Linotype" w:hAnsi="Palatino Linotype"/>
          <w:b w:val="1"/>
        </w:rPr>
      </w:pPr>
      <w:bookmarkStart w:colFirst="0" w:colLast="0" w:name="_heading=h.30j0zll" w:id="0"/>
      <w:bookmarkEnd w:id="0"/>
      <w:r w:rsidDel="00000000" w:rsidR="00000000" w:rsidRPr="00000000">
        <w:rPr>
          <w:rtl w:val="0"/>
        </w:rPr>
      </w:r>
    </w:p>
    <w:tbl>
      <w:tblPr>
        <w:tblStyle w:val="Table2"/>
        <w:tblW w:w="10140.0" w:type="dxa"/>
        <w:jc w:val="left"/>
        <w:tblInd w:w="-572.0" w:type="dxa"/>
        <w:tblLayout w:type="fixed"/>
        <w:tblLook w:val="0400"/>
      </w:tblPr>
      <w:tblGrid>
        <w:gridCol w:w="4650"/>
        <w:gridCol w:w="5490"/>
        <w:tblGridChange w:id="0">
          <w:tblGrid>
            <w:gridCol w:w="4650"/>
            <w:gridCol w:w="5490"/>
          </w:tblGrid>
        </w:tblGridChange>
      </w:tblGrid>
      <w:tr>
        <w:trPr>
          <w:cantSplit w:val="0"/>
          <w:trHeight w:val="1494.033203125"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¿Qué es y cómo funciona la práctica?</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u w:val="single"/>
              </w:rPr>
            </w:pPr>
            <w:r w:rsidDel="00000000" w:rsidR="00000000" w:rsidRPr="00000000">
              <w:rPr>
                <w:rFonts w:ascii="Palatino Linotype" w:cs="Palatino Linotype" w:eastAsia="Palatino Linotype" w:hAnsi="Palatino Linotype"/>
                <w:rtl w:val="0"/>
              </w:rPr>
              <w:t xml:space="preserve">Es la apertura de un espacio llamado CID METEPEC, el cual consiste en que personas con algún tipo de discapacidad logren adquirir técnicas de comunicación, colaboración de trabajo en equipo y activación física, para mejorar con ello su bienestar físico y mental. Se trabaja también el lenguaje de señas, así como manejo de emociones y sentido de la responsabilidad en actividades laborales.</w:t>
            </w:r>
            <w:r w:rsidDel="00000000" w:rsidR="00000000" w:rsidRPr="00000000">
              <w:rPr>
                <w:rtl w:val="0"/>
              </w:rPr>
            </w:r>
          </w:p>
        </w:tc>
      </w:tr>
      <w:tr>
        <w:trPr>
          <w:cantSplit w:val="0"/>
          <w:trHeight w:val="1833.325805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Objetivo:</w:t>
            </w:r>
            <w:r w:rsidDel="00000000" w:rsidR="00000000" w:rsidRPr="00000000">
              <w:rPr>
                <w:rtl w:val="0"/>
              </w:rPr>
            </w:r>
          </w:p>
          <w:p w:rsidR="00000000" w:rsidDel="00000000" w:rsidP="00000000" w:rsidRDefault="00000000" w:rsidRPr="00000000" w14:paraId="0000001E">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Tiene como finalidad brindar un espacio seguro a todas aquellas personas con alguna discapacidad que deseen desarrollar nuevas habilidades de aprendizaje, que les permitan salir adelante por sí mismas.</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¿Por qué se desarrolló?</w:t>
            </w:r>
            <w:r w:rsidDel="00000000" w:rsidR="00000000" w:rsidRPr="00000000">
              <w:rPr>
                <w:rtl w:val="0"/>
              </w:rPr>
            </w:r>
          </w:p>
          <w:p w:rsidR="00000000" w:rsidDel="00000000" w:rsidP="00000000" w:rsidRDefault="00000000" w:rsidRPr="00000000" w14:paraId="00000020">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Nace por la necesidad de contar con un espacio que esté completamente dedicado y especializado en la atención a personas con algún tipo de discapacidad.</w:t>
            </w:r>
          </w:p>
        </w:tc>
      </w:tr>
      <w:tr>
        <w:trPr>
          <w:cantSplit w:val="0"/>
          <w:trHeight w:val="10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Beneficios o e</w:t>
            </w:r>
            <w:r w:rsidDel="00000000" w:rsidR="00000000" w:rsidRPr="00000000">
              <w:rPr>
                <w:rFonts w:ascii="Palatino Linotype" w:cs="Palatino Linotype" w:eastAsia="Palatino Linotype" w:hAnsi="Palatino Linotype"/>
                <w:b w:val="1"/>
                <w:i w:val="0"/>
                <w:smallCaps w:val="0"/>
                <w:strike w:val="0"/>
                <w:color w:val="000000"/>
                <w:highlight w:val="white"/>
                <w:u w:val="none"/>
                <w:vertAlign w:val="baseline"/>
                <w:rtl w:val="0"/>
              </w:rPr>
              <w:t xml:space="preserve">fectos positivos generados a partir de la información difundida</w:t>
            </w:r>
            <w:r w:rsidDel="00000000" w:rsidR="00000000" w:rsidRPr="00000000">
              <w:rPr>
                <w:rtl w:val="0"/>
              </w:rPr>
            </w:r>
          </w:p>
          <w:p w:rsidR="00000000" w:rsidDel="00000000" w:rsidP="00000000" w:rsidRDefault="00000000" w:rsidRPr="00000000" w14:paraId="00000022">
            <w:pPr>
              <w:spacing w:after="0"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 han logrado implementar talleres para la elaboración de diversos productos y brindar herramientas a las personas con discapacidad para que puedan salir adelante por ellos mismos. </w:t>
            </w:r>
          </w:p>
        </w:tc>
      </w:tr>
      <w:tr>
        <w:trPr>
          <w:cantSplit w:val="0"/>
          <w:trHeight w:val="8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¿La práctica cuenta con mecanismos de participación ciudadana durante el proceso?</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¿Cómo contribuye a la apertura gubernamental?</w:t>
            </w:r>
            <w:r w:rsidDel="00000000" w:rsidR="00000000" w:rsidRPr="00000000">
              <w:rPr>
                <w:rtl w:val="0"/>
              </w:rPr>
            </w:r>
          </w:p>
          <w:p w:rsidR="00000000" w:rsidDel="00000000" w:rsidP="00000000" w:rsidRDefault="00000000" w:rsidRPr="00000000" w14:paraId="00000027">
            <w:pPr>
              <w:spacing w:after="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Mejora el acceso a trámites y servicios. </w:t>
            </w:r>
          </w:p>
        </w:tc>
      </w:tr>
      <w:tr>
        <w:trPr>
          <w:cantSplit w:val="0"/>
          <w:trHeight w:val="102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8">
            <w:pPr>
              <w:spacing w:after="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Observaciones:</w:t>
            </w:r>
            <w:r w:rsidDel="00000000" w:rsidR="00000000" w:rsidRPr="00000000">
              <w:rPr>
                <w:rtl w:val="0"/>
              </w:rPr>
            </w:r>
          </w:p>
          <w:p w:rsidR="00000000" w:rsidDel="00000000" w:rsidP="00000000" w:rsidRDefault="00000000" w:rsidRPr="00000000" w14:paraId="00000029">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Derivado de la información remitida, se advierte que no cuenta con los elementos suficientes para considerarse una Práctica de Transparencia Proactiva, ya que únicamente informa de la apertura de un Centro de Atención y no genera información adicional, por ende no permite evaluar los criterios establecidos en la normatividad vigente.</w:t>
            </w:r>
          </w:p>
        </w:tc>
      </w:tr>
      <w:tr>
        <w:trPr>
          <w:cantSplit w:val="0"/>
          <w:trHeight w:val="102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B">
            <w:pPr>
              <w:spacing w:after="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Recomendación: </w:t>
            </w:r>
          </w:p>
          <w:p w:rsidR="00000000" w:rsidDel="00000000" w:rsidP="00000000" w:rsidRDefault="00000000" w:rsidRPr="00000000" w14:paraId="0000002C">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 sugiere al Sujeto Obligado generar un apartado en su página institucional acerca de este tema, considerando la demanda de información de un sector específico de la población, integrar los atributos de calidad, </w:t>
            </w:r>
            <w:r w:rsidDel="00000000" w:rsidR="00000000" w:rsidRPr="00000000">
              <w:rPr>
                <w:rFonts w:ascii="Palatino Linotype" w:cs="Palatino Linotype" w:eastAsia="Palatino Linotype" w:hAnsi="Palatino Linotype"/>
                <w:color w:val="1f1f1f"/>
                <w:highlight w:val="white"/>
                <w:rtl w:val="0"/>
              </w:rPr>
              <w:t xml:space="preserve">contabilización de consultas o reutilización de la información en medios de difusión,</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color w:val="1f1f1f"/>
                <w:highlight w:val="white"/>
                <w:rtl w:val="0"/>
              </w:rPr>
              <w:t xml:space="preserve">participación ciudadana efectiva, utilizar medios de difusión alternos a una página de internet, así como los efectos positivos generados a partir de la información difundida.</w:t>
            </w:r>
            <w:r w:rsidDel="00000000" w:rsidR="00000000" w:rsidRPr="00000000">
              <w:rPr>
                <w:rtl w:val="0"/>
              </w:rPr>
            </w:r>
          </w:p>
        </w:tc>
      </w:tr>
    </w:tbl>
    <w:p w:rsidR="00000000" w:rsidDel="00000000" w:rsidP="00000000" w:rsidRDefault="00000000" w:rsidRPr="00000000" w14:paraId="0000002E">
      <w:pPr>
        <w:jc w:val="both"/>
        <w:rPr>
          <w:rFonts w:ascii="Arial" w:cs="Arial" w:eastAsia="Arial" w:hAnsi="Arial"/>
        </w:rPr>
      </w:pPr>
      <w:bookmarkStart w:colFirst="0" w:colLast="0" w:name="_heading=h.1fob9te" w:id="1"/>
      <w:bookmarkEnd w:id="1"/>
      <w:r w:rsidDel="00000000" w:rsidR="00000000" w:rsidRPr="00000000">
        <w:rPr>
          <w:rtl w:val="0"/>
        </w:rPr>
      </w:r>
    </w:p>
    <w:sectPr>
      <w:headerReference r:id="rId7" w:type="default"/>
      <w:footerReference r:id="rId8" w:type="default"/>
      <w:pgSz w:h="15840" w:w="12240" w:orient="portrait"/>
      <w:pgMar w:bottom="426" w:top="703" w:left="1701" w:right="1701" w:header="284" w:footer="12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rFonts w:ascii="Arial Black" w:cs="Arial Black" w:eastAsia="Arial Black" w:hAnsi="Arial Black"/>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-1137281</wp:posOffset>
          </wp:positionH>
          <wp:positionV relativeFrom="paragraph">
            <wp:posOffset>-1177286</wp:posOffset>
          </wp:positionV>
          <wp:extent cx="8210550" cy="2508250"/>
          <wp:effectExtent b="0" l="0" r="0" t="0"/>
          <wp:wrapNone/>
          <wp:docPr id="299" name="image2.jpg"/>
          <a:graphic>
            <a:graphicData uri="http://schemas.openxmlformats.org/drawingml/2006/picture">
              <pic:pic>
                <pic:nvPicPr>
                  <pic:cNvPr id="0" name="image2.jpg"/>
                  <pic:cNvPicPr preferRelativeResize="0"/>
                </pic:nvPicPr>
                <pic:blipFill>
                  <a:blip r:embed="rId1"/>
                  <a:srcRect b="-949" l="0" r="0" t="45574"/>
                  <a:stretch>
                    <a:fillRect/>
                  </a:stretch>
                </pic:blipFill>
                <pic:spPr>
                  <a:xfrm>
                    <a:off x="0" y="0"/>
                    <a:ext cx="8210550" cy="250825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hanging="709"/>
      <w:rPr>
        <w:color w:val="000000"/>
      </w:rPr>
    </w:pPr>
    <w:r w:rsidDel="00000000" w:rsidR="00000000" w:rsidRPr="00000000">
      <w:rPr/>
      <w:drawing>
        <wp:inline distB="0" distT="0" distL="0" distR="0">
          <wp:extent cx="1219200" cy="603250"/>
          <wp:effectExtent b="0" l="0" r="0" t="0"/>
          <wp:docPr descr="https://lh6.googleusercontent.com/jNsTCK7SJZV1G9JWz3KsjecHRN4qJBWoT1yqJ8zI3zdP1eyDVhfsZPKAbxD-9PH4L81amB6R4ly7ryAICARerfuunqGa48sgff2NtmnjPGjMrXalaO6TgZ9QPIAQbCVvAvSzKqdARw2yNhE-5_s2eg" id="300" name="image1.png"/>
          <a:graphic>
            <a:graphicData uri="http://schemas.openxmlformats.org/drawingml/2006/picture">
              <pic:pic>
                <pic:nvPicPr>
                  <pic:cNvPr descr="https://lh6.googleusercontent.com/jNsTCK7SJZV1G9JWz3KsjecHRN4qJBWoT1yqJ8zI3zdP1eyDVhfsZPKAbxD-9PH4L81amB6R4ly7ryAICARerfuunqGa48sgff2NtmnjPGjMrXalaO6TgZ9QPIAQbCVvAvSzKqdARw2yNhE-5_s2eg" id="0" name="image1.png"/>
                  <pic:cNvPicPr preferRelativeResize="0"/>
                </pic:nvPicPr>
                <pic:blipFill>
                  <a:blip r:embed="rId1"/>
                  <a:srcRect b="25360" l="27474" r="25000" t="5796"/>
                  <a:stretch>
                    <a:fillRect/>
                  </a:stretch>
                </pic:blipFill>
                <pic:spPr>
                  <a:xfrm>
                    <a:off x="0" y="0"/>
                    <a:ext cx="1219200" cy="60325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-1080131</wp:posOffset>
          </wp:positionH>
          <wp:positionV relativeFrom="paragraph">
            <wp:posOffset>-1315081</wp:posOffset>
          </wp:positionV>
          <wp:extent cx="7808595" cy="9436100"/>
          <wp:effectExtent b="0" l="0" r="0" t="0"/>
          <wp:wrapNone/>
          <wp:docPr id="298" name="image2.jpg"/>
          <a:graphic>
            <a:graphicData uri="http://schemas.openxmlformats.org/drawingml/2006/picture">
              <pic:pic>
                <pic:nvPicPr>
                  <pic:cNvPr id="0" name="image2.jpg"/>
                  <pic:cNvPicPr preferRelativeResize="0"/>
                </pic:nvPicPr>
                <pic:blipFill>
                  <a:blip r:embed="rId2"/>
                  <a:srcRect b="0" l="0" r="0" t="6051"/>
                  <a:stretch>
                    <a:fillRect/>
                  </a:stretch>
                </pic:blipFill>
                <pic:spPr>
                  <a:xfrm rot="10800000">
                    <a:off x="0" y="0"/>
                    <a:ext cx="7808595" cy="9436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6"/>
    <w:tblPr>
      <w:tblStyleRowBandSize w:val="1"/>
      <w:tblStyleColBandSize w:val="1"/>
      <w:tblCellMar>
        <w:top w:w="41.0" w:type="dxa"/>
        <w:left w:w="106.0" w:type="dxa"/>
        <w:bottom w:w="0.0" w:type="dxa"/>
        <w:right w:w="67.0" w:type="dxa"/>
      </w:tblCellMar>
    </w:tblPr>
  </w:style>
  <w:style w:type="table" w:styleId="a0" w:customStyle="1">
    <w:basedOn w:val="TableNormal6"/>
    <w:tblPr>
      <w:tblStyleRowBandSize w:val="1"/>
      <w:tblStyleColBandSize w:val="1"/>
      <w:tblCellMar>
        <w:top w:w="41.0" w:type="dxa"/>
        <w:left w:w="107.0" w:type="dxa"/>
        <w:bottom w:w="0.0" w:type="dxa"/>
        <w:right w:w="73.0" w:type="dxa"/>
      </w:tblCellMar>
    </w:tblPr>
  </w:style>
  <w:style w:type="table" w:styleId="a1" w:customStyle="1">
    <w:basedOn w:val="TableNormal6"/>
    <w:tblPr>
      <w:tblStyleRowBandSize w:val="1"/>
      <w:tblStyleColBandSize w:val="1"/>
      <w:tblCellMar>
        <w:top w:w="41.0" w:type="dxa"/>
        <w:left w:w="0.0" w:type="dxa"/>
        <w:bottom w:w="0.0" w:type="dxa"/>
        <w:right w:w="60.0" w:type="dxa"/>
      </w:tblCellMar>
    </w:tblPr>
  </w:style>
  <w:style w:type="table" w:styleId="a2" w:customStyle="1">
    <w:basedOn w:val="TableNormal6"/>
    <w:tblPr>
      <w:tblStyleRowBandSize w:val="1"/>
      <w:tblStyleColBandSize w:val="1"/>
      <w:tblCellMar>
        <w:top w:w="41.0" w:type="dxa"/>
        <w:left w:w="0.0" w:type="dxa"/>
        <w:bottom w:w="0.0" w:type="dxa"/>
        <w:right w:w="62.0" w:type="dxa"/>
      </w:tblCellMar>
    </w:tblPr>
  </w:style>
  <w:style w:type="table" w:styleId="a3" w:customStyle="1">
    <w:basedOn w:val="TableNormal6"/>
    <w:tblPr>
      <w:tblStyleRowBandSize w:val="1"/>
      <w:tblStyleColBandSize w:val="1"/>
      <w:tblCellMar>
        <w:top w:w="41.0" w:type="dxa"/>
        <w:left w:w="107.0" w:type="dxa"/>
        <w:bottom w:w="0.0" w:type="dxa"/>
        <w:right w:w="70.0" w:type="dxa"/>
      </w:tblCellMar>
    </w:tblPr>
  </w:style>
  <w:style w:type="table" w:styleId="a4" w:customStyle="1">
    <w:basedOn w:val="TableNormal6"/>
    <w:tblPr>
      <w:tblStyleRowBandSize w:val="1"/>
      <w:tblStyleColBandSize w:val="1"/>
      <w:tblCellMar>
        <w:top w:w="40.0" w:type="dxa"/>
        <w:left w:w="0.0" w:type="dxa"/>
        <w:bottom w:w="0.0" w:type="dxa"/>
        <w:right w:w="26.0" w:type="dxa"/>
      </w:tblCellMar>
    </w:tblPr>
  </w:style>
  <w:style w:type="table" w:styleId="a5" w:customStyle="1">
    <w:basedOn w:val="TableNormal6"/>
    <w:tblPr>
      <w:tblStyleRowBandSize w:val="1"/>
      <w:tblStyleColBandSize w:val="1"/>
      <w:tblCellMar>
        <w:top w:w="41.0" w:type="dxa"/>
        <w:left w:w="107.0" w:type="dxa"/>
        <w:bottom w:w="0.0" w:type="dxa"/>
        <w:right w:w="71.0" w:type="dxa"/>
      </w:tblCellMar>
    </w:tblPr>
  </w:style>
  <w:style w:type="table" w:styleId="a6" w:customStyle="1">
    <w:basedOn w:val="TableNormal6"/>
    <w:tblPr>
      <w:tblStyleRowBandSize w:val="1"/>
      <w:tblStyleColBandSize w:val="1"/>
      <w:tblCellMar>
        <w:top w:w="40.0" w:type="dxa"/>
        <w:left w:w="0.0" w:type="dxa"/>
        <w:bottom w:w="0.0" w:type="dxa"/>
        <w:right w:w="12.0" w:type="dxa"/>
      </w:tblCellMar>
    </w:tblPr>
  </w:style>
  <w:style w:type="table" w:styleId="a7" w:customStyle="1">
    <w:basedOn w:val="TableNormal6"/>
    <w:tblPr>
      <w:tblStyleRowBandSize w:val="1"/>
      <w:tblStyleColBandSize w:val="1"/>
      <w:tblCellMar>
        <w:top w:w="41.0" w:type="dxa"/>
        <w:left w:w="107.0" w:type="dxa"/>
        <w:bottom w:w="0.0" w:type="dxa"/>
        <w:right w:w="69.0" w:type="dxa"/>
      </w:tblCellMar>
    </w:tblPr>
  </w:style>
  <w:style w:type="table" w:styleId="a8" w:customStyle="1">
    <w:basedOn w:val="TableNormal6"/>
    <w:tblPr>
      <w:tblStyleRowBandSize w:val="1"/>
      <w:tblStyleColBandSize w:val="1"/>
      <w:tblCellMar>
        <w:top w:w="41.0" w:type="dxa"/>
        <w:left w:w="107.0" w:type="dxa"/>
        <w:bottom w:w="0.0" w:type="dxa"/>
        <w:right w:w="70.0" w:type="dxa"/>
      </w:tblCellMar>
    </w:tblPr>
  </w:style>
  <w:style w:type="table" w:styleId="a9" w:customStyle="1">
    <w:basedOn w:val="TableNormal6"/>
    <w:tblPr>
      <w:tblStyleRowBandSize w:val="1"/>
      <w:tblStyleColBandSize w:val="1"/>
      <w:tblCellMar>
        <w:top w:w="41.0" w:type="dxa"/>
        <w:left w:w="107.0" w:type="dxa"/>
        <w:bottom w:w="0.0" w:type="dxa"/>
        <w:right w:w="67.0" w:type="dxa"/>
      </w:tblCellMar>
    </w:tblPr>
  </w:style>
  <w:style w:type="table" w:styleId="aa" w:customStyle="1">
    <w:basedOn w:val="TableNormal6"/>
    <w:tblPr>
      <w:tblStyleRowBandSize w:val="1"/>
      <w:tblStyleColBandSize w:val="1"/>
      <w:tblCellMar>
        <w:top w:w="41.0" w:type="dxa"/>
        <w:left w:w="107.0" w:type="dxa"/>
        <w:bottom w:w="0.0" w:type="dxa"/>
        <w:right w:w="70.0" w:type="dxa"/>
      </w:tblCellMar>
    </w:tblPr>
  </w:style>
  <w:style w:type="table" w:styleId="ab" w:customStyle="1">
    <w:basedOn w:val="TableNormal6"/>
    <w:tblPr>
      <w:tblStyleRowBandSize w:val="1"/>
      <w:tblStyleColBandSize w:val="1"/>
      <w:tblCellMar>
        <w:top w:w="41.0" w:type="dxa"/>
        <w:left w:w="107.0" w:type="dxa"/>
        <w:bottom w:w="0.0" w:type="dxa"/>
        <w:right w:w="71.0" w:type="dxa"/>
      </w:tblCellMar>
    </w:tblPr>
  </w:style>
  <w:style w:type="table" w:styleId="ac" w:customStyle="1">
    <w:basedOn w:val="TableNormal6"/>
    <w:tblPr>
      <w:tblStyleRowBandSize w:val="1"/>
      <w:tblStyleColBandSize w:val="1"/>
      <w:tblCellMar>
        <w:top w:w="41.0" w:type="dxa"/>
        <w:left w:w="827.0" w:type="dxa"/>
        <w:bottom w:w="0.0" w:type="dxa"/>
        <w:right w:w="115.0" w:type="dxa"/>
      </w:tblCellMar>
    </w:tblPr>
  </w:style>
  <w:style w:type="table" w:styleId="ad" w:customStyle="1">
    <w:basedOn w:val="TableNormal6"/>
    <w:tblPr>
      <w:tblStyleRowBandSize w:val="1"/>
      <w:tblStyleColBandSize w:val="1"/>
      <w:tblCellMar>
        <w:top w:w="41.0" w:type="dxa"/>
        <w:left w:w="827.0" w:type="dxa"/>
        <w:bottom w:w="0.0" w:type="dxa"/>
        <w:right w:w="115.0" w:type="dxa"/>
      </w:tblCellMar>
    </w:tblPr>
  </w:style>
  <w:style w:type="table" w:styleId="ae" w:customStyle="1">
    <w:basedOn w:val="TableNormal6"/>
    <w:tblPr>
      <w:tblStyleRowBandSize w:val="1"/>
      <w:tblStyleColBandSize w:val="1"/>
      <w:tblCellMar>
        <w:top w:w="41.0" w:type="dxa"/>
        <w:left w:w="827.0" w:type="dxa"/>
        <w:bottom w:w="0.0" w:type="dxa"/>
        <w:right w:w="115.0" w:type="dxa"/>
      </w:tblCellMar>
    </w:tblPr>
  </w:style>
  <w:style w:type="table" w:styleId="af" w:customStyle="1">
    <w:basedOn w:val="TableNormal6"/>
    <w:tblPr>
      <w:tblStyleRowBandSize w:val="1"/>
      <w:tblStyleColBandSize w:val="1"/>
      <w:tblCellMar>
        <w:top w:w="41.0" w:type="dxa"/>
        <w:left w:w="827.0" w:type="dxa"/>
        <w:bottom w:w="0.0" w:type="dxa"/>
        <w:right w:w="115.0" w:type="dxa"/>
      </w:tblCellMar>
    </w:tblPr>
  </w:style>
  <w:style w:type="table" w:styleId="af0" w:customStyle="1">
    <w:basedOn w:val="TableNormal6"/>
    <w:tblPr>
      <w:tblStyleRowBandSize w:val="1"/>
      <w:tblStyleColBandSize w:val="1"/>
      <w:tblCellMar>
        <w:top w:w="41.0" w:type="dxa"/>
        <w:left w:w="827.0" w:type="dxa"/>
        <w:bottom w:w="0.0" w:type="dxa"/>
        <w:right w:w="115.0" w:type="dxa"/>
      </w:tblCellMar>
    </w:tblPr>
  </w:style>
  <w:style w:type="table" w:styleId="af1" w:customStyle="1">
    <w:basedOn w:val="TableNormal6"/>
    <w:tblPr>
      <w:tblStyleRowBandSize w:val="1"/>
      <w:tblStyleColBandSize w:val="1"/>
      <w:tblCellMar>
        <w:top w:w="41.0" w:type="dxa"/>
        <w:left w:w="827.0" w:type="dxa"/>
        <w:bottom w:w="0.0" w:type="dxa"/>
        <w:right w:w="115.0" w:type="dxa"/>
      </w:tblCellMar>
    </w:tblPr>
  </w:style>
  <w:style w:type="table" w:styleId="af2" w:customStyle="1">
    <w:basedOn w:val="TableNormal6"/>
    <w:tblPr>
      <w:tblStyleRowBandSize w:val="1"/>
      <w:tblStyleColBandSize w:val="1"/>
      <w:tblCellMar>
        <w:top w:w="41.0" w:type="dxa"/>
        <w:left w:w="827.0" w:type="dxa"/>
        <w:bottom w:w="0.0" w:type="dxa"/>
        <w:right w:w="115.0" w:type="dxa"/>
      </w:tblCellMar>
    </w:tblPr>
  </w:style>
  <w:style w:type="table" w:styleId="af3" w:customStyle="1">
    <w:basedOn w:val="TableNormal6"/>
    <w:tblPr>
      <w:tblStyleRowBandSize w:val="1"/>
      <w:tblStyleColBandSize w:val="1"/>
      <w:tblCellMar>
        <w:top w:w="41.0" w:type="dxa"/>
        <w:left w:w="827.0" w:type="dxa"/>
        <w:bottom w:w="0.0" w:type="dxa"/>
        <w:right w:w="115.0" w:type="dxa"/>
      </w:tblCellMar>
    </w:tblPr>
  </w:style>
  <w:style w:type="table" w:styleId="af4" w:customStyle="1">
    <w:basedOn w:val="TableNormal6"/>
    <w:tblPr>
      <w:tblStyleRowBandSize w:val="1"/>
      <w:tblStyleColBandSize w:val="1"/>
      <w:tblCellMar>
        <w:top w:w="41.0" w:type="dxa"/>
        <w:left w:w="827.0" w:type="dxa"/>
        <w:bottom w:w="0.0" w:type="dxa"/>
        <w:right w:w="115.0" w:type="dxa"/>
      </w:tblCellMar>
    </w:tblPr>
  </w:style>
  <w:style w:type="table" w:styleId="af5" w:customStyle="1">
    <w:basedOn w:val="TableNormal6"/>
    <w:tblPr>
      <w:tblStyleRowBandSize w:val="1"/>
      <w:tblStyleColBandSize w:val="1"/>
      <w:tblCellMar>
        <w:top w:w="41.0" w:type="dxa"/>
        <w:left w:w="827.0" w:type="dxa"/>
        <w:bottom w:w="0.0" w:type="dxa"/>
        <w:right w:w="115.0" w:type="dxa"/>
      </w:tblCellMar>
    </w:tblPr>
  </w:style>
  <w:style w:type="table" w:styleId="af6" w:customStyle="1">
    <w:basedOn w:val="TableNormal6"/>
    <w:tblPr>
      <w:tblStyleRowBandSize w:val="1"/>
      <w:tblStyleColBandSize w:val="1"/>
      <w:tblCellMar>
        <w:top w:w="41.0" w:type="dxa"/>
        <w:left w:w="827.0" w:type="dxa"/>
        <w:bottom w:w="0.0" w:type="dxa"/>
        <w:right w:w="115.0" w:type="dxa"/>
      </w:tblCellMar>
    </w:tblPr>
  </w:style>
  <w:style w:type="table" w:styleId="af7" w:customStyle="1">
    <w:basedOn w:val="TableNormal6"/>
    <w:tblPr>
      <w:tblStyleRowBandSize w:val="1"/>
      <w:tblStyleColBandSize w:val="1"/>
      <w:tblCellMar>
        <w:top w:w="41.0" w:type="dxa"/>
        <w:left w:w="827.0" w:type="dxa"/>
        <w:bottom w:w="0.0" w:type="dxa"/>
        <w:right w:w="115.0" w:type="dxa"/>
      </w:tblCellMar>
    </w:tblPr>
  </w:style>
  <w:style w:type="table" w:styleId="af8" w:customStyle="1">
    <w:basedOn w:val="TableNormal6"/>
    <w:tblPr>
      <w:tblStyleRowBandSize w:val="1"/>
      <w:tblStyleColBandSize w:val="1"/>
      <w:tblCellMar>
        <w:top w:w="41.0" w:type="dxa"/>
        <w:left w:w="827.0" w:type="dxa"/>
        <w:bottom w:w="0.0" w:type="dxa"/>
        <w:right w:w="115.0" w:type="dxa"/>
      </w:tblCellMar>
    </w:tblPr>
  </w:style>
  <w:style w:type="table" w:styleId="af9" w:customStyle="1">
    <w:basedOn w:val="TableNormal6"/>
    <w:tblPr>
      <w:tblStyleRowBandSize w:val="1"/>
      <w:tblStyleColBandSize w:val="1"/>
      <w:tblCellMar>
        <w:top w:w="41.0" w:type="dxa"/>
        <w:left w:w="827.0" w:type="dxa"/>
        <w:bottom w:w="0.0" w:type="dxa"/>
        <w:right w:w="115.0" w:type="dxa"/>
      </w:tblCellMar>
    </w:tblPr>
  </w:style>
  <w:style w:type="table" w:styleId="afa" w:customStyle="1">
    <w:basedOn w:val="TableNormal6"/>
    <w:tblPr>
      <w:tblStyleRowBandSize w:val="1"/>
      <w:tblStyleColBandSize w:val="1"/>
      <w:tblCellMar>
        <w:top w:w="41.0" w:type="dxa"/>
        <w:left w:w="827.0" w:type="dxa"/>
        <w:bottom w:w="0.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5"/>
    <w:tblPr>
      <w:tblStyleRowBandSize w:val="1"/>
      <w:tblStyleColBandSize w:val="1"/>
      <w:tblCellMar>
        <w:top w:w="41.0" w:type="dxa"/>
        <w:left w:w="827.0" w:type="dxa"/>
        <w:bottom w:w="0.0" w:type="dxa"/>
        <w:right w:w="115.0" w:type="dxa"/>
      </w:tblCellMar>
    </w:tblPr>
  </w:style>
  <w:style w:type="table" w:styleId="afc" w:customStyle="1">
    <w:basedOn w:val="TableNormal5"/>
    <w:tblPr>
      <w:tblStyleRowBandSize w:val="1"/>
      <w:tblStyleColBandSize w:val="1"/>
      <w:tblCellMar>
        <w:top w:w="41.0" w:type="dxa"/>
        <w:left w:w="827.0" w:type="dxa"/>
        <w:bottom w:w="0.0" w:type="dxa"/>
        <w:right w:w="115.0" w:type="dxa"/>
      </w:tblCellMar>
    </w:tblPr>
  </w:style>
  <w:style w:type="table" w:styleId="afd" w:customStyle="1">
    <w:basedOn w:val="TableNormal5"/>
    <w:tblPr>
      <w:tblStyleRowBandSize w:val="1"/>
      <w:tblStyleColBandSize w:val="1"/>
      <w:tblCellMar>
        <w:top w:w="41.0" w:type="dxa"/>
        <w:left w:w="827.0" w:type="dxa"/>
        <w:bottom w:w="0.0" w:type="dxa"/>
        <w:right w:w="115.0" w:type="dxa"/>
      </w:tblCellMar>
    </w:tblPr>
  </w:style>
  <w:style w:type="table" w:styleId="afe" w:customStyle="1">
    <w:basedOn w:val="TableNormal5"/>
    <w:tblPr>
      <w:tblStyleRowBandSize w:val="1"/>
      <w:tblStyleColBandSize w:val="1"/>
      <w:tblCellMar>
        <w:top w:w="41.0" w:type="dxa"/>
        <w:left w:w="827.0" w:type="dxa"/>
        <w:bottom w:w="0.0" w:type="dxa"/>
        <w:right w:w="115.0" w:type="dxa"/>
      </w:tblCellMar>
    </w:tblPr>
  </w:style>
  <w:style w:type="table" w:styleId="aff" w:customStyle="1">
    <w:basedOn w:val="TableNormal5"/>
    <w:tblPr>
      <w:tblStyleRowBandSize w:val="1"/>
      <w:tblStyleColBandSize w:val="1"/>
      <w:tblCellMar>
        <w:top w:w="41.0" w:type="dxa"/>
        <w:left w:w="827.0" w:type="dxa"/>
        <w:bottom w:w="0.0" w:type="dxa"/>
        <w:right w:w="115.0" w:type="dxa"/>
      </w:tblCellMar>
    </w:tblPr>
  </w:style>
  <w:style w:type="table" w:styleId="aff0" w:customStyle="1">
    <w:basedOn w:val="TableNormal5"/>
    <w:tblPr>
      <w:tblStyleRowBandSize w:val="1"/>
      <w:tblStyleColBandSize w:val="1"/>
      <w:tblCellMar>
        <w:top w:w="41.0" w:type="dxa"/>
        <w:left w:w="827.0" w:type="dxa"/>
        <w:bottom w:w="0.0" w:type="dxa"/>
        <w:right w:w="115.0" w:type="dxa"/>
      </w:tblCellMar>
    </w:tblPr>
  </w:style>
  <w:style w:type="table" w:styleId="aff1" w:customStyle="1">
    <w:basedOn w:val="TableNormal5"/>
    <w:tblPr>
      <w:tblStyleRowBandSize w:val="1"/>
      <w:tblStyleColBandSize w:val="1"/>
      <w:tblCellMar>
        <w:top w:w="41.0" w:type="dxa"/>
        <w:left w:w="827.0" w:type="dxa"/>
        <w:bottom w:w="0.0" w:type="dxa"/>
        <w:right w:w="115.0" w:type="dxa"/>
      </w:tblCellMar>
    </w:tblPr>
  </w:style>
  <w:style w:type="table" w:styleId="aff2" w:customStyle="1">
    <w:basedOn w:val="TableNormal5"/>
    <w:tblPr>
      <w:tblStyleRowBandSize w:val="1"/>
      <w:tblStyleColBandSize w:val="1"/>
      <w:tblCellMar>
        <w:top w:w="41.0" w:type="dxa"/>
        <w:left w:w="827.0" w:type="dxa"/>
        <w:bottom w:w="0.0" w:type="dxa"/>
        <w:right w:w="115.0" w:type="dxa"/>
      </w:tblCellMar>
    </w:tblPr>
  </w:style>
  <w:style w:type="table" w:styleId="aff3" w:customStyle="1">
    <w:basedOn w:val="TableNormal5"/>
    <w:tblPr>
      <w:tblStyleRowBandSize w:val="1"/>
      <w:tblStyleColBandSize w:val="1"/>
      <w:tblCellMar>
        <w:top w:w="41.0" w:type="dxa"/>
        <w:left w:w="827.0" w:type="dxa"/>
        <w:bottom w:w="0.0" w:type="dxa"/>
        <w:right w:w="115.0" w:type="dxa"/>
      </w:tblCellMar>
    </w:tblPr>
  </w:style>
  <w:style w:type="table" w:styleId="aff4" w:customStyle="1">
    <w:basedOn w:val="TableNormal5"/>
    <w:tblPr>
      <w:tblStyleRowBandSize w:val="1"/>
      <w:tblStyleColBandSize w:val="1"/>
      <w:tblCellMar>
        <w:top w:w="41.0" w:type="dxa"/>
        <w:left w:w="827.0" w:type="dxa"/>
        <w:bottom w:w="0.0" w:type="dxa"/>
        <w:right w:w="115.0" w:type="dxa"/>
      </w:tblCellMar>
    </w:tblPr>
  </w:style>
  <w:style w:type="table" w:styleId="aff5" w:customStyle="1">
    <w:basedOn w:val="TableNormal5"/>
    <w:tblPr>
      <w:tblStyleRowBandSize w:val="1"/>
      <w:tblStyleColBandSize w:val="1"/>
      <w:tblCellMar>
        <w:top w:w="41.0" w:type="dxa"/>
        <w:left w:w="827.0" w:type="dxa"/>
        <w:bottom w:w="0.0" w:type="dxa"/>
        <w:right w:w="115.0" w:type="dxa"/>
      </w:tblCellMar>
    </w:tblPr>
  </w:style>
  <w:style w:type="table" w:styleId="aff6" w:customStyle="1">
    <w:basedOn w:val="TableNormal5"/>
    <w:tblPr>
      <w:tblStyleRowBandSize w:val="1"/>
      <w:tblStyleColBandSize w:val="1"/>
      <w:tblCellMar>
        <w:top w:w="41.0" w:type="dxa"/>
        <w:left w:w="827.0" w:type="dxa"/>
        <w:bottom w:w="0.0" w:type="dxa"/>
        <w:right w:w="115.0" w:type="dxa"/>
      </w:tblCellMar>
    </w:tblPr>
  </w:style>
  <w:style w:type="table" w:styleId="aff7" w:customStyle="1">
    <w:basedOn w:val="TableNormal5"/>
    <w:tblPr>
      <w:tblStyleRowBandSize w:val="1"/>
      <w:tblStyleColBandSize w:val="1"/>
      <w:tblCellMar>
        <w:top w:w="41.0" w:type="dxa"/>
        <w:left w:w="827.0" w:type="dxa"/>
        <w:bottom w:w="0.0" w:type="dxa"/>
        <w:right w:w="115.0" w:type="dxa"/>
      </w:tblCellMar>
    </w:tblPr>
  </w:style>
  <w:style w:type="table" w:styleId="aff8" w:customStyle="1">
    <w:basedOn w:val="TableNormal5"/>
    <w:tblPr>
      <w:tblStyleRowBandSize w:val="1"/>
      <w:tblStyleColBandSize w:val="1"/>
      <w:tblCellMar>
        <w:top w:w="41.0" w:type="dxa"/>
        <w:left w:w="827.0" w:type="dxa"/>
        <w:bottom w:w="0.0" w:type="dxa"/>
        <w:right w:w="115.0" w:type="dxa"/>
      </w:tblCellMar>
    </w:tblPr>
  </w:style>
  <w:style w:type="table" w:styleId="aff9" w:customStyle="1">
    <w:basedOn w:val="TableNormal5"/>
    <w:tblPr>
      <w:tblStyleRowBandSize w:val="1"/>
      <w:tblStyleColBandSize w:val="1"/>
      <w:tblCellMar>
        <w:top w:w="41.0" w:type="dxa"/>
        <w:left w:w="827.0" w:type="dxa"/>
        <w:bottom w:w="0.0" w:type="dxa"/>
        <w:right w:w="115.0" w:type="dxa"/>
      </w:tblCellMar>
    </w:tblPr>
  </w:style>
  <w:style w:type="table" w:styleId="affa" w:customStyle="1">
    <w:basedOn w:val="TableNormal5"/>
    <w:tblPr>
      <w:tblStyleRowBandSize w:val="1"/>
      <w:tblStyleColBandSize w:val="1"/>
      <w:tblCellMar>
        <w:top w:w="41.0" w:type="dxa"/>
        <w:left w:w="827.0" w:type="dxa"/>
        <w:bottom w:w="0.0" w:type="dxa"/>
        <w:right w:w="115.0" w:type="dxa"/>
      </w:tblCellMar>
    </w:tblPr>
  </w:style>
  <w:style w:type="table" w:styleId="affb" w:customStyle="1">
    <w:basedOn w:val="TableNormal5"/>
    <w:tblPr>
      <w:tblStyleRowBandSize w:val="1"/>
      <w:tblStyleColBandSize w:val="1"/>
      <w:tblCellMar>
        <w:top w:w="41.0" w:type="dxa"/>
        <w:left w:w="827.0" w:type="dxa"/>
        <w:bottom w:w="0.0" w:type="dxa"/>
        <w:right w:w="115.0" w:type="dxa"/>
      </w:tblCellMar>
    </w:tblPr>
  </w:style>
  <w:style w:type="table" w:styleId="affc" w:customStyle="1">
    <w:basedOn w:val="TableNormal5"/>
    <w:tblPr>
      <w:tblStyleRowBandSize w:val="1"/>
      <w:tblStyleColBandSize w:val="1"/>
      <w:tblCellMar>
        <w:top w:w="41.0" w:type="dxa"/>
        <w:left w:w="827.0" w:type="dxa"/>
        <w:bottom w:w="0.0" w:type="dxa"/>
        <w:right w:w="115.0" w:type="dxa"/>
      </w:tblCellMar>
    </w:tblPr>
  </w:style>
  <w:style w:type="table" w:styleId="affd" w:customStyle="1">
    <w:basedOn w:val="TableNormal5"/>
    <w:tblPr>
      <w:tblStyleRowBandSize w:val="1"/>
      <w:tblStyleColBandSize w:val="1"/>
      <w:tblCellMar>
        <w:top w:w="41.0" w:type="dxa"/>
        <w:left w:w="827.0" w:type="dxa"/>
        <w:bottom w:w="0.0" w:type="dxa"/>
        <w:right w:w="115.0" w:type="dxa"/>
      </w:tblCellMar>
    </w:tblPr>
  </w:style>
  <w:style w:type="table" w:styleId="affe" w:customStyle="1">
    <w:basedOn w:val="TableNormal5"/>
    <w:tblPr>
      <w:tblStyleRowBandSize w:val="1"/>
      <w:tblStyleColBandSize w:val="1"/>
      <w:tblCellMar>
        <w:top w:w="41.0" w:type="dxa"/>
        <w:left w:w="827.0" w:type="dxa"/>
        <w:bottom w:w="0.0" w:type="dxa"/>
        <w:right w:w="115.0" w:type="dxa"/>
      </w:tblCellMar>
    </w:tblPr>
  </w:style>
  <w:style w:type="table" w:styleId="afff" w:customStyle="1">
    <w:basedOn w:val="TableNormal5"/>
    <w:tblPr>
      <w:tblStyleRowBandSize w:val="1"/>
      <w:tblStyleColBandSize w:val="1"/>
      <w:tblCellMar>
        <w:top w:w="41.0" w:type="dxa"/>
        <w:left w:w="827.0" w:type="dxa"/>
        <w:bottom w:w="0.0" w:type="dxa"/>
        <w:right w:w="115.0" w:type="dxa"/>
      </w:tblCellMar>
    </w:tblPr>
  </w:style>
  <w:style w:type="table" w:styleId="afff0" w:customStyle="1">
    <w:basedOn w:val="TableNormal5"/>
    <w:tblPr>
      <w:tblStyleRowBandSize w:val="1"/>
      <w:tblStyleColBandSize w:val="1"/>
      <w:tblCellMar>
        <w:top w:w="41.0" w:type="dxa"/>
        <w:left w:w="827.0" w:type="dxa"/>
        <w:bottom w:w="0.0" w:type="dxa"/>
        <w:right w:w="115.0" w:type="dxa"/>
      </w:tblCellMar>
    </w:tblPr>
  </w:style>
  <w:style w:type="table" w:styleId="afff1" w:customStyle="1">
    <w:basedOn w:val="TableNormal5"/>
    <w:tblPr>
      <w:tblStyleRowBandSize w:val="1"/>
      <w:tblStyleColBandSize w:val="1"/>
      <w:tblCellMar>
        <w:top w:w="41.0" w:type="dxa"/>
        <w:left w:w="827.0" w:type="dxa"/>
        <w:bottom w:w="0.0" w:type="dxa"/>
        <w:right w:w="115.0" w:type="dxa"/>
      </w:tblCellMar>
    </w:tblPr>
  </w:style>
  <w:style w:type="table" w:styleId="afff2" w:customStyle="1">
    <w:basedOn w:val="TableNormal5"/>
    <w:tblPr>
      <w:tblStyleRowBandSize w:val="1"/>
      <w:tblStyleColBandSize w:val="1"/>
      <w:tblCellMar>
        <w:top w:w="41.0" w:type="dxa"/>
        <w:left w:w="827.0" w:type="dxa"/>
        <w:bottom w:w="0.0" w:type="dxa"/>
        <w:right w:w="115.0" w:type="dxa"/>
      </w:tblCellMar>
    </w:tblPr>
  </w:style>
  <w:style w:type="table" w:styleId="afff3" w:customStyle="1">
    <w:basedOn w:val="TableNormal5"/>
    <w:tblPr>
      <w:tblStyleRowBandSize w:val="1"/>
      <w:tblStyleColBandSize w:val="1"/>
      <w:tblCellMar>
        <w:top w:w="41.0" w:type="dxa"/>
        <w:left w:w="827.0" w:type="dxa"/>
        <w:bottom w:w="0.0" w:type="dxa"/>
        <w:right w:w="115.0" w:type="dxa"/>
      </w:tblCellMar>
    </w:tblPr>
  </w:style>
  <w:style w:type="table" w:styleId="afff4" w:customStyle="1">
    <w:basedOn w:val="TableNormal5"/>
    <w:tblPr>
      <w:tblStyleRowBandSize w:val="1"/>
      <w:tblStyleColBandSize w:val="1"/>
      <w:tblCellMar>
        <w:top w:w="41.0" w:type="dxa"/>
        <w:left w:w="827.0" w:type="dxa"/>
        <w:bottom w:w="0.0" w:type="dxa"/>
        <w:right w:w="115.0" w:type="dxa"/>
      </w:tblCellMar>
    </w:tblPr>
  </w:style>
  <w:style w:type="table" w:styleId="afff5" w:customStyle="1">
    <w:basedOn w:val="TableNormal5"/>
    <w:tblPr>
      <w:tblStyleRowBandSize w:val="1"/>
      <w:tblStyleColBandSize w:val="1"/>
      <w:tblCellMar>
        <w:top w:w="41.0" w:type="dxa"/>
        <w:left w:w="827.0" w:type="dxa"/>
        <w:bottom w:w="0.0" w:type="dxa"/>
        <w:right w:w="115.0" w:type="dxa"/>
      </w:tblCellMar>
    </w:tblPr>
  </w:style>
  <w:style w:type="table" w:styleId="afff6" w:customStyle="1">
    <w:basedOn w:val="TableNormal5"/>
    <w:tblPr>
      <w:tblStyleRowBandSize w:val="1"/>
      <w:tblStyleColBandSize w:val="1"/>
      <w:tblCellMar>
        <w:top w:w="41.0" w:type="dxa"/>
        <w:left w:w="827.0" w:type="dxa"/>
        <w:bottom w:w="0.0" w:type="dxa"/>
        <w:right w:w="115.0" w:type="dxa"/>
      </w:tblCellMar>
    </w:tblPr>
  </w:style>
  <w:style w:type="table" w:styleId="afff7" w:customStyle="1">
    <w:basedOn w:val="TableNormal3"/>
    <w:tblPr>
      <w:tblStyleRowBandSize w:val="1"/>
      <w:tblStyleColBandSize w:val="1"/>
      <w:tblCellMar>
        <w:top w:w="41.0" w:type="dxa"/>
        <w:left w:w="827.0" w:type="dxa"/>
        <w:bottom w:w="0.0" w:type="dxa"/>
        <w:right w:w="115.0" w:type="dxa"/>
      </w:tblCellMar>
    </w:tblPr>
  </w:style>
  <w:style w:type="table" w:styleId="afff8" w:customStyle="1">
    <w:basedOn w:val="TableNormal3"/>
    <w:tblPr>
      <w:tblStyleRowBandSize w:val="1"/>
      <w:tblStyleColBandSize w:val="1"/>
      <w:tblCellMar>
        <w:top w:w="41.0" w:type="dxa"/>
        <w:left w:w="827.0" w:type="dxa"/>
        <w:bottom w:w="0.0" w:type="dxa"/>
        <w:right w:w="115.0" w:type="dxa"/>
      </w:tblCellMar>
    </w:tblPr>
  </w:style>
  <w:style w:type="table" w:styleId="afff9" w:customStyle="1">
    <w:basedOn w:val="TableNormal3"/>
    <w:tblPr>
      <w:tblStyleRowBandSize w:val="1"/>
      <w:tblStyleColBandSize w:val="1"/>
      <w:tblCellMar>
        <w:top w:w="41.0" w:type="dxa"/>
        <w:left w:w="827.0" w:type="dxa"/>
        <w:bottom w:w="0.0" w:type="dxa"/>
        <w:right w:w="115.0" w:type="dxa"/>
      </w:tblCellMar>
    </w:tblPr>
  </w:style>
  <w:style w:type="table" w:styleId="afffa" w:customStyle="1">
    <w:basedOn w:val="TableNormal3"/>
    <w:tblPr>
      <w:tblStyleRowBandSize w:val="1"/>
      <w:tblStyleColBandSize w:val="1"/>
      <w:tblCellMar>
        <w:top w:w="41.0" w:type="dxa"/>
        <w:left w:w="827.0" w:type="dxa"/>
        <w:bottom w:w="0.0" w:type="dxa"/>
        <w:right w:w="115.0" w:type="dxa"/>
      </w:tblCellMar>
    </w:tblPr>
  </w:style>
  <w:style w:type="table" w:styleId="afffb" w:customStyle="1">
    <w:basedOn w:val="TableNormal3"/>
    <w:tblPr>
      <w:tblStyleRowBandSize w:val="1"/>
      <w:tblStyleColBandSize w:val="1"/>
      <w:tblCellMar>
        <w:top w:w="41.0" w:type="dxa"/>
        <w:left w:w="827.0" w:type="dxa"/>
        <w:bottom w:w="0.0" w:type="dxa"/>
        <w:right w:w="115.0" w:type="dxa"/>
      </w:tblCellMar>
    </w:tblPr>
  </w:style>
  <w:style w:type="table" w:styleId="afffc" w:customStyle="1">
    <w:basedOn w:val="TableNormal3"/>
    <w:tblPr>
      <w:tblStyleRowBandSize w:val="1"/>
      <w:tblStyleColBandSize w:val="1"/>
      <w:tblCellMar>
        <w:top w:w="41.0" w:type="dxa"/>
        <w:left w:w="827.0" w:type="dxa"/>
        <w:bottom w:w="0.0" w:type="dxa"/>
        <w:right w:w="115.0" w:type="dxa"/>
      </w:tblCellMar>
    </w:tblPr>
  </w:style>
  <w:style w:type="table" w:styleId="afffd" w:customStyle="1">
    <w:basedOn w:val="TableNormal3"/>
    <w:tblPr>
      <w:tblStyleRowBandSize w:val="1"/>
      <w:tblStyleColBandSize w:val="1"/>
      <w:tblCellMar>
        <w:top w:w="41.0" w:type="dxa"/>
        <w:left w:w="827.0" w:type="dxa"/>
        <w:bottom w:w="0.0" w:type="dxa"/>
        <w:right w:w="115.0" w:type="dxa"/>
      </w:tblCellMar>
    </w:tblPr>
  </w:style>
  <w:style w:type="table" w:styleId="afffe" w:customStyle="1">
    <w:basedOn w:val="TableNormal3"/>
    <w:tblPr>
      <w:tblStyleRowBandSize w:val="1"/>
      <w:tblStyleColBandSize w:val="1"/>
      <w:tblCellMar>
        <w:top w:w="41.0" w:type="dxa"/>
        <w:left w:w="827.0" w:type="dxa"/>
        <w:bottom w:w="0.0" w:type="dxa"/>
        <w:right w:w="115.0" w:type="dxa"/>
      </w:tblCellMar>
    </w:tblPr>
  </w:style>
  <w:style w:type="table" w:styleId="affff" w:customStyle="1">
    <w:basedOn w:val="TableNormal3"/>
    <w:tblPr>
      <w:tblStyleRowBandSize w:val="1"/>
      <w:tblStyleColBandSize w:val="1"/>
      <w:tblCellMar>
        <w:top w:w="41.0" w:type="dxa"/>
        <w:left w:w="827.0" w:type="dxa"/>
        <w:bottom w:w="0.0" w:type="dxa"/>
        <w:right w:w="115.0" w:type="dxa"/>
      </w:tblCellMar>
    </w:tblPr>
  </w:style>
  <w:style w:type="table" w:styleId="affff0" w:customStyle="1">
    <w:basedOn w:val="TableNormal3"/>
    <w:tblPr>
      <w:tblStyleRowBandSize w:val="1"/>
      <w:tblStyleColBandSize w:val="1"/>
      <w:tblCellMar>
        <w:top w:w="41.0" w:type="dxa"/>
        <w:left w:w="827.0" w:type="dxa"/>
        <w:bottom w:w="0.0" w:type="dxa"/>
        <w:right w:w="115.0" w:type="dxa"/>
      </w:tblCellMar>
    </w:tblPr>
  </w:style>
  <w:style w:type="table" w:styleId="affff1" w:customStyle="1">
    <w:basedOn w:val="TableNormal3"/>
    <w:tblPr>
      <w:tblStyleRowBandSize w:val="1"/>
      <w:tblStyleColBandSize w:val="1"/>
      <w:tblCellMar>
        <w:top w:w="41.0" w:type="dxa"/>
        <w:left w:w="827.0" w:type="dxa"/>
        <w:bottom w:w="0.0" w:type="dxa"/>
        <w:right w:w="115.0" w:type="dxa"/>
      </w:tblCellMar>
    </w:tblPr>
  </w:style>
  <w:style w:type="table" w:styleId="affff2" w:customStyle="1">
    <w:basedOn w:val="TableNormal3"/>
    <w:tblPr>
      <w:tblStyleRowBandSize w:val="1"/>
      <w:tblStyleColBandSize w:val="1"/>
      <w:tblCellMar>
        <w:top w:w="41.0" w:type="dxa"/>
        <w:left w:w="827.0" w:type="dxa"/>
        <w:bottom w:w="0.0" w:type="dxa"/>
        <w:right w:w="115.0" w:type="dxa"/>
      </w:tblCellMar>
    </w:tblPr>
  </w:style>
  <w:style w:type="table" w:styleId="affff3" w:customStyle="1">
    <w:basedOn w:val="TableNormal3"/>
    <w:tblPr>
      <w:tblStyleRowBandSize w:val="1"/>
      <w:tblStyleColBandSize w:val="1"/>
      <w:tblCellMar>
        <w:top w:w="41.0" w:type="dxa"/>
        <w:left w:w="827.0" w:type="dxa"/>
        <w:bottom w:w="0.0" w:type="dxa"/>
        <w:right w:w="115.0" w:type="dxa"/>
      </w:tblCellMar>
    </w:tblPr>
  </w:style>
  <w:style w:type="table" w:styleId="affff4" w:customStyle="1">
    <w:basedOn w:val="TableNormal3"/>
    <w:tblPr>
      <w:tblStyleRowBandSize w:val="1"/>
      <w:tblStyleColBandSize w:val="1"/>
      <w:tblCellMar>
        <w:top w:w="41.0" w:type="dxa"/>
        <w:left w:w="827.0" w:type="dxa"/>
        <w:bottom w:w="0.0" w:type="dxa"/>
        <w:right w:w="115.0" w:type="dxa"/>
      </w:tblCellMar>
    </w:tblPr>
  </w:style>
  <w:style w:type="paragraph" w:styleId="NormalWeb">
    <w:name w:val="Normal (Web)"/>
    <w:basedOn w:val="Normal"/>
    <w:uiPriority w:val="99"/>
    <w:unhideWhenUsed w:val="1"/>
    <w:rsid w:val="0019507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7u/ZUFfEcE/RblrZ2YQSiJoAQg==">CgMxLjAyCWguMzBqMHpsbDIJaC4xZm9iOXRlOAByITFYV0JjMWN1WHMwdnlEOXhod1dEblRmbE1FZnpjSEFfWA==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2023-07-10T20:15:00Z</dcterms:created>
  <dc:creator>Jonathan Guillermo Munoz Acevedo</dc:creator>
</cp:coreProperties>
</file>